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279F62" Type="http://schemas.openxmlformats.org/officeDocument/2006/relationships/officeDocument" Target="/word/document.xml" /><Relationship Id="coreR3C279F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3119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3119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3119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З</w:t>
            </w:r>
            <w:r>
              <w:rPr>
                <w:rFonts w:ascii="Arial" w:hAnsi="Arial"/>
                <w:b w:val="1"/>
                <w:color w:val="808080"/>
                <w:sz w:val="48"/>
              </w:rPr>
              <w:t>С20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100 - год. LXIII, 26.04.2013.</w:t>
            </w:r>
          </w:p>
        </w:tc>
        <w:tc>
          <w:tcPr>
            <w:tcW w:w="3119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животне средине</w:t>
            </w:r>
          </w:p>
        </w:tc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100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З</w:t>
            </w:r>
            <w:r>
              <w:rPr>
                <w:b w:val="0"/>
                <w:sz w:val="20"/>
              </w:rPr>
              <w:t>С</w:t>
            </w: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0 </w:t>
            </w: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3119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 Narrow" w:hAnsi="Arial Narrow"/>
          <w:b w:val="1"/>
        </w:rPr>
      </w:pPr>
    </w:p>
    <w:p>
      <w:pPr>
        <w:spacing w:before="720" w:after="120"/>
        <w:jc w:val="center"/>
        <w:rPr>
          <w:rFonts w:ascii="Arial Narrow" w:hAnsi="Arial Narrow"/>
          <w:b w:val="1"/>
        </w:rPr>
      </w:pPr>
      <w:r>
        <w:rPr>
          <w:rFonts w:ascii="Arial Narrow" w:hAnsi="Arial Narrow"/>
          <w:b w:val="1"/>
        </w:rPr>
        <w:t>Н</w:t>
      </w:r>
      <w:r>
        <w:rPr>
          <w:rFonts w:ascii="Arial Narrow" w:hAnsi="Arial Narrow"/>
          <w:b w:val="1"/>
        </w:rPr>
        <w:t>аводњавање</w:t>
      </w:r>
      <w:r>
        <w:rPr>
          <w:rFonts w:ascii="Arial Narrow" w:hAnsi="Arial Narrow"/>
          <w:b w:val="1"/>
        </w:rPr>
        <w:t xml:space="preserve"> у Републици Србији, 201</w:t>
      </w:r>
      <w:r>
        <w:rPr>
          <w:rFonts w:ascii="Arial Narrow" w:hAnsi="Arial Narrow"/>
          <w:b w:val="1"/>
        </w:rPr>
        <w:t>2</w:t>
      </w:r>
      <w:r>
        <w:rPr>
          <w:rFonts w:ascii="Arial Narrow" w:hAnsi="Arial Narrow"/>
          <w:b w:val="1"/>
        </w:rPr>
        <w:t>.</w:t>
      </w:r>
    </w:p>
    <w:p>
      <w:pPr>
        <w:spacing w:after="240"/>
        <w:jc w:val="center"/>
        <w:rPr>
          <w:rFonts w:ascii="Arial Narrow" w:hAnsi="Arial Narrow"/>
          <w:b w:val="1"/>
          <w:sz w:val="22"/>
        </w:rPr>
      </w:pPr>
      <w:r>
        <w:rPr>
          <w:rFonts w:ascii="Arial" w:hAnsi="Arial"/>
          <w:b w:val="1"/>
          <w:sz w:val="22"/>
        </w:rPr>
        <w:t>‒</w:t>
      </w:r>
      <w:r>
        <w:rPr>
          <w:rFonts w:ascii="Arial Narrow" w:hAnsi="Arial Narrow"/>
          <w:b w:val="1"/>
          <w:sz w:val="22"/>
        </w:rPr>
        <w:t xml:space="preserve"> Претходни резултати </w:t>
      </w:r>
      <w:r>
        <w:rPr>
          <w:rFonts w:ascii="Arial" w:hAnsi="Arial"/>
          <w:b w:val="1"/>
          <w:sz w:val="22"/>
        </w:rPr>
        <w:t>‒</w:t>
      </w: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Током 2012. године укупно је захваћено 110 445 хиљ. m</w:t>
      </w:r>
      <w:r>
        <w:rPr>
          <w:rFonts w:ascii="Arial Narrow" w:hAnsi="Arial Narrow"/>
          <w:sz w:val="20"/>
          <w:vertAlign w:val="superscript"/>
        </w:rPr>
        <w:t>3</w:t>
      </w:r>
      <w:r>
        <w:rPr>
          <w:rFonts w:ascii="Arial Narrow" w:hAnsi="Arial Narrow"/>
          <w:sz w:val="20"/>
        </w:rPr>
        <w:t xml:space="preserve"> воде за наводњавање, од чега се највише воде црпело из водотокова </w:t>
      </w:r>
      <w:r>
        <w:rPr>
          <w:rFonts w:ascii="Symbol" w:hAnsi="Symbol"/>
          <w:sz w:val="20"/>
        </w:rPr>
        <w:t>-</w:t>
      </w:r>
      <w:r>
        <w:rPr>
          <w:rFonts w:ascii="Arial Narrow" w:hAnsi="Arial Narrow"/>
          <w:sz w:val="20"/>
        </w:rPr>
        <w:t xml:space="preserve"> 91%, док су преостале количине захваћене из подземних вода, језера и акумулација.</w:t>
      </w: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jc w:val="center"/>
        <w:rPr>
          <w:rFonts w:ascii="Arial Narrow" w:hAnsi="Arial Narrow"/>
          <w:b w:val="1"/>
          <w:sz w:val="18"/>
        </w:rPr>
      </w:pPr>
    </w:p>
    <w:p>
      <w:pPr>
        <w:jc w:val="center"/>
        <w:rPr>
          <w:rFonts w:ascii="Arial Narrow" w:hAnsi="Arial Narrow"/>
          <w:b w:val="1"/>
          <w:sz w:val="18"/>
        </w:rPr>
      </w:pPr>
    </w:p>
    <w:p>
      <w:pPr>
        <w:jc w:val="center"/>
        <w:rPr>
          <w:rFonts w:ascii="Arial Narrow" w:hAnsi="Arial Narrow"/>
          <w:b w:val="1"/>
          <w:sz w:val="18"/>
        </w:rPr>
      </w:pPr>
    </w:p>
    <w:p>
      <w:pPr>
        <w:jc w:val="center"/>
        <w:rPr>
          <w:rFonts w:ascii="Arial Narrow" w:hAnsi="Arial Narrow"/>
          <w:b w:val="1"/>
          <w:sz w:val="18"/>
        </w:rPr>
      </w:pPr>
    </w:p>
    <w:p>
      <w:pPr>
        <w:jc w:val="center"/>
        <w:rPr>
          <w:rFonts w:ascii="Arial Narrow" w:hAnsi="Arial Narrow"/>
          <w:b w:val="1"/>
          <w:sz w:val="18"/>
        </w:rPr>
      </w:pPr>
    </w:p>
    <w:p>
      <w:pPr>
        <w:tabs>
          <w:tab w:val="left" w:pos="3570" w:leader="none"/>
          <w:tab w:val="center" w:pos="5046" w:leader="none"/>
        </w:tabs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18"/>
        </w:rPr>
        <w:t xml:space="preserve">Графикон </w:t>
      </w:r>
      <w:r>
        <w:rPr>
          <w:rFonts w:ascii="Arial Narrow" w:hAnsi="Arial Narrow"/>
          <w:b w:val="1"/>
          <w:sz w:val="18"/>
        </w:rPr>
        <w:t>1</w:t>
      </w:r>
      <w:r>
        <w:rPr>
          <w:rFonts w:ascii="Arial Narrow" w:hAnsi="Arial Narrow"/>
          <w:b w:val="1"/>
          <w:sz w:val="18"/>
        </w:rPr>
        <w:t>.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>Захва</w:t>
      </w:r>
      <w:r>
        <w:rPr>
          <w:rFonts w:ascii="Arial Narrow" w:hAnsi="Arial Narrow"/>
          <w:b w:val="1"/>
          <w:sz w:val="18"/>
        </w:rPr>
        <w:t xml:space="preserve">ћене </w:t>
      </w:r>
      <w:r>
        <w:rPr>
          <w:rFonts w:ascii="Arial Narrow" w:hAnsi="Arial Narrow"/>
          <w:b w:val="1"/>
          <w:sz w:val="18"/>
        </w:rPr>
        <w:t>воде за наводњавање</w:t>
      </w:r>
      <w:r>
        <w:rPr>
          <w:rFonts w:ascii="Arial Narrow" w:hAnsi="Arial Narrow"/>
          <w:b w:val="1"/>
          <w:sz w:val="18"/>
        </w:rPr>
        <w:t xml:space="preserve"> у Републици Србији</w:t>
      </w:r>
      <w:r>
        <w:rPr>
          <w:rFonts w:ascii="Arial Narrow" w:hAnsi="Arial Narrow"/>
          <w:b w:val="1"/>
          <w:sz w:val="18"/>
        </w:rPr>
        <w:t>,</w:t>
      </w:r>
      <w:r>
        <w:rPr>
          <w:rFonts w:ascii="Arial Narrow" w:hAnsi="Arial Narrow"/>
          <w:b w:val="1"/>
          <w:sz w:val="18"/>
        </w:rPr>
        <w:t xml:space="preserve"> према врсти</w:t>
      </w:r>
      <w:r>
        <w:rPr>
          <w:rFonts w:ascii="Arial Narrow" w:hAnsi="Arial Narrow"/>
          <w:b w:val="1"/>
          <w:sz w:val="18"/>
        </w:rPr>
        <w:t xml:space="preserve"> водозахвата</w:t>
      </w:r>
      <w:r>
        <w:rPr>
          <w:rFonts w:ascii="Arial Narrow" w:hAnsi="Arial Narrow"/>
          <w:b w:val="1"/>
          <w:sz w:val="18"/>
        </w:rPr>
        <w:t>,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>201</w:t>
      </w:r>
      <w:r>
        <w:rPr>
          <w:rFonts w:ascii="Arial Narrow" w:hAnsi="Arial Narrow"/>
          <w:b w:val="1"/>
          <w:sz w:val="18"/>
        </w:rPr>
        <w:t>2</w:t>
      </w:r>
      <w:r>
        <w:rPr>
          <w:rFonts w:ascii="Arial Narrow" w:hAnsi="Arial Narrow"/>
          <w:b w:val="1"/>
          <w:sz w:val="18"/>
        </w:rPr>
        <w:t>.</w:t>
      </w:r>
    </w:p>
    <w:p>
      <w:pPr>
        <w:jc w:val="center"/>
        <w:rPr>
          <w:rFonts w:ascii="Arial Narrow" w:hAnsi="Arial Narrow"/>
          <w:b w:val="1"/>
          <w:sz w:val="18"/>
        </w:rPr>
      </w:pPr>
    </w:p>
    <w:p>
      <w:pPr>
        <w:jc w:val="both"/>
        <w:rPr>
          <w:rFonts w:ascii="Arial Narrow" w:hAnsi="Arial Narrow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746760</wp:posOffset>
            </wp:positionH>
            <wp:positionV relativeFrom="paragraph">
              <wp:posOffset>3175</wp:posOffset>
            </wp:positionV>
            <wp:extent cx="4728845" cy="262636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2626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jc w:val="center"/>
        <w:rPr>
          <w:rFonts w:ascii="Arial Narrow" w:hAnsi="Arial Narrow"/>
          <w:b w:val="1"/>
          <w:sz w:val="18"/>
        </w:rPr>
      </w:pPr>
      <w:r>
        <w:rPr>
          <w:rFonts w:ascii="Arial" w:hAnsi="Arial"/>
          <w:sz w:val="18"/>
        </w:rPr>
        <w:br w:type="page"/>
      </w:r>
      <w:r>
        <w:rPr>
          <w:rFonts w:ascii="Arial Narrow" w:hAnsi="Arial Narrow"/>
          <w:b w:val="1"/>
          <w:sz w:val="18"/>
        </w:rPr>
        <w:t xml:space="preserve">Графикон </w:t>
      </w:r>
      <w:r>
        <w:rPr>
          <w:rFonts w:ascii="Arial Narrow" w:hAnsi="Arial Narrow"/>
          <w:b w:val="1"/>
          <w:sz w:val="18"/>
        </w:rPr>
        <w:t>2</w:t>
      </w:r>
      <w:r>
        <w:rPr>
          <w:rFonts w:ascii="Arial Narrow" w:hAnsi="Arial Narrow"/>
          <w:b w:val="1"/>
          <w:sz w:val="18"/>
        </w:rPr>
        <w:t>.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 xml:space="preserve">Укупне </w:t>
      </w:r>
      <w:r>
        <w:rPr>
          <w:rFonts w:ascii="Arial Narrow" w:hAnsi="Arial Narrow"/>
          <w:b w:val="1"/>
          <w:sz w:val="18"/>
        </w:rPr>
        <w:t>захваћене</w:t>
      </w:r>
      <w:r>
        <w:rPr>
          <w:rFonts w:ascii="Arial Narrow" w:hAnsi="Arial Narrow"/>
          <w:b w:val="1"/>
          <w:sz w:val="18"/>
        </w:rPr>
        <w:t xml:space="preserve"> воде за наводњавање</w:t>
      </w:r>
    </w:p>
    <w:p>
      <w:pPr>
        <w:jc w:val="center"/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b w:val="1"/>
          <w:sz w:val="18"/>
        </w:rPr>
        <w:t xml:space="preserve">                     </w:t>
      </w:r>
      <w:r>
        <w:rPr>
          <w:rFonts w:ascii="Arial Narrow" w:hAnsi="Arial Narrow"/>
          <w:b w:val="1"/>
          <w:sz w:val="18"/>
        </w:rPr>
        <w:t>у Републици Србији, 200</w:t>
      </w:r>
      <w:r>
        <w:rPr>
          <w:rFonts w:ascii="Arial Narrow" w:hAnsi="Arial Narrow"/>
          <w:b w:val="1"/>
          <w:sz w:val="18"/>
        </w:rPr>
        <w:t>7</w:t>
      </w:r>
      <w:r>
        <w:rPr>
          <w:rFonts w:ascii="Arial Narrow" w:hAnsi="Arial Narrow"/>
          <w:b w:val="1"/>
          <w:sz w:val="18"/>
        </w:rPr>
        <w:t>–</w:t>
      </w:r>
      <w:r>
        <w:rPr>
          <w:rFonts w:ascii="Arial Narrow" w:hAnsi="Arial Narrow"/>
          <w:b w:val="1"/>
          <w:sz w:val="18"/>
        </w:rPr>
        <w:t>201</w:t>
      </w:r>
      <w:r>
        <w:rPr>
          <w:rFonts w:ascii="Arial Narrow" w:hAnsi="Arial Narrow"/>
          <w:b w:val="1"/>
          <w:sz w:val="18"/>
        </w:rPr>
        <w:t>2</w:t>
      </w:r>
      <w:r>
        <w:rPr>
          <w:rFonts w:ascii="Arial Narrow" w:hAnsi="Arial Narrow"/>
          <w:b w:val="1"/>
          <w:sz w:val="18"/>
        </w:rPr>
        <w:t>.</w:t>
      </w:r>
    </w:p>
    <w:p>
      <w:pPr>
        <w:jc w:val="center"/>
        <w:rPr>
          <w:rFonts w:ascii="Arial Narrow" w:hAnsi="Arial Narrow"/>
          <w:b w:val="1"/>
          <w:sz w:val="18"/>
        </w:rPr>
      </w:pPr>
      <w:r>
        <w:rPr>
          <w:rFonts w:ascii="Times New Roman" w:hAnsi="Times New Roman"/>
          <w:sz w:val="20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815340</wp:posOffset>
            </wp:positionH>
            <wp:positionV relativeFrom="paragraph">
              <wp:posOffset>23495</wp:posOffset>
            </wp:positionV>
            <wp:extent cx="4704715" cy="2510790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5107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="1638"/>
        <w:jc w:val="both"/>
        <w:rPr>
          <w:rFonts w:ascii="Arial Narrow" w:hAnsi="Arial Narrow"/>
          <w:i w:val="0"/>
          <w:sz w:val="18"/>
        </w:rPr>
      </w:pPr>
    </w:p>
    <w:p>
      <w:pPr>
        <w:tabs>
          <w:tab w:val="left" w:pos="7728" w:leader="none"/>
        </w:tabs>
        <w:jc w:val="both"/>
        <w:rPr>
          <w:rFonts w:ascii="Arial Narrow" w:hAnsi="Arial Narrow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ind w:firstLine="414"/>
        <w:jc w:val="both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 w:val="1"/>
          <w:sz w:val="20"/>
        </w:rPr>
        <w:t xml:space="preserve">1. </w:t>
      </w:r>
      <w:r>
        <w:rPr>
          <w:rFonts w:ascii="Arial Narrow" w:hAnsi="Arial Narrow"/>
          <w:b w:val="1"/>
          <w:sz w:val="20"/>
        </w:rPr>
        <w:t>Захваћене и к</w:t>
      </w:r>
      <w:r>
        <w:rPr>
          <w:rFonts w:ascii="Arial Narrow" w:hAnsi="Arial Narrow"/>
          <w:b w:val="1"/>
          <w:sz w:val="20"/>
        </w:rPr>
        <w:t>ориш</w:t>
      </w:r>
      <w:r>
        <w:rPr>
          <w:rFonts w:ascii="Arial Narrow" w:hAnsi="Arial Narrow"/>
          <w:b w:val="1"/>
          <w:sz w:val="20"/>
        </w:rPr>
        <w:t>ћене</w:t>
      </w:r>
      <w:r>
        <w:rPr>
          <w:rFonts w:ascii="Arial Narrow" w:hAnsi="Arial Narrow"/>
          <w:b w:val="1"/>
          <w:sz w:val="20"/>
        </w:rPr>
        <w:t xml:space="preserve"> воде за наводњавање</w:t>
      </w:r>
      <w:r>
        <w:rPr>
          <w:rFonts w:ascii="Arial Narrow" w:hAnsi="Arial Narrow"/>
          <w:sz w:val="18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  <w:r>
        <w:rPr>
          <w:rFonts w:ascii="Arial Narrow" w:hAnsi="Arial Narrow"/>
          <w:b w:val="1"/>
          <w:sz w:val="20"/>
          <w:vertAlign w:val="superscript"/>
        </w:rPr>
        <w:t xml:space="preserve"> </w:t>
      </w:r>
      <w:r>
        <w:rPr>
          <w:rFonts w:ascii="Arial Narrow" w:hAnsi="Arial Narrow"/>
          <w:b w:val="1"/>
          <w:sz w:val="20"/>
        </w:rPr>
        <w:t xml:space="preserve"> </w:t>
      </w:r>
    </w:p>
    <w:p>
      <w:pPr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 xml:space="preserve">                                                                      </w:t>
      </w:r>
      <w:r>
        <w:rPr>
          <w:rFonts w:ascii="Arial Narrow" w:hAnsi="Arial Narrow"/>
          <w:b w:val="1"/>
          <w:sz w:val="16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хиљ. m</w:t>
      </w:r>
      <w:r>
        <w:rPr>
          <w:rFonts w:ascii="Arial Narrow" w:hAnsi="Arial Narrow"/>
          <w:sz w:val="16"/>
          <w:vertAlign w:val="superscript"/>
        </w:rPr>
        <w:t>3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5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6"/>
                <w:highlight w:val="red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536"/>
        </w:trPr>
        <w:tc>
          <w:tcPr>
            <w:tcW w:w="225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  <w:highlight w:val="red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Београдски регион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Војводине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Источне Србије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</w:tr>
      <w:tr>
        <w:trPr>
          <w:wAfter w:w="0" w:type="dxa"/>
          <w:trHeight w:hRule="atLeast" w:val="64"/>
        </w:trPr>
        <w:tc>
          <w:tcPr>
            <w:tcW w:w="225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5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Захваћене воде за наводњавање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110 445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22 520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47 035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657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40 233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25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Из подземних вода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5 768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4 614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657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446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25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Из водотока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100 160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22 465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37 922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39 773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25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Из осталих извора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4 517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4 499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25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Коришћене воде за наводњавање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102 669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17 736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44 143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557</w:t>
            </w:r>
          </w:p>
        </w:tc>
        <w:tc>
          <w:tcPr>
            <w:tcW w:w="130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40 233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</w:tr>
    </w:tbl>
    <w:p>
      <w:pPr>
        <w:pStyle w:val="P10"/>
        <w:rPr>
          <w:rFonts w:ascii="Arial" w:hAnsi="Arial"/>
          <w:sz w:val="13"/>
          <w:vertAlign w:val="superscript"/>
        </w:rPr>
      </w:pPr>
    </w:p>
    <w:p>
      <w:pPr>
        <w:pStyle w:val="P10"/>
        <w:rPr>
          <w:rFonts w:ascii="Arial" w:hAnsi="Arial"/>
          <w:sz w:val="13"/>
          <w:vertAlign w:val="superscript"/>
        </w:rPr>
      </w:pPr>
    </w:p>
    <w:p>
      <w:pPr>
        <w:pStyle w:val="P1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  <w:vertAlign w:val="superscript"/>
        </w:rPr>
        <w:t>1)</w:t>
      </w:r>
      <w:r>
        <w:rPr>
          <w:rFonts w:ascii="Arial Narrow" w:hAnsi="Arial Narrow"/>
          <w:sz w:val="14"/>
        </w:rPr>
        <w:t xml:space="preserve"> Претходни резултати.</w:t>
      </w: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b w:val="1"/>
          <w:sz w:val="18"/>
        </w:rPr>
        <w:t>Графикон 3</w:t>
      </w:r>
      <w:r>
        <w:rPr>
          <w:rFonts w:ascii="Arial Narrow" w:hAnsi="Arial Narrow"/>
          <w:b w:val="1"/>
          <w:sz w:val="18"/>
        </w:rPr>
        <w:t>.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 xml:space="preserve">Наводњаване површине </w:t>
      </w:r>
      <w:r>
        <w:rPr>
          <w:rFonts w:ascii="Arial Narrow" w:hAnsi="Arial Narrow"/>
          <w:b w:val="1"/>
          <w:sz w:val="18"/>
        </w:rPr>
        <w:t xml:space="preserve">у Републици Србији, </w:t>
      </w:r>
      <w:r>
        <w:rPr>
          <w:rFonts w:ascii="Arial Narrow" w:hAnsi="Arial Narrow"/>
          <w:b w:val="1"/>
          <w:sz w:val="18"/>
        </w:rPr>
        <w:t>према типу наводњавања</w:t>
      </w:r>
      <w:r>
        <w:rPr>
          <w:rFonts w:ascii="Arial Narrow" w:hAnsi="Arial Narrow"/>
          <w:b w:val="1"/>
          <w:sz w:val="18"/>
        </w:rPr>
        <w:t>,</w:t>
      </w:r>
      <w:r>
        <w:rPr>
          <w:rFonts w:ascii="Arial Narrow" w:hAnsi="Arial Narrow"/>
          <w:b w:val="1"/>
          <w:sz w:val="18"/>
        </w:rPr>
        <w:t xml:space="preserve"> 2012.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4095115" cy="237109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3710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spacing w:before="240" w:after="120"/>
        <w:ind w:firstLine="397"/>
        <w:jc w:val="both"/>
        <w:rPr>
          <w:rFonts w:ascii="Arial" w:hAnsi="Arial"/>
          <w:b w:val="1"/>
          <w:sz w:val="20"/>
        </w:rPr>
      </w:pPr>
      <w:r>
        <w:rPr>
          <w:rFonts w:ascii="Arial Narrow" w:hAnsi="Arial Narrow"/>
          <w:sz w:val="20"/>
        </w:rPr>
        <w:t>У 2012. години 94 532 ha површине било је обухваћено системима за наводњавање, од чега је наводњавано укупно 52 986 ha, а најзаступљенији тип наводњавања, као и претходне године, јесте наводњавање вештачком кишом. Од укупне наводњаване површине, орошавањем се наводњава 90% површине, док се површински и капањем наводњава по 5% површине.</w:t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 xml:space="preserve">2. </w:t>
      </w:r>
      <w:r>
        <w:rPr>
          <w:rFonts w:ascii="Arial Narrow" w:hAnsi="Arial Narrow"/>
          <w:b w:val="1"/>
          <w:sz w:val="20"/>
        </w:rPr>
        <w:t>Наводњаване површине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под усевима/засадима</w:t>
      </w:r>
      <w:r>
        <w:rPr>
          <w:rFonts w:ascii="Arial Narrow" w:hAnsi="Arial Narrow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  <w:r>
        <w:rPr>
          <w:rFonts w:ascii="Arial Narrow" w:hAnsi="Arial Narrow"/>
          <w:b w:val="1"/>
          <w:sz w:val="20"/>
        </w:rPr>
        <w:t xml:space="preserve"> </w:t>
      </w:r>
    </w:p>
    <w:p>
      <w:pPr>
        <w:rPr>
          <w:rFonts w:ascii="Arial" w:hAnsi="Arial"/>
          <w:b w:val="1"/>
          <w:sz w:val="18"/>
          <w:highlight w:val="red"/>
        </w:rPr>
      </w:pPr>
    </w:p>
    <w:p>
      <w:pPr>
        <w:rPr>
          <w:rFonts w:ascii="Arial Narrow" w:hAnsi="Arial Narrow"/>
          <w:sz w:val="16"/>
        </w:rPr>
      </w:pPr>
      <w:r>
        <w:rPr>
          <w:rFonts w:ascii="Arial Narrow" w:hAnsi="Arial Narrow"/>
          <w:b w:val="1"/>
          <w:sz w:val="18"/>
        </w:rPr>
        <w:t>Република Србија</w:t>
      </w: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ha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40"/>
        </w:trPr>
        <w:tc>
          <w:tcPr>
            <w:tcW w:w="259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  <w:highlight w:val="red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Површински</w:t>
            </w:r>
          </w:p>
        </w:tc>
        <w:tc>
          <w:tcPr>
            <w:tcW w:w="150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Орошавањем</w:t>
            </w:r>
          </w:p>
        </w:tc>
        <w:tc>
          <w:tcPr>
            <w:tcW w:w="150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Капањем</w:t>
            </w:r>
          </w:p>
        </w:tc>
        <w:tc>
          <w:tcPr>
            <w:tcW w:w="300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Kоришћена пољопривредна површина</w:t>
            </w:r>
          </w:p>
        </w:tc>
      </w:tr>
      <w:tr>
        <w:trPr>
          <w:wAfter w:w="0" w:type="dxa"/>
          <w:trHeight w:hRule="atLeast" w:val="340"/>
        </w:trPr>
        <w:tc>
          <w:tcPr>
            <w:tcW w:w="259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  <w:highlight w:val="red"/>
              </w:rPr>
            </w:pPr>
          </w:p>
        </w:tc>
        <w:tc>
          <w:tcPr>
            <w:tcW w:w="150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</w:p>
        </w:tc>
        <w:tc>
          <w:tcPr>
            <w:tcW w:w="15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oд тога: наводњавана површина</w:t>
            </w:r>
          </w:p>
        </w:tc>
      </w:tr>
      <w:tr>
        <w:trPr>
          <w:wAfter w:w="0" w:type="dxa"/>
        </w:trPr>
        <w:tc>
          <w:tcPr>
            <w:tcW w:w="259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2 676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47 744</w:t>
            </w:r>
          </w:p>
        </w:tc>
        <w:tc>
          <w:tcPr>
            <w:tcW w:w="150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2 566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4 215 557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52 986</w:t>
            </w:r>
          </w:p>
        </w:tc>
      </w:tr>
      <w:tr>
        <w:trPr>
          <w:wAfter w:w="0" w:type="dxa"/>
        </w:trPr>
        <w:tc>
          <w:tcPr>
            <w:tcW w:w="2592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  <w:highlight w:val="magenta"/>
              </w:rPr>
            </w:pPr>
          </w:p>
        </w:tc>
      </w:tr>
      <w:tr>
        <w:trPr>
          <w:wAfter w:w="0" w:type="dxa"/>
        </w:trPr>
        <w:tc>
          <w:tcPr>
            <w:tcW w:w="25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Београдски регион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4 089</w:t>
            </w:r>
          </w:p>
        </w:tc>
        <w:tc>
          <w:tcPr>
            <w:tcW w:w="150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200 832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4 165</w:t>
            </w:r>
          </w:p>
        </w:tc>
      </w:tr>
      <w:tr>
        <w:trPr>
          <w:wAfter w:w="0" w:type="dxa"/>
        </w:trPr>
        <w:tc>
          <w:tcPr>
            <w:tcW w:w="25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Војводине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1 375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35 324</w:t>
            </w:r>
          </w:p>
        </w:tc>
        <w:tc>
          <w:tcPr>
            <w:tcW w:w="150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1 136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1 646 779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37 835</w:t>
            </w:r>
          </w:p>
        </w:tc>
      </w:tr>
      <w:tr>
        <w:trPr>
          <w:wAfter w:w="0" w:type="dxa"/>
        </w:trPr>
        <w:tc>
          <w:tcPr>
            <w:tcW w:w="25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50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1 223 905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300</w:t>
            </w:r>
          </w:p>
        </w:tc>
      </w:tr>
      <w:tr>
        <w:trPr>
          <w:wAfter w:w="0" w:type="dxa"/>
        </w:trPr>
        <w:tc>
          <w:tcPr>
            <w:tcW w:w="259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1 104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8 319</w:t>
            </w:r>
          </w:p>
        </w:tc>
        <w:tc>
          <w:tcPr>
            <w:tcW w:w="150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1 264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1 144 041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10 686</w:t>
            </w:r>
          </w:p>
        </w:tc>
      </w:tr>
      <w:tr>
        <w:trPr>
          <w:wAfter w:w="0" w:type="dxa"/>
        </w:trPr>
        <w:tc>
          <w:tcPr>
            <w:tcW w:w="259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0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03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</w:tr>
    </w:tbl>
    <w:p>
      <w:pPr>
        <w:pStyle w:val="P10"/>
        <w:rPr>
          <w:rFonts w:ascii="Arial" w:hAnsi="Arial"/>
          <w:sz w:val="13"/>
          <w:vertAlign w:val="superscript"/>
        </w:rPr>
      </w:pPr>
    </w:p>
    <w:p>
      <w:pPr>
        <w:pStyle w:val="P10"/>
        <w:rPr>
          <w:rFonts w:ascii="Arial" w:hAnsi="Arial"/>
          <w:sz w:val="13"/>
          <w:vertAlign w:val="superscript"/>
        </w:rPr>
      </w:pPr>
    </w:p>
    <w:p>
      <w:pPr>
        <w:pStyle w:val="P1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  <w:vertAlign w:val="superscript"/>
        </w:rPr>
        <w:t>1)</w:t>
      </w:r>
      <w:r>
        <w:rPr>
          <w:rFonts w:ascii="Arial Narrow" w:hAnsi="Arial Narrow"/>
          <w:sz w:val="14"/>
        </w:rPr>
        <w:t xml:space="preserve"> Претходни резултати.</w:t>
      </w:r>
    </w:p>
    <w:p>
      <w:pPr>
        <w:pStyle w:val="P10"/>
        <w:rPr>
          <w:rFonts w:ascii="Arial" w:hAnsi="Arial"/>
          <w:sz w:val="13"/>
        </w:rPr>
      </w:pP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Удео наводњаване површине у односу на укупно коришћену пољопривредну површину у 2012. години је 1,26%, а у односу на површину покривену системима за наводњавање тај удео износи 56,0%.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  <w:vertAlign w:val="superscript"/>
        </w:rPr>
      </w:pPr>
      <w:r>
        <w:rPr>
          <w:rFonts w:ascii="Arial Narrow" w:hAnsi="Arial Narrow"/>
          <w:b w:val="1"/>
          <w:sz w:val="20"/>
        </w:rPr>
        <w:t xml:space="preserve">3. </w:t>
      </w:r>
      <w:r>
        <w:rPr>
          <w:rFonts w:ascii="Arial Narrow" w:hAnsi="Arial Narrow"/>
          <w:b w:val="1"/>
          <w:sz w:val="20"/>
        </w:rPr>
        <w:t>Објекти и уређаји за наводњавање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200</w:t>
      </w:r>
      <w:r>
        <w:rPr>
          <w:rFonts w:ascii="Arial Narrow" w:hAnsi="Arial Narrow"/>
          <w:b w:val="1"/>
          <w:sz w:val="20"/>
        </w:rPr>
        <w:t>8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  <w:r>
        <w:rPr>
          <w:rFonts w:ascii="Arial Narrow" w:hAnsi="Arial Narrow"/>
          <w:b w:val="1"/>
          <w:sz w:val="20"/>
          <w:vertAlign w:val="superscript"/>
        </w:rPr>
        <w:t xml:space="preserve"> </w:t>
      </w:r>
    </w:p>
    <w:p>
      <w:pPr>
        <w:jc w:val="center"/>
        <w:rPr>
          <w:rFonts w:ascii="Arial Narrow" w:hAnsi="Arial Narrow"/>
          <w:b w:val="1"/>
          <w:sz w:val="20"/>
          <w:vertAlign w:val="superscript"/>
        </w:rPr>
      </w:pPr>
    </w:p>
    <w:p>
      <w:pPr>
        <w:rPr>
          <w:rFonts w:ascii="Arial Narrow" w:hAnsi="Arial Narrow"/>
          <w:sz w:val="18"/>
          <w:highlight w:val="green"/>
        </w:rPr>
      </w:pPr>
      <w:r>
        <w:rPr>
          <w:rFonts w:ascii="Arial Narrow" w:hAnsi="Arial Narrow"/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13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13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13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13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3"/>
              </w:rPr>
            </w:pPr>
          </w:p>
        </w:tc>
        <w:tc>
          <w:tcPr>
            <w:tcW w:w="133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32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32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32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32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Црпни агрегати (број)</w:t>
            </w:r>
          </w:p>
        </w:tc>
        <w:tc>
          <w:tcPr>
            <w:tcW w:w="133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564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770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510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543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Aгрегати за орошавање (број)</w:t>
            </w:r>
          </w:p>
        </w:tc>
        <w:tc>
          <w:tcPr>
            <w:tcW w:w="133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449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480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375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371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Канали – укупно , km</w:t>
            </w:r>
          </w:p>
        </w:tc>
        <w:tc>
          <w:tcPr>
            <w:tcW w:w="133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1 258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2 297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658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517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Цевоводи – укупно, km</w:t>
            </w:r>
          </w:p>
        </w:tc>
        <w:tc>
          <w:tcPr>
            <w:tcW w:w="133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1 110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1 739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930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748</w:t>
            </w:r>
          </w:p>
        </w:tc>
        <w:tc>
          <w:tcPr>
            <w:tcW w:w="1332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1 212</w:t>
            </w:r>
          </w:p>
        </w:tc>
      </w:tr>
    </w:tbl>
    <w:p>
      <w:pPr>
        <w:rPr>
          <w:sz w:val="13"/>
        </w:rPr>
      </w:pPr>
    </w:p>
    <w:p>
      <w:pPr>
        <w:pStyle w:val="P10"/>
        <w:rPr>
          <w:rFonts w:ascii="Arial" w:hAnsi="Arial"/>
          <w:sz w:val="13"/>
          <w:vertAlign w:val="superscript"/>
        </w:rPr>
      </w:pPr>
    </w:p>
    <w:p>
      <w:pPr>
        <w:rPr>
          <w:rFonts w:ascii="Arial Narrow" w:hAnsi="Arial Narrow"/>
          <w:b w:val="1"/>
          <w:sz w:val="14"/>
        </w:rPr>
      </w:pPr>
      <w:r>
        <w:rPr>
          <w:rFonts w:ascii="Arial Narrow" w:hAnsi="Arial Narrow"/>
          <w:sz w:val="14"/>
          <w:vertAlign w:val="superscript"/>
        </w:rPr>
        <w:t>1)</w:t>
      </w:r>
      <w:r>
        <w:rPr>
          <w:rFonts w:ascii="Arial Narrow" w:hAnsi="Arial Narrow"/>
          <w:sz w:val="14"/>
        </w:rPr>
        <w:t xml:space="preserve"> Претходни резултати.</w:t>
      </w:r>
    </w:p>
    <w:p>
      <w:pPr>
        <w:jc w:val="center"/>
        <w:rPr>
          <w:rFonts w:ascii="Arial" w:hAnsi="Arial"/>
          <w:b w:val="1"/>
          <w:sz w:val="18"/>
        </w:rPr>
      </w:pPr>
    </w:p>
    <w:p>
      <w:pPr>
        <w:spacing w:before="120" w:after="120"/>
        <w:ind w:firstLine="397"/>
        <w:jc w:val="both"/>
        <w:rPr>
          <w:rFonts w:ascii="Arial Narrow" w:hAnsi="Arial Narrow"/>
          <w:sz w:val="20"/>
        </w:rPr>
      </w:pP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Методолошка објашњења о наводњавању налазе се на веб-страни Републичког завода за статистику: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"http://webrzs.stat.gov.rs/WebSite/Public/PageView.aspx?pKey=201"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http://webrzs.stat.gov.rs/WebSite/Publi</w:t>
      </w:r>
      <w:bookmarkStart w:id="0" w:name="_Hlt321812357"/>
      <w:r>
        <w:rPr>
          <w:rStyle w:val="C2"/>
          <w:rFonts w:ascii="Arial Narrow" w:hAnsi="Arial Narrow"/>
          <w:sz w:val="20"/>
        </w:rPr>
        <w:t>c</w:t>
      </w:r>
      <w:bookmarkEnd w:id="0"/>
      <w:r>
        <w:rPr>
          <w:rStyle w:val="C2"/>
          <w:rFonts w:ascii="Arial Narrow" w:hAnsi="Arial Narrow"/>
          <w:sz w:val="20"/>
        </w:rPr>
        <w:t>/PageView.aspx?pKey=201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>.</w:t>
      </w: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Серије података о наводњавању од референтне 2004. године доступне су у оквиру базе података РЗС: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"http://webrzs.stat.gov.rs/WebSite/public/ReportView.aspx"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http://webrzs.stat.gov.rs/WebSite/public/ReportView.aspx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, као и у саставу публикација РЗС: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"http://webrzs.stat.gov.rs/WebSite/Public/PageView.aspx?pKey=200"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http://webrzs.stat.gov.rs/WebSite/Public/PageView.aspx?pKey=200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>.</w:t>
      </w: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Контакт особе: Милијана Ћеранић: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"mailto:milijana.ceranic@stat.gov.rs"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milijana.ceranic@stat.gov.rs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и Неда Цукавац: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"mailto:neda.cukavac@stat.gov.rs"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neda.cukavac@stat.gov.rs</w:t>
      </w:r>
      <w:r>
        <w:rPr>
          <w:rStyle w:val="C2"/>
          <w:rFonts w:ascii="Arial Narrow" w:hAnsi="Arial Narrow"/>
          <w:sz w:val="20"/>
        </w:rPr>
        <w:fldChar w:fldCharType="end"/>
      </w:r>
    </w:p>
    <w:p>
      <w:pPr>
        <w:spacing w:before="120" w:after="120"/>
        <w:ind w:firstLine="397"/>
        <w:jc w:val="both"/>
        <w:rPr>
          <w:rFonts w:ascii="Arial Narrow" w:hAnsi="Arial Narrow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  <w:numStart w:val="2"/>
      </w:footnotePr>
      <w:type w:val="continuous"/>
      <w:pgSz w:w="11907" w:h="16840" w:code="0"/>
      <w:pgMar w:left="907" w:right="907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3"/>
      <w:pBdr>
        <w:top w:val="single" w:sz="4" w:space="0" w:shadow="0" w:frame="0"/>
      </w:pBdr>
    </w:pPr>
    <w:r>
      <w:rPr>
        <w:rFonts w:ascii="Arial" w:hAnsi="Arial"/>
        <w:sz w:val="16"/>
      </w:rPr>
      <w:t>СРБ100 ЗС20 260413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3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СРБ100 ЗС20 260413</w:t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6B7DE73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5DFB3823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209B914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BE59F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A46AC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306F0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4C2CBD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502D3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60A60D5"/>
    <w:multiLevelType w:val="hybridMultilevel"/>
    <w:lvl w:ilvl="0" w:tplc="3599308E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3E89FBE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144C32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4CD5FB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BCBAA9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ADCCDA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11D736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2B771D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2ECE1B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62A0200"/>
    <w:multiLevelType w:val="hybridMultilevel"/>
    <w:lvl w:ilvl="0" w:tplc="22BE56AF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72ED770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AE3289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864826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D8864C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8CC5A0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5D7D01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A34E27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7A8B39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21D21D76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8FE49B9"/>
    <w:multiLevelType w:val="hybridMultilevel"/>
    <w:lvl w:ilvl="0" w:tplc="5D1E99F6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1601EA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958E94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EE193C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B10D96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153434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9BE44F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0450CE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CCFE2F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39EE321F"/>
    <w:multiLevelType w:val="hybridMultilevel"/>
    <w:lvl w:ilvl="0" w:tplc="17C4409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1BD9D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57486B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A4E6F5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3CCA94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B772E5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ECFD2B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612A65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4F9C67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3CC340A6"/>
    <w:multiLevelType w:val="hybridMultilevel"/>
    <w:lvl w:ilvl="0" w:tplc="13DBD91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3305E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B47D0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0D662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AB3EA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72B8C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DABC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92952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C866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AA85445"/>
    <w:multiLevelType w:val="hybridMultilevel"/>
    <w:lvl w:ilvl="0" w:tplc="2FB44A1D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612AA28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DF5836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52EDF1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AC3C12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189778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29DF9D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011D60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362AD2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53F81719"/>
    <w:multiLevelType w:val="hybridMultilevel"/>
    <w:lvl w:ilvl="0" w:tplc="50F744F5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6B79CC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379227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FF17FE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B0F1BC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B869EA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E0CEBB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95933C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E9B98F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0">
    <w:nsid w:val="55195820"/>
    <w:multiLevelType w:val="hybridMultilevel"/>
    <w:lvl w:ilvl="0" w:tplc="4D785C08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86FE85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F20CEC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F6BFA4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994AFB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775BE6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3D2948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1FBF7F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E01DD9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6C5F4DFD"/>
    <w:multiLevelType w:val="hybridMultilevel"/>
    <w:lvl w:ilvl="0" w:tplc="39F4369A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471134D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7B4E0F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2E6318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706D82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A7E45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88ADCC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A09FAD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F1A6A5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7E571AD5"/>
    <w:multiLevelType w:val="hybridMultilevel"/>
    <w:lvl w:ilvl="0" w:tplc="6EDA5F8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29561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5818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EB0F2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B075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BAD43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14822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D88E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5B0A9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Title"/>
    <w:basedOn w:val="P0"/>
    <w:next w:val="P20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1">
    <w:name w:val="Caption"/>
    <w:basedOn w:val="P0"/>
    <w:next w:val="P0"/>
    <w:pPr/>
    <w:rPr>
      <w:b w:val="1"/>
      <w:sz w:val="20"/>
    </w:rPr>
  </w:style>
  <w:style w:type="paragraph" w:styleId="P22">
    <w:name w:val="Naslov saopstenja"/>
    <w:basedOn w:val="P20"/>
    <w:next w:val="P21"/>
    <w:pPr>
      <w:spacing w:after="0"/>
    </w:pPr>
    <w:rPr>
      <w:sz w:val="24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a15vb08</dc:creator>
  <dcterms:created xsi:type="dcterms:W3CDTF">2013-04-22T10:08:00Z</dcterms:created>
  <cp:lastModifiedBy>Nikola Kapetanovic</cp:lastModifiedBy>
  <cp:lastPrinted>2013-04-22T10:10:00Z</cp:lastPrinted>
  <dcterms:modified xsi:type="dcterms:W3CDTF">2020-01-10T11:17:15Z</dcterms:modified>
  <cp:revision>9</cp:revision>
  <dc:title>Република Србија</dc:title>
</cp:coreProperties>
</file>