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26A9AB7" Type="http://schemas.openxmlformats.org/officeDocument/2006/relationships/officeDocument" Target="/word/document.xml" /><Relationship Id="coreR526A9AB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  <w:i w:val="0"/>
              </w:rPr>
            </w:pPr>
            <w:r>
              <w:rPr>
                <w:b w:val="0"/>
                <w:i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НР30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077 - год. LXIII, 29.03.2013.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националних рачуна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077</w:t>
            </w:r>
            <w:r>
              <w:rPr>
                <w:b w:val="0"/>
                <w:sz w:val="20"/>
              </w:rPr>
              <w:t xml:space="preserve"> НР30 </w:t>
            </w:r>
            <w:r>
              <w:rPr>
                <w:b w:val="0"/>
                <w:sz w:val="20"/>
              </w:rPr>
              <w:t>29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>
      <w:pPr>
        <w:jc w:val="center"/>
        <w:rPr>
          <w:rFonts w:ascii="Arial" w:hAnsi="Arial"/>
          <w:b w:val="1"/>
          <w:sz w:val="28"/>
        </w:rPr>
      </w:pPr>
    </w:p>
    <w:p>
      <w:pPr>
        <w:jc w:val="right"/>
        <w:rPr>
          <w:rFonts w:ascii="Arial" w:hAnsi="Arial"/>
          <w:b w:val="1"/>
        </w:rPr>
      </w:pPr>
    </w:p>
    <w:p>
      <w:pPr>
        <w:jc w:val="right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</w:rPr>
      </w:pPr>
      <w:r>
        <w:rPr>
          <w:rFonts w:ascii="Arial" w:hAnsi="Arial"/>
          <w:b w:val="1"/>
        </w:rPr>
        <w:t xml:space="preserve">Бруто домаћи производ Републике Србије, </w:t>
      </w:r>
      <w:r>
        <w:rPr>
          <w:rFonts w:ascii="Arial" w:hAnsi="Arial"/>
          <w:b w:val="1"/>
        </w:rPr>
        <w:t>200</w:t>
      </w:r>
      <w:r>
        <w:rPr>
          <w:rFonts w:ascii="Arial" w:hAnsi="Arial"/>
          <w:b w:val="1"/>
        </w:rPr>
        <w:t>8</w:t>
      </w:r>
      <w:r>
        <w:rPr>
          <w:rFonts w:ascii="Arial" w:hAnsi="Arial"/>
          <w:b w:val="1"/>
        </w:rPr>
        <w:t>–</w:t>
      </w:r>
      <w:r>
        <w:rPr>
          <w:rFonts w:ascii="Arial" w:hAnsi="Arial"/>
          <w:b w:val="1"/>
        </w:rPr>
        <w:t>20</w:t>
      </w:r>
      <w:r>
        <w:rPr>
          <w:rFonts w:ascii="Arial" w:hAnsi="Arial"/>
          <w:b w:val="1"/>
        </w:rPr>
        <w:t>1</w:t>
      </w:r>
      <w:r>
        <w:rPr>
          <w:rFonts w:ascii="Arial" w:hAnsi="Arial"/>
          <w:b w:val="1"/>
        </w:rPr>
        <w:t>1</w:t>
      </w:r>
      <w:r>
        <w:rPr>
          <w:rFonts w:ascii="Arial" w:hAnsi="Arial"/>
          <w:b w:val="1"/>
        </w:rPr>
        <w:t>.</w:t>
      </w:r>
    </w:p>
    <w:p>
      <w:pPr>
        <w:ind w:left="198" w:right="198"/>
        <w:jc w:val="center"/>
        <w:rPr>
          <w:rFonts w:ascii="Arial" w:hAnsi="Arial"/>
        </w:rPr>
      </w:pP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објављује резултате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 xml:space="preserve">годишњег обрачуна бруто домаћег производа (БДП) и његове финалне употребе, у текућим ценама, за период 2008–2011. године. У обрачуну БДП-а и других макроекономских агрегата примењује се методологија усклађена са Системом националних рачуна 1993 </w:t>
      </w:r>
      <w:r>
        <w:rPr>
          <w:rFonts w:ascii="Arial" w:hAnsi="Arial"/>
          <w:i w:val="1"/>
          <w:sz w:val="20"/>
        </w:rPr>
        <w:t>(</w:t>
      </w:r>
      <w:r>
        <w:rPr>
          <w:rFonts w:ascii="Arial" w:hAnsi="Arial"/>
          <w:i w:val="1"/>
          <w:sz w:val="20"/>
        </w:rPr>
        <w:t>SNA</w:t>
      </w:r>
      <w:r>
        <w:rPr>
          <w:rFonts w:ascii="Arial" w:hAnsi="Arial"/>
          <w:i w:val="1"/>
          <w:sz w:val="20"/>
        </w:rPr>
        <w:t>93</w:t>
      </w:r>
      <w:r>
        <w:rPr>
          <w:rFonts w:ascii="Arial" w:hAnsi="Arial"/>
          <w:i w:val="1"/>
          <w:sz w:val="20"/>
        </w:rPr>
        <w:t>),</w:t>
      </w:r>
      <w:r>
        <w:rPr>
          <w:rFonts w:ascii="Arial" w:hAnsi="Arial"/>
          <w:sz w:val="20"/>
        </w:rPr>
        <w:t xml:space="preserve"> Европским системом рачуна 1995 </w:t>
      </w:r>
      <w:r>
        <w:rPr>
          <w:rFonts w:ascii="Arial" w:hAnsi="Arial"/>
          <w:i w:val="1"/>
          <w:sz w:val="20"/>
        </w:rPr>
        <w:t>(</w:t>
      </w:r>
      <w:r>
        <w:rPr>
          <w:rFonts w:ascii="Arial" w:hAnsi="Arial"/>
          <w:i w:val="1"/>
          <w:sz w:val="20"/>
        </w:rPr>
        <w:t>ESA</w:t>
      </w:r>
      <w:r>
        <w:rPr>
          <w:rFonts w:ascii="Arial" w:hAnsi="Arial"/>
          <w:i w:val="1"/>
          <w:sz w:val="20"/>
        </w:rPr>
        <w:t>95</w:t>
      </w:r>
      <w:r>
        <w:rPr>
          <w:rFonts w:ascii="Arial" w:hAnsi="Arial"/>
          <w:i w:val="1"/>
          <w:sz w:val="20"/>
        </w:rPr>
        <w:t>),</w:t>
      </w:r>
      <w:r>
        <w:rPr>
          <w:rFonts w:ascii="Arial" w:hAnsi="Arial"/>
          <w:sz w:val="20"/>
        </w:rPr>
        <w:t xml:space="preserve"> међународним стандардима и препорукама, а у примени је и Класификација делатности (2010).  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Према резултатима обрачуна по производном и расходном приступу, бруто домаћи производ Републике Србије у 2011. години износио је, у текућим ценама, 3 208 620,2 мил. РСД.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t xml:space="preserve"> </w:t>
      </w:r>
      <w:r>
        <w:rPr>
          <w:rFonts w:ascii="Arial" w:hAnsi="Arial"/>
          <w:sz w:val="20"/>
        </w:rPr>
        <w:t>Посматрано по делатностима, у 2011. години најзначајније учешће у формирању БДП-а имају: сектор прерађивачке индустрије, 14,0%, сектор пословања некретнинама, 10,7%, сектор трговине на велико и мало и поправке моторних возила, 9,2%, и сектор пољопривреде, шумарства и рибарства, 9,1%.</w:t>
      </w:r>
      <w:r>
        <w:t xml:space="preserve"> 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 друге стране, у употреби БДП-а 2011. године учешће издатака за личну потрошњу домаћинстава је 76,0%, издатака за индивидуалну потрошњу државе 12,8%, издатака за колективну потрошњу државе 6,5%, бруто инвестиција у основне фондове 18,5%, извоза робе и услуга 36,6% и увоза робе и услуга 53,0%.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ind w:left="198" w:right="198"/>
        <w:rPr>
          <w:rFonts w:ascii="Arial" w:hAnsi="Arial"/>
          <w:sz w:val="20"/>
        </w:rPr>
      </w:pPr>
    </w:p>
    <w:p>
      <w:pPr>
        <w:ind w:left="198" w:right="198"/>
        <w:rPr>
          <w:rFonts w:ascii="Arial" w:hAnsi="Arial"/>
          <w:sz w:val="20"/>
        </w:rPr>
      </w:pPr>
    </w:p>
    <w:tbl>
      <w:tblPr>
        <w:tblStyle w:val="T2"/>
        <w:tblW w:w="9982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gridAfter w:val="1"/>
          <w:wAfter w:w="86" w:type="dxa"/>
        </w:trPr>
        <w:tc>
          <w:tcPr>
            <w:tcW w:w="9896" w:type="dxa"/>
            <w:gridSpan w:val="8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1. Бруто домаћи производ </w:t>
            </w:r>
            <w:r>
              <w:rPr>
                <w:rFonts w:ascii="Arial" w:hAnsi="Arial"/>
                <w:b w:val="1"/>
                <w:sz w:val="20"/>
              </w:rPr>
              <w:t xml:space="preserve">и бруто национални доходак </w:t>
            </w:r>
          </w:p>
        </w:tc>
      </w:tr>
      <w:tr>
        <w:trPr>
          <w:gridAfter w:val="1"/>
          <w:wAfter w:w="86" w:type="dxa"/>
        </w:trPr>
        <w:tc>
          <w:tcPr>
            <w:tcW w:w="9896" w:type="dxa"/>
            <w:gridSpan w:val="8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Република Србија</w:t>
            </w:r>
          </w:p>
        </w:tc>
      </w:tr>
      <w:tr>
        <w:trPr>
          <w:gridBefore w:val="1"/>
          <w:wBefore w:w="56" w:type="dxa"/>
          <w:wAfter w:w="0" w:type="dxa"/>
          <w:trHeight w:hRule="atLeast" w:val="215"/>
        </w:trPr>
        <w:tc>
          <w:tcPr>
            <w:tcW w:w="4252" w:type="dxa"/>
            <w:gridSpan w:val="3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2008</w:t>
            </w: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2009</w:t>
            </w: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2010</w:t>
            </w:r>
          </w:p>
        </w:tc>
        <w:tc>
          <w:tcPr>
            <w:tcW w:w="1420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57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57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57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57"/>
              <w:jc w:val="right"/>
              <w:rPr>
                <w:rFonts w:ascii="Arial" w:hAnsi="Arial"/>
                <w:b w:val="1"/>
                <w:sz w:val="10"/>
              </w:rPr>
            </w:pP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БРУТО ДОМАЋИ ПРОИЗВОД – укупно, мил. </w:t>
            </w:r>
            <w:r>
              <w:rPr>
                <w:rFonts w:ascii="Arial" w:hAnsi="Arial"/>
                <w:b w:val="1"/>
                <w:sz w:val="15"/>
              </w:rPr>
              <w:t>РСД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2661386,7</w:t>
            </w:r>
          </w:p>
        </w:tc>
        <w:tc>
          <w:tcPr>
            <w:tcW w:w="1418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2720083,5</w:t>
            </w: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2881891,0</w:t>
            </w: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bookmarkStart w:id="0" w:name="OLE_LINK1"/>
            <w:r>
              <w:rPr>
                <w:rFonts w:ascii="Arial" w:hAnsi="Arial"/>
                <w:b w:val="1"/>
                <w:sz w:val="15"/>
              </w:rPr>
              <w:t>3208620,2</w:t>
            </w:r>
            <w:bookmarkEnd w:id="0"/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Бруто домаћи производ – по становнику, РСД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362082</w:t>
            </w:r>
          </w:p>
        </w:tc>
        <w:tc>
          <w:tcPr>
            <w:tcW w:w="1418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371555</w:t>
            </w: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395243</w:t>
            </w: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442035</w:t>
            </w: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Просечан број становника, средином године – у хиљ. 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7350,2</w:t>
            </w:r>
          </w:p>
        </w:tc>
        <w:tc>
          <w:tcPr>
            <w:tcW w:w="1418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7320,8</w:t>
            </w: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7291,4</w:t>
            </w: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7258,8</w:t>
            </w: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141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 </w:t>
            </w:r>
          </w:p>
        </w:tc>
        <w:tc>
          <w:tcPr>
            <w:tcW w:w="141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 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 </w:t>
            </w:r>
          </w:p>
        </w:tc>
        <w:tc>
          <w:tcPr>
            <w:tcW w:w="1418" w:type="dxa"/>
            <w:tcBorders>
              <w:top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14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БРУТО ДОМАЋИ ПРОИЗВОД – укупно, мил. </w:t>
            </w:r>
            <w:r>
              <w:rPr>
                <w:rFonts w:ascii="Arial" w:hAnsi="Arial"/>
                <w:b w:val="1"/>
                <w:sz w:val="15"/>
              </w:rPr>
              <w:t>USD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47760,6</w:t>
            </w:r>
          </w:p>
        </w:tc>
        <w:tc>
          <w:tcPr>
            <w:tcW w:w="1418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40254,1</w:t>
            </w: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37073,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43751,4</w:t>
            </w: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Бруто домаћи производ – по становнику, USD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6498</w:t>
            </w:r>
          </w:p>
        </w:tc>
        <w:tc>
          <w:tcPr>
            <w:tcW w:w="1418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5499</w:t>
            </w: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5085</w:t>
            </w: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6027</w:t>
            </w: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Просечан курс, USD 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55,7235</w:t>
            </w:r>
          </w:p>
        </w:tc>
        <w:tc>
          <w:tcPr>
            <w:tcW w:w="1418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67,5729</w:t>
            </w: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77,7341</w:t>
            </w: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73,3375</w:t>
            </w: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141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1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14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БРУТО ДОМАЋИ ПРОИЗВОД – укупно, мил. </w:t>
            </w:r>
            <w:r>
              <w:rPr>
                <w:rFonts w:ascii="Arial" w:hAnsi="Arial"/>
                <w:b w:val="1"/>
                <w:sz w:val="15"/>
              </w:rPr>
              <w:t>EUR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32668,2</w:t>
            </w:r>
          </w:p>
        </w:tc>
        <w:tc>
          <w:tcPr>
            <w:tcW w:w="1418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28956,6</w:t>
            </w: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28006,1</w:t>
            </w: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31470,3</w:t>
            </w: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Бруто домаћи производ – по становнику, EUR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4445</w:t>
            </w:r>
          </w:p>
        </w:tc>
        <w:tc>
          <w:tcPr>
            <w:tcW w:w="1418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3955</w:t>
            </w: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3841</w:t>
            </w: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4336</w:t>
            </w: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Просечан курс, EUR 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81,4672</w:t>
            </w:r>
          </w:p>
        </w:tc>
        <w:tc>
          <w:tcPr>
            <w:tcW w:w="1418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93,9366</w:t>
            </w: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102,9022</w:t>
            </w: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101,9572</w:t>
            </w: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141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1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14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БРУТО НАЦИОНАЛНИ ДОХОДАК – укупно, мил. РСД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2586951,9</w:t>
            </w:r>
          </w:p>
        </w:tc>
        <w:tc>
          <w:tcPr>
            <w:tcW w:w="1418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2677397,7</w:t>
            </w: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2817807,0</w:t>
            </w: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3136324,0</w:t>
            </w: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БРУТО НАЦИОНАЛНИ ДОХОДАК – укупно, мил. USD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46424,8</w:t>
            </w:r>
          </w:p>
        </w:tc>
        <w:tc>
          <w:tcPr>
            <w:tcW w:w="1418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39622,4</w:t>
            </w: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36249,3</w:t>
            </w: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42765,6</w:t>
            </w: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БРУТО НАЦИОНАЛНИ ДОХОДАК – укупно, мил. EUR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31754,5</w:t>
            </w:r>
          </w:p>
        </w:tc>
        <w:tc>
          <w:tcPr>
            <w:tcW w:w="1418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28502,2</w:t>
            </w: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27383,4</w:t>
            </w: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30761,2</w:t>
            </w: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141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0"/>
              </w:rPr>
            </w:pPr>
          </w:p>
        </w:tc>
      </w:tr>
    </w:tbl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808" w:type="dxa"/>
            <w:gridSpan w:val="10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2. Бруто </w:t>
            </w:r>
            <w:r>
              <w:rPr>
                <w:rFonts w:ascii="Arial" w:hAnsi="Arial"/>
                <w:b w:val="1"/>
                <w:sz w:val="20"/>
              </w:rPr>
              <w:t>додата вредност, по делатностима, и бруто домаћи производ</w:t>
            </w:r>
          </w:p>
        </w:tc>
      </w:tr>
      <w:tr>
        <w:trPr>
          <w:wAfter w:w="0" w:type="dxa"/>
        </w:trPr>
        <w:tc>
          <w:tcPr>
            <w:tcW w:w="9808" w:type="dxa"/>
            <w:gridSpan w:val="10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808" w:type="dxa"/>
            <w:gridSpan w:val="10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мил. РСД</w:t>
            </w:r>
          </w:p>
        </w:tc>
        <w:tc>
          <w:tcPr>
            <w:tcW w:w="328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Структура у %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2008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2009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2010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2008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2009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2010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А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Пољопривреда, шумарство и    рибарство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237474,6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218005,3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245127,5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292918,7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9,1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B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Рударство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32910,6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36387,6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42336,2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52618,6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1,6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C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Прерађивачка индустрија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373645,3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370264,3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389942,3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449840,6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14,0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D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Снабдевање електричном енергијом, гасом и паром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69284,7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86388,3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90119,5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113845,1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3,5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E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Снабдевање водом и управљање отпадним водама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26754,7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28897,9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33736,5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38667,6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1,2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F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Грађевинарство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125692,3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111747,6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114513,5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135604,3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4,7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4,2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G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Трговина на велико и мало и поправка моторних возила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277794,2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258486,9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267969,6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295111,7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9,2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H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Саобраћај и складиштење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122502,9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126593,4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132582,1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143766,5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4,7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4,5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I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Услуге смештаја и исхране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25612,6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27693,2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27507,8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32595,5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1,0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J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Информисање и комуникације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106128,0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114393,5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123813,7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sz w:val="15"/>
              </w:rPr>
              <w:t>138985,5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4,3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K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Финансијске делатности и делатност осигурања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77917,4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85076,4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94803,0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sz w:val="15"/>
              </w:rPr>
              <w:t>96079,3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3,0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L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Пoсловање некретнинама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258029,0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297809,0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322186,7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344446,5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9,7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10,7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M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Стручне, научне, иновационе и техничке делатности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112861,0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97084,0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97926,6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112168,0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3,5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N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Административне и помоћне услужне делатности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42224,4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39403,9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42941,3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46785,8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1,5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O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Државна управа и обавезно социјално осигурање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91633,2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90452,4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100137,0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112037,9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3,5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P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Образовање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114757,2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119411,4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121467,4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125125,0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3,9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Q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Здравствена и социјална заштита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144343,4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150012,9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151009,0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sz w:val="15"/>
              </w:rPr>
              <w:t>179781,8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5,6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R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Уметност, забава и рекреација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23463,6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35035,7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38724,8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29594,0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0,9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S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Остале услужне делатности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24257,0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37779,0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37213,7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36740,9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1,1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T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Дeлатност домаћинства као послодавца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2598,0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2468,4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2685,1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2809,4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0,1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U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Делатност екстериторијалних организација и тела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Делатности – укупно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2289884,2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2333391,1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2476743,2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2779522,7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86,0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85,8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85,9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86,6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28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 IS" w:hAnsi="Arial IS"/>
                <w:sz w:val="15"/>
              </w:rPr>
            </w:pPr>
            <w:r>
              <w:rPr>
                <w:rFonts w:ascii="Arial IS" w:hAnsi="Arial IS"/>
                <w:sz w:val="15"/>
              </w:rPr>
              <w:t>FISIM</w:t>
            </w:r>
            <w:r>
              <w:rPr>
                <w:rFonts w:ascii="Arial IS" w:hAnsi="Arial IS"/>
                <w:sz w:val="15"/>
                <w:vertAlign w:val="superscript"/>
              </w:rPr>
              <w:t xml:space="preserve">1) </w:t>
            </w:r>
            <w:r>
              <w:rPr>
                <w:rFonts w:ascii="Arial IS" w:hAnsi="Arial IS"/>
                <w:sz w:val="15"/>
              </w:rPr>
              <w:t xml:space="preserve"> ( - )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 IS" w:hAnsi="Arial IS"/>
                <w:sz w:val="15"/>
              </w:rPr>
            </w:pPr>
            <w:r>
              <w:rPr>
                <w:rFonts w:ascii="Arial IS" w:hAnsi="Arial IS"/>
                <w:sz w:val="15"/>
              </w:rPr>
              <w:t>59878,3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 IS" w:hAnsi="Arial IS"/>
                <w:sz w:val="15"/>
              </w:rPr>
            </w:pPr>
            <w:r>
              <w:rPr>
                <w:rFonts w:ascii="Arial IS" w:hAnsi="Arial IS"/>
                <w:sz w:val="15"/>
              </w:rPr>
              <w:t>68726,9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 IS" w:hAnsi="Arial IS"/>
                <w:sz w:val="15"/>
              </w:rPr>
            </w:pPr>
            <w:r>
              <w:rPr>
                <w:rFonts w:ascii="Arial IS" w:hAnsi="Arial IS"/>
                <w:sz w:val="15"/>
              </w:rPr>
              <w:t>76702,3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 IS" w:hAnsi="Arial IS"/>
                <w:sz w:val="15"/>
              </w:rPr>
            </w:pPr>
            <w:r>
              <w:rPr>
                <w:rFonts w:ascii="Arial IS" w:hAnsi="Arial IS"/>
                <w:sz w:val="15"/>
              </w:rPr>
              <w:t>80947,8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 IS" w:hAnsi="Arial IS"/>
                <w:sz w:val="15"/>
              </w:rPr>
            </w:pPr>
            <w:r>
              <w:rPr>
                <w:rFonts w:ascii="Arial IS" w:hAnsi="Arial IS"/>
                <w:sz w:val="15"/>
              </w:rPr>
              <w:t>2,2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 IS" w:hAnsi="Arial IS"/>
                <w:sz w:val="15"/>
              </w:rPr>
            </w:pPr>
            <w:r>
              <w:rPr>
                <w:rFonts w:ascii="Arial IS" w:hAnsi="Arial IS"/>
                <w:sz w:val="15"/>
              </w:rPr>
              <w:t>2,5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 IS" w:hAnsi="Arial IS"/>
                <w:sz w:val="15"/>
              </w:rPr>
            </w:pPr>
            <w:r>
              <w:rPr>
                <w:rFonts w:ascii="Arial IS" w:hAnsi="Arial IS"/>
                <w:sz w:val="15"/>
              </w:rPr>
              <w:t>2,7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 IS" w:hAnsi="Arial IS"/>
                <w:sz w:val="15"/>
              </w:rPr>
            </w:pPr>
            <w:r>
              <w:rPr>
                <w:rFonts w:ascii="Arial IS" w:hAnsi="Arial IS"/>
                <w:sz w:val="15"/>
              </w:rPr>
              <w:t>2,5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28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Бруто додата вредност (БДВ)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2230005,9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2264664,2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2400040,9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2698575,0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83,8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83,3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83,3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84,1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28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hanging="227" w:left="227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sz w:val="15"/>
              </w:rPr>
              <w:t>Порези на производе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482632,9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489628,6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528754,4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560692,6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17,5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hanging="227" w:left="227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sz w:val="15"/>
              </w:rPr>
              <w:t>Субвенције на производе ( - )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51252,1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34209,3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46904,3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50647,4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1,6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28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БРУТО ДОМАЋИ ПРОИЗВОД (БДП)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2661386,7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2720083,5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2881891,0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3208620,2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100,0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100,0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100,0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100,0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jc w:val="both"/>
        <w:rPr>
          <w:rFonts w:ascii="Arial IS" w:hAnsi="Arial IS"/>
          <w:sz w:val="14"/>
          <w:vertAlign w:val="superscript"/>
        </w:rPr>
      </w:pPr>
    </w:p>
    <w:p>
      <w:pPr>
        <w:jc w:val="both"/>
        <w:rPr>
          <w:rFonts w:ascii="Arial IS" w:hAnsi="Arial IS"/>
          <w:sz w:val="14"/>
        </w:rPr>
      </w:pPr>
      <w:r>
        <w:rPr>
          <w:rFonts w:ascii="Arial IS" w:hAnsi="Arial IS"/>
          <w:sz w:val="14"/>
          <w:vertAlign w:val="superscript"/>
        </w:rPr>
        <w:t xml:space="preserve">1) </w:t>
      </w:r>
      <w:r>
        <w:rPr>
          <w:rFonts w:ascii="Arial IS" w:hAnsi="Arial IS"/>
          <w:sz w:val="14"/>
        </w:rPr>
        <w:t>Услуге финансијског посредовања индиректно мерене.</w:t>
      </w:r>
    </w:p>
    <w:p>
      <w:pPr>
        <w:rPr>
          <w:rFonts w:ascii="Arial" w:hAnsi="Arial"/>
        </w:rPr>
      </w:pPr>
    </w:p>
    <w:p>
      <w:pPr>
        <w:rPr>
          <w:rFonts w:ascii="Arial" w:hAnsi="Arial"/>
          <w:sz w:val="6"/>
        </w:rPr>
      </w:pPr>
      <w:r>
        <w:rPr>
          <w:rFonts w:ascii="Arial" w:hAnsi="Arial"/>
        </w:rPr>
        <w:br w:type="page"/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808" w:type="dxa"/>
            <w:gridSpan w:val="9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3. Употреба бруто домаћег производа</w:t>
            </w:r>
          </w:p>
        </w:tc>
      </w:tr>
      <w:tr>
        <w:trPr>
          <w:wAfter w:w="0" w:type="dxa"/>
        </w:trPr>
        <w:tc>
          <w:tcPr>
            <w:tcW w:w="9808" w:type="dxa"/>
            <w:gridSpan w:val="9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808" w:type="dxa"/>
            <w:gridSpan w:val="9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232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мил. РСД</w:t>
            </w:r>
          </w:p>
        </w:tc>
        <w:tc>
          <w:tcPr>
            <w:tcW w:w="328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Структура у %</w:t>
            </w:r>
          </w:p>
        </w:tc>
      </w:tr>
      <w:tr>
        <w:trPr>
          <w:wAfter w:w="0" w:type="dxa"/>
        </w:trPr>
        <w:tc>
          <w:tcPr>
            <w:tcW w:w="3232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2008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2009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2010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2008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2009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2010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b w:val="1"/>
                <w:sz w:val="15"/>
              </w:rPr>
            </w:pPr>
            <w:bookmarkStart w:id="1" w:name="OLE_LINK2"/>
            <w:r>
              <w:rPr>
                <w:rFonts w:ascii="Arial" w:hAnsi="Arial"/>
                <w:b w:val="1"/>
                <w:sz w:val="15"/>
              </w:rPr>
              <w:t>БРУТО ДОМАЋИ ПРОИЗВОД (БДП)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2661386,7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2720083,5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2881891,0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3208620,2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100,0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100,0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100,0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100,0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28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Издаци за финалну потрошњу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2584531,6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2708338,6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2876882,1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3088794,4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97,1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99,6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99,8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96,3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Издаци за личну потрошњу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2396704,6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2530302,4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2686492,9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2879537,1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90,1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93,0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93,2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89,7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left="28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Сектора домаћинстава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2023582,9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2143204,5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2282827,5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2438230,7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78,8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79,2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76,0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left="284"/>
              <w:rPr>
                <w:rFonts w:ascii="Arial" w:hAnsi="Arial"/>
                <w:sz w:val="15"/>
                <w:vertAlign w:val="superscript"/>
              </w:rPr>
            </w:pPr>
            <w:r>
              <w:rPr>
                <w:rFonts w:ascii="Arial" w:hAnsi="Arial"/>
                <w:sz w:val="15"/>
              </w:rPr>
              <w:t>Сектора НПИД</w:t>
            </w:r>
            <w:r>
              <w:rPr>
                <w:rFonts w:ascii="Arial" w:hAnsi="Arial"/>
                <w:sz w:val="15"/>
                <w:vertAlign w:val="superscript"/>
              </w:rPr>
              <w:t>1)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26525,7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25237,2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27349,4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31151,7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1,0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left="28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Сектора државе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346596,0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361860,7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376316,0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410154,7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12,8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Издаци за колективну потрошњу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187827,0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178036,2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190389,2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209257,3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6,5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Бруто инвестиције у основне фондове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632410,6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510227,4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512287,1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592844,3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23,8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18,8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17,8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18,5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Промене у залихама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158908,3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-19382,2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-15569,4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53464,4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-0,7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-0,5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1,7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Статистичка разлика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Промене у драгоценостима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413,0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6,0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7,0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Извоз робе и услуга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835328,7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801049,7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1036903,0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1173436,7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36,6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Увоз робе и услуга ( - )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1550205,5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1280155,0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1528617,8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1699926,6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58,2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47,1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53,0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  <w:bookmarkEnd w:id="1"/>
          </w:p>
        </w:tc>
        <w:tc>
          <w:tcPr>
            <w:tcW w:w="822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right="28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</w:tr>
    </w:tbl>
    <w:p>
      <w:pPr>
        <w:rPr>
          <w:rFonts w:ascii="Arial" w:hAnsi="Arial"/>
          <w:sz w:val="16"/>
        </w:rPr>
      </w:pPr>
    </w:p>
    <w:p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 xml:space="preserve">1) </w:t>
      </w:r>
      <w:r>
        <w:rPr>
          <w:rFonts w:ascii="Arial" w:hAnsi="Arial"/>
          <w:sz w:val="14"/>
        </w:rPr>
        <w:t>Непрофитне институције које пружају услуге домаћинствима.</w:t>
      </w:r>
    </w:p>
    <w:p>
      <w:pPr>
        <w:rPr>
          <w:rFonts w:ascii="Arial" w:hAnsi="Arial"/>
        </w:rPr>
      </w:pPr>
    </w:p>
    <w:p>
      <w:pPr>
        <w:ind w:left="198" w:right="198"/>
        <w:rPr>
          <w:rFonts w:ascii="Arial" w:hAnsi="Arial"/>
        </w:rPr>
      </w:pPr>
    </w:p>
    <w:p>
      <w:pPr>
        <w:ind w:left="198" w:right="198"/>
        <w:rPr>
          <w:rFonts w:ascii="Arial" w:hAnsi="Arial"/>
        </w:rPr>
      </w:pPr>
    </w:p>
    <w:p>
      <w:pPr>
        <w:ind w:left="198" w:right="198"/>
        <w:rPr>
          <w:rFonts w:ascii="Arial" w:hAnsi="Arial"/>
        </w:rPr>
      </w:pP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Методолошка објашњења везана за годишњи обрачун БДП-а налазе се на сајту Републичког завода за статистику: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"http://webrzs.stat.gov.rs/WebSite/Public/PageView.aspx?pKey=64" </w:instrText>
      </w:r>
      <w:r>
        <w:rPr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http://webrzs.stat.gov.rs</w:t>
      </w:r>
      <w:bookmarkStart w:id="2" w:name="_Hlt351972430"/>
      <w:r>
        <w:rPr>
          <w:rStyle w:val="C2"/>
          <w:rFonts w:ascii="Arial" w:hAnsi="Arial"/>
          <w:sz w:val="20"/>
        </w:rPr>
        <w:t>/</w:t>
      </w:r>
      <w:bookmarkEnd w:id="2"/>
      <w:bookmarkStart w:id="3" w:name="_Hlt351972396"/>
      <w:bookmarkStart w:id="4" w:name="_Hlt351972397"/>
      <w:r>
        <w:rPr>
          <w:rStyle w:val="C2"/>
          <w:rFonts w:ascii="Arial" w:hAnsi="Arial"/>
          <w:sz w:val="20"/>
        </w:rPr>
        <w:t>W</w:t>
      </w:r>
      <w:bookmarkEnd w:id="3"/>
      <w:bookmarkEnd w:id="4"/>
      <w:r>
        <w:rPr>
          <w:rStyle w:val="C2"/>
          <w:rFonts w:ascii="Arial" w:hAnsi="Arial"/>
          <w:sz w:val="20"/>
        </w:rPr>
        <w:t>ebSite/Public/PageView.aspx?pKey=64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Детаљније и дуже серије података у текућим ценама расположиве су на сајту Републичког завода за статистику, у бази података (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"http://webrzs.stat.gov.rs/WebSite/public/ReportView.aspx" </w:instrText>
      </w:r>
      <w:r>
        <w:rPr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http://webrzs.sta</w:t>
      </w:r>
      <w:bookmarkStart w:id="5" w:name="_Hlt351972446"/>
      <w:r>
        <w:rPr>
          <w:rStyle w:val="C2"/>
          <w:rFonts w:ascii="Arial" w:hAnsi="Arial"/>
          <w:sz w:val="20"/>
        </w:rPr>
        <w:t>t</w:t>
      </w:r>
      <w:bookmarkEnd w:id="5"/>
      <w:r>
        <w:rPr>
          <w:rStyle w:val="C2"/>
          <w:rFonts w:ascii="Arial" w:hAnsi="Arial"/>
          <w:sz w:val="20"/>
        </w:rPr>
        <w:t>.gov.rs/WebSite/public/ReportView.aspx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).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складу с преласком на нови међународни стандард ESA 2010, ревидиране серије података биће објављене у последњем кварталу 2014. године.</w:t>
      </w:r>
    </w:p>
    <w:p>
      <w:pPr>
        <w:ind w:left="198" w:right="198"/>
        <w:rPr>
          <w:rFonts w:ascii="Arial" w:hAnsi="Arial"/>
        </w:rPr>
      </w:pPr>
    </w:p>
    <w:p>
      <w:pPr>
        <w:ind w:left="198" w:right="198"/>
        <w:rPr>
          <w:rFonts w:ascii="Arial" w:hAnsi="Arial"/>
        </w:rPr>
      </w:pPr>
    </w:p>
    <w:p>
      <w:pPr>
        <w:ind w:left="198" w:right="198"/>
        <w:rPr>
          <w:rFonts w:ascii="Arial" w:hAnsi="Arial"/>
        </w:rPr>
      </w:pPr>
    </w:p>
    <w:p>
      <w:pPr>
        <w:ind w:left="198" w:right="198"/>
        <w:rPr>
          <w:rFonts w:ascii="Arial" w:hAnsi="Arial"/>
        </w:rPr>
      </w:pPr>
    </w:p>
    <w:p>
      <w:pPr>
        <w:ind w:left="198" w:right="198"/>
        <w:rPr>
          <w:rFonts w:ascii="Arial" w:hAnsi="Arial"/>
        </w:rPr>
      </w:pPr>
    </w:p>
    <w:p>
      <w:pPr>
        <w:ind w:left="198" w:right="198"/>
        <w:rPr>
          <w:rFonts w:ascii="Arial" w:hAnsi="Arial"/>
        </w:rPr>
      </w:pPr>
    </w:p>
    <w:p>
      <w:pPr>
        <w:ind w:left="198" w:right="198"/>
        <w:rPr>
          <w:rFonts w:ascii="Arial" w:hAnsi="Arial"/>
        </w:rPr>
      </w:pPr>
    </w:p>
    <w:p>
      <w:pPr>
        <w:ind w:left="198" w:right="198"/>
        <w:rPr>
          <w:rFonts w:ascii="Arial" w:hAnsi="Arial"/>
        </w:rPr>
      </w:pPr>
    </w:p>
    <w:p>
      <w:pPr>
        <w:ind w:left="198" w:right="198"/>
        <w:rPr>
          <w:rFonts w:ascii="Arial" w:hAnsi="Arial"/>
        </w:rPr>
      </w:pPr>
    </w:p>
    <w:p>
      <w:pPr>
        <w:ind w:right="198"/>
        <w:rPr>
          <w:rFonts w:ascii="Arial" w:hAnsi="Arial"/>
        </w:rPr>
      </w:pPr>
    </w:p>
    <w:p>
      <w:pPr>
        <w:ind w:left="198" w:right="198"/>
        <w:rPr>
          <w:rFonts w:ascii="Arial" w:hAnsi="Arial"/>
        </w:rPr>
      </w:pPr>
    </w:p>
    <w:p>
      <w:pPr>
        <w:ind w:left="198" w:right="198"/>
        <w:rPr>
          <w:rFonts w:ascii="Arial" w:hAnsi="Arial"/>
        </w:rPr>
      </w:pPr>
    </w:p>
    <w:p>
      <w:pPr>
        <w:ind w:left="198" w:right="198"/>
        <w:rPr>
          <w:rFonts w:ascii="Arial" w:hAnsi="Arial"/>
        </w:rPr>
      </w:pPr>
    </w:p>
    <w:p>
      <w:pPr>
        <w:ind w:left="198" w:right="198"/>
        <w:rPr>
          <w:rFonts w:ascii="Arial" w:hAnsi="Arial"/>
        </w:rPr>
      </w:pPr>
    </w:p>
    <w:p>
      <w:pPr>
        <w:ind w:left="198" w:right="198"/>
        <w:rPr>
          <w:rFonts w:ascii="Arial" w:hAnsi="Arial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2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годишња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vAnchor="text" w:hAnchor="margin" w:x="-16" w:y="1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10"/>
      <w:pBdr>
        <w:top w:val="single" w:sz="4" w:space="0" w:shadow="0" w:frame="0"/>
      </w:pBdr>
      <w:tabs>
        <w:tab w:val="clear" w:pos="8640" w:leader="none"/>
        <w:tab w:val="right" w:pos="9900" w:leader="none"/>
      </w:tabs>
    </w:pPr>
    <w:r>
      <w:rPr>
        <w:rFonts w:ascii="Arial" w:hAnsi="Arial"/>
        <w:sz w:val="16"/>
      </w:rPr>
      <w:t>СРБ077 НР30 290313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vAnchor="text" w:hAnchor="margin" w:x="-16" w:y="1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10"/>
      <w:pBdr>
        <w:top w:val="single" w:sz="4" w:space="0" w:shadow="0" w:frame="0"/>
      </w:pBdr>
      <w:tabs>
        <w:tab w:val="clear" w:pos="8640" w:leader="none"/>
        <w:tab w:val="right" w:pos="9900" w:leader="none"/>
      </w:tabs>
      <w:jc w:val="right"/>
    </w:pPr>
    <w:r>
      <w:rPr>
        <w:rFonts w:ascii="Arial" w:hAnsi="Arial"/>
        <w:sz w:val="16"/>
      </w:rPr>
      <w:t>СРБ077 НР30 290313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jc w:val="center"/>
      <w:outlineLvl w:val="0"/>
    </w:pPr>
    <w:rPr>
      <w:rFonts w:ascii="Arial" w:hAnsi="Arial"/>
      <w:b w:val="1"/>
      <w:color w:val="000000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 Narrow" w:hAnsi="Arial Narrow"/>
      <w:b w:val="1"/>
      <w:sz w:val="22"/>
    </w:rPr>
  </w:style>
  <w:style w:type="paragraph" w:styleId="P4">
    <w:name w:val="Heading 3"/>
    <w:basedOn w:val="P0"/>
    <w:next w:val="P0"/>
    <w:pPr>
      <w:keepNext w:val="1"/>
      <w:ind w:hanging="14" w:left="44"/>
      <w:outlineLvl w:val="2"/>
    </w:pPr>
    <w:rPr>
      <w:rFonts w:ascii="Arial Narrow" w:hAnsi="Arial Narrow"/>
      <w:b w:val="1"/>
      <w:color w:val="000000"/>
      <w:sz w:val="16"/>
    </w:rPr>
  </w:style>
  <w:style w:type="paragraph" w:styleId="P5">
    <w:name w:val="Heading 4"/>
    <w:basedOn w:val="P0"/>
    <w:next w:val="P0"/>
    <w:pPr>
      <w:keepNext w:val="1"/>
      <w:jc w:val="center"/>
      <w:outlineLvl w:val="3"/>
    </w:pPr>
    <w:rPr>
      <w:rFonts w:ascii="Arial" w:hAnsi="Arial"/>
      <w:b w:val="1"/>
    </w:rPr>
  </w:style>
  <w:style w:type="paragraph" w:styleId="P6">
    <w:name w:val="Heading 5"/>
    <w:basedOn w:val="P0"/>
    <w:next w:val="P0"/>
    <w:pPr>
      <w:keepNext w:val="1"/>
      <w:jc w:val="both"/>
      <w:outlineLvl w:val="4"/>
    </w:pPr>
    <w:rPr>
      <w:rFonts w:ascii="Arial" w:hAnsi="Arial"/>
      <w:b w:val="1"/>
      <w:i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  <w:sz w:val="18"/>
    </w:rPr>
  </w:style>
  <w:style w:type="paragraph" w:styleId="P8">
    <w:name w:val="Heading 7"/>
    <w:basedOn w:val="P0"/>
    <w:next w:val="P0"/>
    <w:pPr>
      <w:keepNext w:val="1"/>
      <w:outlineLvl w:val="6"/>
    </w:pPr>
    <w:rPr>
      <w:b w:val="1"/>
      <w:sz w:val="72"/>
    </w:rPr>
  </w:style>
  <w:style w:type="paragraph" w:styleId="P9">
    <w:name w:val="Heading 8"/>
    <w:basedOn w:val="P0"/>
    <w:next w:val="P0"/>
    <w:pPr>
      <w:keepNext w:val="1"/>
      <w:outlineLvl w:val="7"/>
    </w:pPr>
    <w:rPr>
      <w:rFonts w:ascii="Arial" w:hAnsi="Arial"/>
      <w:b w:val="1"/>
      <w:sz w:val="18"/>
    </w:rPr>
  </w:style>
  <w:style w:type="paragraph" w:styleId="P10">
    <w:name w:val="Foot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 Indent 2"/>
    <w:basedOn w:val="P0"/>
    <w:next w:val="P12"/>
    <w:pPr>
      <w:ind w:firstLine="360" w:left="360"/>
      <w:jc w:val="both"/>
    </w:pPr>
    <w:rPr>
      <w:rFonts w:ascii="Arial" w:hAnsi="Arial"/>
      <w:sz w:val="22"/>
    </w:rPr>
  </w:style>
  <w:style w:type="paragraph" w:styleId="P13">
    <w:name w:val="Car Car"/>
    <w:basedOn w:val="P0"/>
    <w:next w:val="P13"/>
    <w:link w:val="C0"/>
    <w:pPr>
      <w:spacing w:lineRule="exact" w:line="240" w:after="160"/>
    </w:pPr>
    <w:rPr>
      <w:rFonts w:ascii="Verdana" w:hAnsi="Verdana"/>
      <w:i w:val="1"/>
      <w:sz w:val="20"/>
    </w:rPr>
  </w:style>
  <w:style w:type="character" w:styleId="C0" w:default="1">
    <w:name w:val="Default Paragraph Font"/>
    <w:link w:val="P13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2013-03-28T13:25:00Z</dcterms:created>
  <cp:lastModifiedBy>Nikola Kapetanovic</cp:lastModifiedBy>
  <cp:lastPrinted>2013-03-25T10:21:00Z</cp:lastPrinted>
  <dcterms:modified xsi:type="dcterms:W3CDTF">2020-01-10T11:17:14Z</dcterms:modified>
  <cp:revision>3</cp:revision>
  <dc:title>Република Србија</dc:title>
</cp:coreProperties>
</file>