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3A1054" Type="http://schemas.openxmlformats.org/officeDocument/2006/relationships/officeDocument" Target="/word/document.xml" /><Relationship Id="coreR313A10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ГР</w:t>
            </w:r>
            <w:r>
              <w:rPr>
                <w:b w:val="1"/>
                <w:color w:val="808080"/>
                <w:sz w:val="48"/>
              </w:rPr>
              <w:t>2</w:t>
            </w:r>
            <w:r>
              <w:rPr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066 - год. LXIII, 15.03.2013.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СРБ066 ГР20 150313</w:t>
            </w:r>
          </w:p>
        </w:tc>
      </w:tr>
    </w:tbl>
    <w:p/>
    <w:p>
      <w:pPr>
        <w:spacing w:before="60"/>
        <w:jc w:val="center"/>
        <w:rPr>
          <w:b w:val="1"/>
          <w:sz w:val="24"/>
        </w:rPr>
      </w:pPr>
    </w:p>
    <w:p>
      <w:pPr>
        <w:spacing w:before="60"/>
        <w:jc w:val="center"/>
        <w:rPr>
          <w:b w:val="1"/>
          <w:sz w:val="24"/>
        </w:rPr>
      </w:pPr>
    </w:p>
    <w:p>
      <w:pPr>
        <w:spacing w:before="60"/>
        <w:jc w:val="center"/>
        <w:rPr>
          <w:b w:val="1"/>
          <w:sz w:val="24"/>
        </w:rPr>
      </w:pPr>
      <w:r>
        <w:rPr>
          <w:b w:val="1"/>
          <w:sz w:val="24"/>
        </w:rPr>
        <w:t>Цене станова новоградње у Републици Србији</w:t>
      </w:r>
    </w:p>
    <w:p>
      <w:pPr>
        <w:spacing w:before="60"/>
        <w:jc w:val="center"/>
        <w:rPr>
          <w:b w:val="1"/>
          <w:sz w:val="24"/>
        </w:rPr>
      </w:pPr>
      <w:r>
        <w:rPr>
          <w:b w:val="1"/>
          <w:sz w:val="24"/>
        </w:rPr>
        <w:t>II</w:t>
      </w:r>
      <w:r>
        <w:rPr>
          <w:b w:val="1"/>
          <w:sz w:val="24"/>
        </w:rPr>
        <w:t xml:space="preserve"> полугодиште 201</w:t>
      </w:r>
      <w:r>
        <w:rPr>
          <w:b w:val="1"/>
          <w:sz w:val="24"/>
        </w:rPr>
        <w:t>2</w:t>
      </w:r>
      <w:r>
        <w:rPr>
          <w:b w:val="1"/>
          <w:sz w:val="24"/>
        </w:rPr>
        <w:t>.</w:t>
      </w:r>
    </w:p>
    <w:p>
      <w:pPr>
        <w:spacing w:before="240"/>
        <w:jc w:val="center"/>
        <w:rPr>
          <w:b w:val="1"/>
          <w:sz w:val="22"/>
        </w:rPr>
      </w:pPr>
      <w:r>
        <w:rPr>
          <w:b w:val="1"/>
          <w:sz w:val="22"/>
        </w:rPr>
        <w:t>– Претходни резултати –</w:t>
      </w:r>
    </w:p>
    <w:p>
      <w:pPr>
        <w:jc w:val="center"/>
        <w:rPr>
          <w:b w:val="1"/>
        </w:rPr>
      </w:pPr>
    </w:p>
    <w:p>
      <w:pPr>
        <w:spacing w:before="80"/>
        <w:ind w:firstLine="397"/>
        <w:jc w:val="both"/>
      </w:pPr>
      <w:r>
        <w:t xml:space="preserve">Цене станова новоградње у Републици Србији у II полугодишту 2012. године, у односу на просечне цене станова у I полугодишту 2012. године, опале су за 0,8%. </w:t>
      </w:r>
    </w:p>
    <w:p>
      <w:pPr>
        <w:spacing w:before="80"/>
        <w:ind w:firstLine="397"/>
        <w:jc w:val="both"/>
      </w:pPr>
      <w:r>
        <w:t>Узимајући у обзир промену курса евра у том периоду, у II полугодишту 2012. године цене су мање за 5,1% у односу на I полугодиштe 2012. године. Посматрано у еврима, цена грађења опала је за 6,5%, цена грађевинског земљишта за 6,2%, док су остали трошкови порасли за 3,3% у односу на I полугодиште 2012. године.</w:t>
      </w:r>
    </w:p>
    <w:p>
      <w:pPr>
        <w:spacing w:before="80"/>
        <w:ind w:firstLine="397"/>
        <w:jc w:val="both"/>
      </w:pPr>
      <w:r>
        <w:t xml:space="preserve">Највећа просечна цена станова новоградње у II полугодишту 2012. године уговорена је у Београду и износи 175 090 динара, што представља смањење од 1,4% у односу на I полугодиштe 2012. године. Изражено у еврима, у том периоду цене су у Београду опале за 5,7% у поређењу са I полугодиштeм 2012. године. </w:t>
      </w:r>
    </w:p>
    <w:p>
      <w:pPr>
        <w:spacing w:before="80"/>
        <w:ind w:firstLine="397"/>
        <w:jc w:val="both"/>
      </w:pPr>
      <w:r>
        <w:t xml:space="preserve">Просечна површина продатих станова новоградње у Републици Србији у II полугодишту 2012. износи 54 m². Посматрано по градовима, просечна површина продатих станова креће се од 40 m² у Крагујевцу до 73 m² у Лесковцу. </w:t>
      </w:r>
    </w:p>
    <w:p>
      <w:pPr>
        <w:spacing w:before="80"/>
        <w:ind w:firstLine="397"/>
        <w:jc w:val="both"/>
      </w:pPr>
      <w:r>
        <w:t xml:space="preserve">Корисницима стоје на располагању подаци из ове области и на нашем веб-сајту: </w:t>
      </w:r>
      <w:r>
        <w:fldChar w:fldCharType="begin"/>
      </w:r>
      <w:r>
        <w:instrText xml:space="preserve"> HYPERLINK "http://www.stat.gov." </w:instrText>
      </w:r>
      <w:r>
        <w:fldChar w:fldCharType="separate"/>
      </w:r>
      <w:r>
        <w:rPr>
          <w:rStyle w:val="C2"/>
        </w:rPr>
        <w:t>www.stat.gov.rs</w:t>
      </w:r>
      <w:r>
        <w:rPr>
          <w:rStyle w:val="C2"/>
        </w:rPr>
        <w:fldChar w:fldCharType="end"/>
      </w:r>
      <w:r>
        <w:t xml:space="preserve"> (област Грађевинарство и Базе података).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tabs>
          <w:tab w:val="left" w:pos="8294" w:leader="none"/>
        </w:tabs>
        <w:ind w:left="360"/>
        <w:jc w:val="center"/>
        <w:rPr>
          <w:b w:val="1"/>
          <w:color w:val="000000"/>
          <w:vertAlign w:val="superscript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 xml:space="preserve">Цене станова новоградње, </w:t>
      </w:r>
      <w:r>
        <w:rPr>
          <w:b w:val="1"/>
        </w:rPr>
        <w:t>I</w:t>
      </w:r>
      <w:r>
        <w:rPr>
          <w:b w:val="1"/>
        </w:rPr>
        <w:t>I</w:t>
      </w:r>
      <w:r>
        <w:rPr>
          <w:b w:val="1"/>
        </w:rPr>
        <w:t xml:space="preserve"> полугодиште 2012.</w:t>
      </w:r>
      <w:r>
        <w:rPr>
          <w:b w:val="1"/>
          <w:color w:val="000000"/>
          <w:vertAlign w:val="superscript"/>
        </w:rPr>
        <w:t>1</w:t>
      </w:r>
      <w:r>
        <w:rPr>
          <w:b w:val="1"/>
          <w:color w:val="000000"/>
          <w:vertAlign w:val="superscript"/>
        </w:rPr>
        <w:t>)</w:t>
      </w:r>
    </w:p>
    <w:p>
      <w:pPr>
        <w:tabs>
          <w:tab w:val="left" w:pos="8294" w:leader="none"/>
        </w:tabs>
        <w:ind w:left="360"/>
        <w:jc w:val="center"/>
        <w:rPr>
          <w:b w:val="1"/>
          <w:color w:val="000000"/>
          <w:sz w:val="6"/>
        </w:rPr>
      </w:pPr>
    </w:p>
    <w:tbl>
      <w:tblPr>
        <w:tblStyle w:val="T3"/>
        <w:tblW w:w="1020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2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Просечна површина станова,                            m²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m²,                             РСД, укупно</w:t>
            </w:r>
          </w:p>
        </w:tc>
        <w:tc>
          <w:tcPr>
            <w:tcW w:w="491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52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48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                   грађевинског     земљишта</w:t>
            </w:r>
          </w:p>
        </w:tc>
        <w:tc>
          <w:tcPr>
            <w:tcW w:w="150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цена грађења</w:t>
            </w:r>
          </w:p>
        </w:tc>
        <w:tc>
          <w:tcPr>
            <w:tcW w:w="174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179"/>
        </w:trPr>
        <w:tc>
          <w:tcPr>
            <w:tcW w:w="25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7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133383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30573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83426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19384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ВОЈВОДИНА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93170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7235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59294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16641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Град Београд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175090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45617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106630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22843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Бачка Паланка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77326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16845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49143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11339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Ваљево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86289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11530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60358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14401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Врњачка Бања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136227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12854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95672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27701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Вршац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104143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6454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74446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23243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Зрењанин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80309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15202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53450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11657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Јагодина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66471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1579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46351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18540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Крагујевац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108190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12615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75728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19847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Краљево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92974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17635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65089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10250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Крушевац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78000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11200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58000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8800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Лазаревац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84336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27218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49562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7556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Лесковац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71641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39628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30213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Лозница – град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62589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10671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35725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16193</w:t>
            </w:r>
          </w:p>
        </w:tc>
      </w:tr>
    </w:tbl>
    <w:p>
      <w:pPr>
        <w:pStyle w:val="P8"/>
        <w:rPr>
          <w:b w:val="1"/>
          <w:color w:val="000000"/>
          <w:sz w:val="14"/>
          <w:vertAlign w:val="superscript"/>
        </w:rPr>
      </w:pPr>
    </w:p>
    <w:p>
      <w:pPr>
        <w:pStyle w:val="P8"/>
        <w:spacing w:before="0"/>
        <w:rPr>
          <w:rFonts w:ascii="Arial" w:hAnsi="Arial"/>
          <w:i w:val="1"/>
          <w:sz w:val="14"/>
        </w:rPr>
      </w:pPr>
      <w:r>
        <w:rPr>
          <w:rFonts w:ascii="Arial" w:hAnsi="Arial"/>
          <w:i w:val="0"/>
          <w:color w:val="000000"/>
          <w:sz w:val="14"/>
          <w:vertAlign w:val="superscript"/>
        </w:rPr>
        <w:t>1</w:t>
      </w:r>
      <w:r>
        <w:rPr>
          <w:rFonts w:ascii="Arial" w:hAnsi="Arial"/>
          <w:i w:val="0"/>
          <w:color w:val="000000"/>
          <w:sz w:val="14"/>
          <w:vertAlign w:val="superscript"/>
        </w:rPr>
        <w:t>)</w:t>
      </w:r>
      <w:r>
        <w:rPr>
          <w:rFonts w:ascii="Arial" w:hAnsi="Arial"/>
          <w:i w:val="0"/>
          <w:sz w:val="14"/>
        </w:rPr>
        <w:t xml:space="preserve"> </w:t>
      </w:r>
      <w:r>
        <w:rPr>
          <w:rFonts w:ascii="Arial" w:hAnsi="Arial"/>
          <w:i w:val="0"/>
          <w:sz w:val="14"/>
        </w:rPr>
        <w:t>Приказани су подаци само за изабране градове у којима је реализована купопродаја.</w:t>
      </w:r>
    </w:p>
    <w:p>
      <w:pPr>
        <w:tabs>
          <w:tab w:val="left" w:pos="8294" w:leader="none"/>
        </w:tabs>
        <w:ind w:left="360"/>
        <w:jc w:val="center"/>
        <w:rPr>
          <w:color w:val="000000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 xml:space="preserve">Цене станова новоградње, </w:t>
      </w:r>
      <w:r>
        <w:rPr>
          <w:b w:val="1"/>
        </w:rPr>
        <w:t>I</w:t>
      </w:r>
      <w:r>
        <w:rPr>
          <w:b w:val="1"/>
        </w:rPr>
        <w:t>I</w:t>
      </w:r>
      <w:r>
        <w:rPr>
          <w:b w:val="1"/>
        </w:rPr>
        <w:t xml:space="preserve"> полугодиште 2012.</w:t>
      </w:r>
      <w:r>
        <w:rPr>
          <w:b w:val="1"/>
          <w:color w:val="000000"/>
          <w:vertAlign w:val="superscript"/>
        </w:rPr>
        <w:t>1</w:t>
      </w:r>
      <w:r>
        <w:rPr>
          <w:b w:val="1"/>
          <w:color w:val="000000"/>
          <w:vertAlign w:val="superscript"/>
        </w:rPr>
        <w:t xml:space="preserve">)  </w:t>
      </w:r>
      <w:r>
        <w:rPr>
          <w:color w:val="000000"/>
        </w:rPr>
        <w:t>(наставак)</w:t>
      </w:r>
    </w:p>
    <w:p>
      <w:pPr>
        <w:ind w:left="360"/>
        <w:jc w:val="center"/>
        <w:rPr>
          <w:b w:val="1"/>
          <w:sz w:val="6"/>
        </w:rPr>
      </w:pPr>
    </w:p>
    <w:tbl>
      <w:tblPr>
        <w:tblStyle w:val="T3"/>
        <w:tblW w:w="1020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2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Просечна површина станова,                            m²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m²,                             РСД, укупно</w:t>
            </w:r>
          </w:p>
        </w:tc>
        <w:tc>
          <w:tcPr>
            <w:tcW w:w="491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52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48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                   грађевинског     земљишта</w:t>
            </w:r>
          </w:p>
        </w:tc>
        <w:tc>
          <w:tcPr>
            <w:tcW w:w="150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цена грађења</w:t>
            </w:r>
          </w:p>
        </w:tc>
        <w:tc>
          <w:tcPr>
            <w:tcW w:w="174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179"/>
        </w:trPr>
        <w:tc>
          <w:tcPr>
            <w:tcW w:w="25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7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Град Ниш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85674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14224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61337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10114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Град Нови Сад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98062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20250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58371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19441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Панчево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88859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6781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75396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6681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Параћин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76778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13177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53431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10170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Пирот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70560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16026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49034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Сомбор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69600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3407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62684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3508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Сремска Митровица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71614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9786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41562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20265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Суботица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75907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4767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65960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5181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Ужице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77551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57221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14130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Чачак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81883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16541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53752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11589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Шабац – 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73278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15893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39007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18378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77551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8956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52104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16491</w:t>
            </w:r>
          </w:p>
        </w:tc>
      </w:tr>
    </w:tbl>
    <w:p>
      <w:pPr>
        <w:pStyle w:val="P8"/>
        <w:rPr>
          <w:b w:val="1"/>
          <w:color w:val="000000"/>
          <w:sz w:val="14"/>
          <w:vertAlign w:val="superscript"/>
        </w:rPr>
      </w:pPr>
    </w:p>
    <w:p>
      <w:pPr>
        <w:pStyle w:val="P8"/>
        <w:spacing w:before="0"/>
        <w:rPr>
          <w:rFonts w:ascii="Arial" w:hAnsi="Arial"/>
          <w:i w:val="1"/>
          <w:sz w:val="14"/>
        </w:rPr>
      </w:pPr>
      <w:r>
        <w:rPr>
          <w:rFonts w:ascii="Arial" w:hAnsi="Arial"/>
          <w:i w:val="0"/>
          <w:color w:val="000000"/>
          <w:sz w:val="14"/>
          <w:vertAlign w:val="superscript"/>
        </w:rPr>
        <w:t>1</w:t>
      </w:r>
      <w:r>
        <w:rPr>
          <w:rFonts w:ascii="Arial" w:hAnsi="Arial"/>
          <w:i w:val="0"/>
          <w:color w:val="000000"/>
          <w:sz w:val="14"/>
          <w:vertAlign w:val="superscript"/>
        </w:rPr>
        <w:t>)</w:t>
      </w:r>
      <w:r>
        <w:rPr>
          <w:rFonts w:ascii="Arial" w:hAnsi="Arial"/>
          <w:i w:val="0"/>
          <w:sz w:val="14"/>
        </w:rPr>
        <w:t xml:space="preserve"> </w:t>
      </w:r>
      <w:r>
        <w:rPr>
          <w:rFonts w:ascii="Arial" w:hAnsi="Arial"/>
          <w:i w:val="0"/>
          <w:sz w:val="14"/>
        </w:rPr>
        <w:t>Приказани су подаци само за изабране градове у којима је реализована купопродаја.</w:t>
      </w:r>
    </w:p>
    <w:p/>
    <w:p/>
    <w:p>
      <w:pPr>
        <w:pStyle w:val="P8"/>
        <w:jc w:val="center"/>
        <w:rPr>
          <w:rFonts w:ascii="Arial" w:hAnsi="Arial"/>
          <w:b w:val="1"/>
          <w:i w:val="1"/>
          <w:sz w:val="20"/>
        </w:rPr>
      </w:pPr>
      <w:r>
        <w:rPr>
          <w:rFonts w:ascii="Arial" w:hAnsi="Arial"/>
          <w:b w:val="1"/>
          <w:i w:val="0"/>
          <w:sz w:val="20"/>
        </w:rPr>
        <w:t>Методолошка објашњења</w:t>
      </w:r>
    </w:p>
    <w:p/>
    <w:p>
      <w:pPr>
        <w:spacing w:before="120"/>
        <w:ind w:firstLine="397"/>
        <w:jc w:val="both"/>
      </w:pPr>
      <w:r>
        <w:t>Исказани подаци прикупљају се у оквиру полугодишњег истраживања о ценама станова новоградње. Извештај попуњавају правна и физичка лица која су у посматраном периоду продавала новоизграђене станове.</w:t>
      </w:r>
    </w:p>
    <w:p>
      <w:pPr>
        <w:spacing w:before="120"/>
        <w:ind w:firstLine="397"/>
        <w:jc w:val="both"/>
      </w:pPr>
      <w:r>
        <w:t xml:space="preserve">У оквиру овог истраживања обухватају се станови новоградње за које су у извештајном полугодишту реализовани купопродајни уговори између купца и продавца у градским насељима. </w:t>
      </w:r>
    </w:p>
    <w:p>
      <w:pPr>
        <w:spacing w:before="120"/>
        <w:ind w:firstLine="397"/>
        <w:jc w:val="both"/>
      </w:pPr>
      <w:r>
        <w:t xml:space="preserve">Просечна цена за Београд укључује градске делове општина Вождовац, Врачар, Звездара, Земун, Нови Београд, Палилула, Раковица, Савски венац, Стари град и Чукарица. </w:t>
      </w:r>
    </w:p>
    <w:p>
      <w:pPr>
        <w:spacing w:before="120"/>
        <w:ind w:firstLine="397"/>
        <w:jc w:val="both"/>
      </w:pPr>
      <w:r>
        <w:t>Укупна цена стана обухвата цену грађења, цену грађевинског земљишта и остале трошкове.</w:t>
      </w:r>
    </w:p>
    <w:p>
      <w:pPr>
        <w:spacing w:before="120"/>
        <w:ind w:firstLine="397"/>
        <w:jc w:val="both"/>
      </w:pPr>
      <w:r>
        <w:t>Ради правилног приступа у коришћењу података, кориснику се скреће пажња на то да су цене које се објављују (цене по једном метру квадратном) просечне, дакле резултат су различитих карактеристика изградње и разлике у месецу у коме је склопљен купопродајни уговор на једној територији (града, Републике и АП).</w:t>
      </w:r>
    </w:p>
    <w:p>
      <w:pPr>
        <w:spacing w:before="120"/>
        <w:ind w:firstLine="397"/>
        <w:jc w:val="both"/>
      </w:pPr>
      <w:r>
        <w:t xml:space="preserve">Све цене представљају номинални израз вредности из купопродајних уговора (без ревалоризације) и исказују се по једном метру квадратном корисне (стамбене) површине. Курс еврa је одређен према просечној висини званичног (средњег) курса динара у посматраном периоду. Као просек периода (полугодиште и година) узима се аритметичка средина званичних (средњих) курсева које објављује Народна банка Србије.    </w:t>
      </w:r>
    </w:p>
    <w:p>
      <w:pPr>
        <w:spacing w:before="120"/>
        <w:ind w:firstLine="397"/>
        <w:jc w:val="both"/>
      </w:pPr>
      <w:r>
        <w:t xml:space="preserve">Детаљнија методолошка објашњења налазе се у документационом материјалу Републичког завода за статистику. </w:t>
      </w:r>
    </w:p>
    <w:p>
      <w:pPr>
        <w:spacing w:before="12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120"/>
        <w:ind w:firstLine="397"/>
        <w:jc w:val="both"/>
        <w:rPr>
          <w:b w:val="1"/>
          <w:sz w:val="24"/>
        </w:rPr>
      </w:pPr>
    </w:p>
    <w:p>
      <w:pPr>
        <w:spacing w:lineRule="auto" w:line="360"/>
        <w:jc w:val="center"/>
        <w:rPr>
          <w:b w:val="1"/>
          <w:sz w:val="24"/>
        </w:rPr>
      </w:pP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rap="around" w:vAnchor="page" w:hAnchor="margin" w:x="-4" w:y="14176"/>
              <w:spacing w:before="120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полу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>
      <w:pPr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СРБ098 ГР30 150411</w:t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06</w:t>
          </w:r>
          <w:r>
            <w:rPr>
              <w:b w:val="1"/>
              <w:sz w:val="16"/>
            </w:rPr>
            <w:t>6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ГР</w:t>
          </w:r>
          <w:r>
            <w:rPr>
              <w:b w:val="1"/>
              <w:sz w:val="16"/>
            </w:rPr>
            <w:t>2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1503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AE3C25A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0AA8E988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3374EA7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2296850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2F2E24D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7606660F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35233D44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D7942D1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15AA2160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011D10CF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587EA121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080949B1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60FEB161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3EBE40F3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52D4E39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599BAC5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4F32F9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8612DE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A89AD5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666523C9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2B03B3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325781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9470E3"/>
    <w:multiLevelType w:val="hybridMultilevel"/>
    <w:lvl w:ilvl="0" w:tplc="7FADAE3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9A0805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6386E7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094C706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5DA448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A7ABC2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5B4A5D26"/>
    <w:multiLevelType w:val="hybridMultilevel"/>
    <w:lvl w:ilvl="0" w:tplc="75E43725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A6ABD95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18826F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9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63FB620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4CA20EA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rFonts w:ascii="Times New Roman" w:hAnsi="Times New Roman"/>
      <w:i w:val="1"/>
      <w:sz w:val="24"/>
    </w:rPr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320" w:leader="none"/>
        <w:tab w:val="right" w:pos="8640" w:leader="none"/>
      </w:tabs>
    </w:pPr>
    <w:rPr/>
  </w:style>
  <w:style w:type="paragraph" w:styleId="P36">
    <w:name w:val="Footer"/>
    <w:basedOn w:val="P0"/>
    <w:next w:val="P36"/>
    <w:pPr>
      <w:tabs>
        <w:tab w:val="center" w:pos="4320" w:leader="none"/>
        <w:tab w:val="right" w:pos="8640" w:leader="none"/>
      </w:tabs>
    </w:pPr>
    <w:rPr/>
  </w:style>
  <w:style w:type="paragraph" w:styleId="P37">
    <w:name w:val="Naslov saopstenja"/>
    <w:basedOn w:val="P9"/>
    <w:next w:val="P10"/>
    <w:pPr>
      <w:spacing w:after="0"/>
    </w:pPr>
    <w:rPr>
      <w:sz w:val="24"/>
    </w:rPr>
  </w:style>
  <w:style w:type="paragraph" w:styleId="P38">
    <w:name w:val="Body Text First Indent"/>
    <w:basedOn w:val="P14"/>
    <w:next w:val="P38"/>
    <w:pPr>
      <w:ind w:firstLine="210"/>
    </w:pPr>
    <w:rPr/>
  </w:style>
  <w:style w:type="paragraph" w:styleId="P39">
    <w:name w:val="Body Text First Indent 2"/>
    <w:basedOn w:val="P16"/>
    <w:next w:val="P39"/>
    <w:pPr>
      <w:ind w:firstLine="210"/>
    </w:pPr>
    <w:rPr/>
  </w:style>
  <w:style w:type="paragraph" w:styleId="P40">
    <w:name w:val="Tekst Metodologija i Napomena"/>
    <w:basedOn w:val="P38"/>
    <w:next w:val="P14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2013-03-15T08:29:00Z</dcterms:created>
  <cp:lastModifiedBy>Nikola Kapetanovic</cp:lastModifiedBy>
  <cp:lastPrinted>2013-03-15T08:42:00Z</cp:lastPrinted>
  <dcterms:modified xsi:type="dcterms:W3CDTF">2020-01-10T11:17:14Z</dcterms:modified>
  <cp:revision>5</cp:revision>
  <dc:title>                  </dc:title>
</cp:coreProperties>
</file>