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AA2106" Type="http://schemas.openxmlformats.org/officeDocument/2006/relationships/officeDocument" Target="/word/document.xml" /><Relationship Id="coreR48AA21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p>
      <w:pPr>
        <w:rPr>
          <w:sz w:val="4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број 064 - год. LXIII, 15.03.2013.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СРБ064 ГР30 150313</w:t>
            </w:r>
          </w:p>
        </w:tc>
      </w:tr>
    </w:tbl>
    <w:p>
      <w:pPr>
        <w:pStyle w:val="P26"/>
        <w:spacing w:before="600"/>
      </w:pPr>
      <w:r>
        <w:t>Издате грађевинске дозволе у Републици Србији, јануар 2013.</w:t>
      </w:r>
    </w:p>
    <w:p>
      <w:pPr>
        <w:pStyle w:val="P20"/>
        <w:spacing w:before="240"/>
      </w:pPr>
      <w:r>
        <w:t>– Претходни резултати –</w:t>
      </w:r>
    </w:p>
    <w:p>
      <w:pPr>
        <w:jc w:val="center"/>
        <w:rPr>
          <w:sz w:val="20"/>
        </w:rPr>
      </w:pPr>
    </w:p>
    <w:p>
      <w:pPr>
        <w:pStyle w:val="P27"/>
        <w:numPr>
          <w:ilvl w:val="0"/>
          <w:numId w:val="0"/>
        </w:numPr>
        <w:spacing w:after="120"/>
        <w:ind w:firstLine="397"/>
      </w:pPr>
      <w:r>
        <w:t>Према броју дозвола издатих у јануару 2013, пријављена је изградња 532 стана с просечном површином 73,1 m². Број станова, према издатим дозволама, мањи је за 8,7% него у јануару 2012. Од укупног броја станова у новим стамбеним зградама, 13,2% станова биће грађено у зградама с једним станом, с просечном површином 133,1 m², а 83,6% станова биће грађено у зградама с три стана и више станова, и њихова просечна површина биће знатно мања и износиће 62,4 m².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У јануару 2013. издато је 370 грађевинских дозвола, што је за 4,1% мање него у јануару претходне године. Индекс предвиђене вредности радова у јануару 2013. мањи је за 4,6% у односу на јануар 2012. </w:t>
      </w:r>
    </w:p>
    <w:p>
      <w:pPr>
        <w:pStyle w:val="P27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јануару 2013. издато је 72,7% дозволa за зграде и 27,3% за остале грађевине. Ако се посматрају само зграде, 61,0% односи се на стамбене и 39,0% на нестамбене зграде, док се код осталих грађевина највећи део односи на цевоводе, комуникационе и електричне водове, 77,2%. 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Предвиђена вредност радова новоградње у јануару 2013. износи 50,2% од укупно предвиђене вредности радова. Највећа грађевинска активност, посматрано према областима, забележена је у Београдској области, 30,1% од предвиђене вредности новоградње. Следе Сремска област, 21,1%, Поморавска област, 15,4%, Мачванска област, 7,2%, и Јужнобачка област, 7,1%,  док се учешћа осталих области крећу од 0,1 до 2,8%.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Поред ових података корисницима стоје на располагању детаљни месечни подаци на нашем веб-сајту </w:t>
      </w:r>
      <w:r>
        <w:fldChar w:fldCharType="begin"/>
      </w:r>
      <w:r>
        <w:instrText xml:space="preserve"> HYPERLINK "http://www.stat.gov." </w:instrText>
      </w:r>
      <w:r>
        <w:fldChar w:fldCharType="separate"/>
      </w:r>
      <w:r>
        <w:rPr>
          <w:rStyle w:val="C2"/>
        </w:rPr>
        <w:t>www.stat.gov.rs</w:t>
      </w:r>
      <w:r>
        <w:rPr>
          <w:rStyle w:val="C2"/>
        </w:rPr>
        <w:fldChar w:fldCharType="end"/>
      </w:r>
      <w:r>
        <w:t>.</w:t>
      </w:r>
    </w:p>
    <w:p>
      <w:pPr>
        <w:pStyle w:val="P12"/>
      </w:pPr>
    </w:p>
    <w:p>
      <w:pPr>
        <w:pStyle w:val="P9"/>
      </w:pPr>
      <w:r>
        <w:drawing>
          <wp:inline xmlns:wp="http://schemas.openxmlformats.org/drawingml/2006/wordprocessingDrawing">
            <wp:extent cx="5438775" cy="32607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260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XII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39,6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71,9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94,7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125,3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114,8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134,0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114,8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140,2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21,5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1533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54,2</w:t>
            </w:r>
          </w:p>
        </w:tc>
      </w:tr>
    </w:tbl>
    <w:p>
      <w:pPr>
        <w:pStyle w:val="P9"/>
        <w:spacing w:before="480" w:after="120"/>
        <w:rPr>
          <w:sz w:val="22"/>
        </w:rPr>
      </w:pPr>
      <w:r>
        <w:rPr>
          <w:sz w:val="22"/>
        </w:rPr>
        <w:t>Методолошка објашњења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 оквиру овог истраживања, појмом „грађевинска дозвола“ обједињују се три документа које издају надлежни органи: грађевинска дозвола за изградњу грађевинског објекта, пријава почетка радова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Грађевине</w:t>
      </w:r>
      <w:r>
        <w:rPr>
          <w:rFonts w:ascii="Arial" w:hAnsi="Arial"/>
          <w:sz w:val="19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 итд., тј. радови који служе у пољопривредне сврхе не спадају у грађевинске радове.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Зграде </w:t>
      </w:r>
      <w:r>
        <w:rPr>
          <w:rFonts w:ascii="Arial" w:hAnsi="Arial"/>
          <w:sz w:val="19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Остале грађевине</w:t>
      </w:r>
      <w:r>
        <w:rPr>
          <w:rFonts w:ascii="Arial" w:hAnsi="Arial"/>
          <w:sz w:val="19"/>
        </w:rPr>
        <w:t xml:space="preserve"> јесу све грађевине које нису зграде: железнице, путеви, мостови, ауто-путеви, аеродромске стазе, базени итд.</w:t>
      </w:r>
    </w:p>
    <w:p>
      <w:pPr>
        <w:pStyle w:val="P14"/>
        <w:ind w:firstLine="397"/>
        <w:rPr>
          <w:sz w:val="19"/>
        </w:rPr>
      </w:pPr>
      <w:r>
        <w:rPr>
          <w:b w:val="1"/>
          <w:sz w:val="19"/>
        </w:rPr>
        <w:t>Бруто површина зграде (</w:t>
      </w:r>
      <w:r>
        <w:rPr>
          <w:b w:val="1"/>
          <w:sz w:val="19"/>
        </w:rPr>
        <w:t>m²</w:t>
      </w:r>
      <w:r>
        <w:rPr>
          <w:b w:val="1"/>
          <w:sz w:val="19"/>
        </w:rPr>
        <w:t xml:space="preserve">) </w:t>
      </w:r>
      <w:r>
        <w:rPr>
          <w:sz w:val="19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Корисна површина стана</w:t>
      </w:r>
      <w:r>
        <w:rPr>
          <w:rFonts w:ascii="Arial" w:hAnsi="Arial"/>
          <w:sz w:val="19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Предвиђена вредност радова </w:t>
      </w:r>
      <w:r>
        <w:rPr>
          <w:rFonts w:ascii="Arial" w:hAnsi="Arial"/>
          <w:sz w:val="19"/>
        </w:rPr>
        <w:t>представља планирану вредност радова на грађевини.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Детаљна методолошка објашњења овог истраживања налазе се у едицији РЗС-а „Методологије и стандарди“: Месечна истраживања о грађевинским дозволама, свеска број 22, и Класификација врста грађевина, свеска број 15.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990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90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СРБ064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150313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52C33C07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E30AE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9A43B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7EA32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D8CC1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C4C0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649F9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0CEBE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0363F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37A0D5C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6CCD070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7CBAAF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9B9E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C8B8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3AB07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52F4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D9263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2064F338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7D7AA59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C0D294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CE3ABE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A791F8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2F616D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EB20FD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A31BEB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C734D2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27823517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0660554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55417D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CDA65E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D06C2A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FD17B4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D7D980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D0C4BD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639CA0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5CC9B00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B8E040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227AD3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B3B7E7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D59B0F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2D5B5D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114324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B5C4C4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5A33E2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2CB2A25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95459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07D57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843778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7D9E92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4484FB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3AF35F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FD8A20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8BFC6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7E3822D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2AB6D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4A1C7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3A98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F22CD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4CE46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657F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428CD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044B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39B8D518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7928FE0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A9A132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CFB8BB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F3D183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88F533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B8EEE2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C71016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7C4F1C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7EB178FC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52974C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020F5A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937747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BCF799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F1CD44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D52D9A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1FF6D8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59C7A1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616B77B2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3F3EBD9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E866C2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10BC81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92B2FE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D2E219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B457FE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F45753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A60DDF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6DEFAD8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18F17F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9BD82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DAC9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D5FE8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51725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D16A8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5B5E3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2334E3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4B092B04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FB716A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5582D6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278823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CB48A5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B68E8C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C835EF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4FDBD0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AAF2D4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746B06CA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5500AF5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6DBF5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2D49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E7BF7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F2BF5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4B06B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FA093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03CF4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7DDF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Body Text First Indent"/>
    <w:basedOn w:val="P12"/>
    <w:next w:val="P24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5">
    <w:name w:val="Comment Subject"/>
    <w:basedOn w:val="P19"/>
    <w:next w:val="P19"/>
    <w:pPr/>
    <w:rPr>
      <w:b w:val="1"/>
    </w:rPr>
  </w:style>
  <w:style w:type="paragraph" w:styleId="P26">
    <w:name w:val="Naslov saopstenja"/>
    <w:basedOn w:val="P22"/>
    <w:next w:val="P23"/>
    <w:pPr>
      <w:spacing w:after="0"/>
    </w:pPr>
    <w:rPr>
      <w:sz w:val="24"/>
    </w:rPr>
  </w:style>
  <w:style w:type="paragraph" w:styleId="P27">
    <w:name w:val="Tekst Metodologija i Napomena"/>
    <w:basedOn w:val="P24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2013-03-15T09:20:00Z</dcterms:created>
  <cp:lastModifiedBy>Nikola Kapetanovic</cp:lastModifiedBy>
  <cp:lastPrinted>2013-03-15T09:52:00Z</cp:lastPrinted>
  <dcterms:modified xsi:type="dcterms:W3CDTF">2020-01-10T11:17:14Z</dcterms:modified>
  <cp:revision>5</cp:revision>
  <dc:title>Република Србија</dc:title>
</cp:coreProperties>
</file>