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C886BA" Type="http://schemas.openxmlformats.org/officeDocument/2006/relationships/officeDocument" Target="/word/document.xml" /><Relationship Id="coreR25C886B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СВ22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054 год. LXIII, 08.03.2013.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054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СВ22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803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/>
    <w:p>
      <w:pPr>
        <w:jc w:val="center"/>
        <w:rPr>
          <w:rFonts w:ascii="Arial" w:hAnsi="Arial"/>
          <w:b w:val="1"/>
        </w:rPr>
      </w:pPr>
    </w:p>
    <w:p>
      <w:pPr>
        <w:pStyle w:val="P8"/>
        <w:rPr>
          <w:sz w:val="24"/>
        </w:rPr>
      </w:pPr>
      <w:r>
        <w:rPr>
          <w:sz w:val="24"/>
        </w:rPr>
        <w:t>Први пут регистрована друмска моторна и прикључна возила</w:t>
      </w:r>
    </w:p>
    <w:p>
      <w:pPr>
        <w:pStyle w:val="P6"/>
        <w:rPr>
          <w:sz w:val="24"/>
        </w:rPr>
      </w:pPr>
      <w:r>
        <w:rPr>
          <w:sz w:val="24"/>
        </w:rPr>
        <w:t xml:space="preserve"> и саобраћајне незгоде на путевима у Републици Србији</w:t>
      </w:r>
    </w:p>
    <w:p>
      <w:pPr>
        <w:pStyle w:val="P6"/>
        <w:spacing w:before="240" w:after="240"/>
        <w:rPr>
          <w:sz w:val="22"/>
        </w:rPr>
      </w:pPr>
      <w:r>
        <w:rPr>
          <w:sz w:val="22"/>
        </w:rPr>
        <w:t xml:space="preserve">– IV квартал 2012 –  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>Током IV квартала 2012. године може се уочити пад броја први пут регистрованих аутобуса, теретних возила и прикључних возила у Републици Србији, док пораст бележе остале врсте друмских моторних возила. Увидом у базу података може се закључити да је 67,6% прикључних возила носивости испод 1000 kg, што по капацитету одговара прикључним возилима намењеним путничким аутомобилима. Наjбројније марке произвођача моторних возила јесу: Zastava – од домаћих, и Fiat, Renault, Opel и VW – од страних.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>Напомињемо да је, услед промене методологије посматраних возила од стране МУП-а, податке потребно узимати с резервом, јер је могуће „преливање“ возила из једне врсте у другу.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 xml:space="preserve">Укупан број саобраћајних незгода у IV кварталу 2012. године мaњи је за 0,9% у односу на исти период 2011. године. Раст саобраћајних незгода са повређеним лицима у насељу износи 1,5%. </w:t>
      </w:r>
    </w:p>
    <w:p>
      <w:pPr>
        <w:pStyle w:val="P13"/>
        <w:spacing w:before="120"/>
        <w:ind w:firstLine="397" w:left="0"/>
        <w:rPr>
          <w:sz w:val="20"/>
        </w:rPr>
      </w:pPr>
      <w:r>
        <w:rPr>
          <w:sz w:val="20"/>
        </w:rPr>
        <w:t>Број лица настрадалих у IV кварталу 2012.</w:t>
      </w:r>
      <w:r>
        <w:t xml:space="preserve"> </w:t>
      </w:r>
      <w:r>
        <w:rPr>
          <w:sz w:val="20"/>
        </w:rPr>
        <w:t>године мањи је за 2,9% у односу на исти период 2011. године, док је број погинулих лица ван насеља мањи за 34,9%.</w:t>
      </w:r>
    </w:p>
    <w:p>
      <w:pPr>
        <w:pStyle w:val="P13"/>
        <w:spacing w:before="120"/>
        <w:ind w:firstLine="397" w:left="0"/>
        <w:rPr>
          <w:sz w:val="20"/>
        </w:rPr>
      </w:pPr>
    </w:p>
    <w:p>
      <w:pPr>
        <w:ind w:left="360"/>
        <w:rPr>
          <w:rFonts w:ascii="Arial" w:hAnsi="Arial"/>
          <w:b w:val="1"/>
          <w:sz w:val="20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685800</wp:posOffset>
                </wp:positionH>
                <wp:positionV relativeFrom="paragraph">
                  <wp:posOffset>173355</wp:posOffset>
                </wp:positionV>
                <wp:extent cx="5391150" cy="53975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397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Старосна структура први пут регистрованих моторних друмских возила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- Република Србија -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424.5pt;height:42.5pt;z-index:1;mso-wrap-distance-left:9pt;mso-wrap-distance-top:0pt;mso-wrap-distance-right:9pt;mso-wrap-distance-bottom:0pt;margin-left:54pt;margin-top:13.6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Старосна структура први пут регистрованих моторних друмских возила</w:t>
                      </w:r>
                    </w:p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- Република Србија 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360"/>
        <w:jc w:val="center"/>
        <w:rPr>
          <w:rFonts w:ascii="Arial" w:hAnsi="Arial"/>
          <w:b w:val="1"/>
          <w:sz w:val="20"/>
        </w:rPr>
      </w:pPr>
    </w:p>
    <w:p>
      <w:pPr>
        <w:ind w:left="360"/>
        <w:jc w:val="center"/>
        <w:rPr>
          <w:rFonts w:ascii="Arial" w:hAnsi="Arial"/>
          <w:b w:val="1"/>
          <w:sz w:val="20"/>
        </w:rPr>
      </w:pPr>
    </w:p>
    <w:p>
      <w:pPr>
        <w:ind w:left="360"/>
        <w:jc w:val="center"/>
        <w:rPr>
          <w:rFonts w:ascii="Arial" w:hAnsi="Arial"/>
          <w:b w:val="1"/>
          <w:sz w:val="20"/>
        </w:rPr>
      </w:pPr>
    </w:p>
    <w:p>
      <w:pPr>
        <w:spacing w:after="60"/>
        <w:jc w:val="center"/>
        <w:rPr>
          <w:rFonts w:ascii="Arial" w:hAnsi="Arial"/>
          <w:b w:val="1"/>
          <w:sz w:val="20"/>
        </w:rPr>
      </w:pPr>
    </w:p>
    <w:p>
      <w:pPr>
        <w:spacing w:after="60"/>
        <w:jc w:val="center"/>
        <w:rPr>
          <w:rFonts w:ascii="Arial" w:hAnsi="Arial"/>
          <w:b w:val="1"/>
          <w:sz w:val="20"/>
        </w:rPr>
      </w:pPr>
      <w:r>
        <w:drawing>
          <wp:inline xmlns:wp="http://schemas.openxmlformats.org/drawingml/2006/wordprocessingDrawing">
            <wp:extent cx="6292215" cy="343217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92215" cy="34321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after="60"/>
        <w:jc w:val="center"/>
        <w:rPr>
          <w:rFonts w:ascii="Arial" w:hAnsi="Arial"/>
          <w:b w:val="1"/>
          <w:sz w:val="20"/>
        </w:rPr>
      </w:pPr>
    </w:p>
    <w:p>
      <w:pPr>
        <w:spacing w:after="60"/>
        <w:jc w:val="center"/>
        <w:rPr>
          <w:rFonts w:ascii="Arial" w:hAnsi="Arial"/>
          <w:b w:val="1"/>
          <w:sz w:val="20"/>
        </w:rPr>
      </w:pPr>
    </w:p>
    <w:p>
      <w:pPr>
        <w:spacing w:after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Број први пут р</w:t>
      </w:r>
      <w:r>
        <w:rPr>
          <w:rFonts w:ascii="Arial" w:hAnsi="Arial"/>
          <w:b w:val="1"/>
          <w:sz w:val="20"/>
        </w:rPr>
        <w:t>егистрованих друмских моторних и прик</w:t>
      </w:r>
      <w:r>
        <w:rPr>
          <w:rFonts w:ascii="Arial" w:hAnsi="Arial"/>
          <w:b w:val="1"/>
          <w:sz w:val="20"/>
        </w:rPr>
        <w:t>љ</w:t>
      </w:r>
      <w:r>
        <w:rPr>
          <w:rFonts w:ascii="Arial" w:hAnsi="Arial"/>
          <w:b w:val="1"/>
          <w:sz w:val="20"/>
        </w:rPr>
        <w:t>учних возила</w:t>
      </w:r>
    </w:p>
    <w:tbl>
      <w:tblPr>
        <w:tblStyle w:val="T3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353" w:type="dxa"/>
            <w:vMerge w:val="restart"/>
            <w:tcBorders>
              <w:left w:val="none" w:sz="0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865" w:type="dxa"/>
            <w:gridSpan w:val="6"/>
          </w:tcPr>
          <w:p>
            <w:pPr>
              <w:spacing w:before="120" w:after="12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IV квартал 2011</w:t>
              <w:br w:type="textWrapping"/>
              <w:t>Република Србија</w:t>
            </w:r>
          </w:p>
        </w:tc>
        <w:tc>
          <w:tcPr>
            <w:tcW w:w="3897" w:type="dxa"/>
            <w:gridSpan w:val="6"/>
          </w:tcPr>
          <w:p>
            <w:pPr>
              <w:spacing w:before="120" w:after="12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IV квартал 2012</w:t>
              <w:br w:type="textWrapping"/>
              <w:t>Република Србија</w:t>
            </w:r>
          </w:p>
        </w:tc>
        <w:tc>
          <w:tcPr>
            <w:tcW w:w="739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5"/>
              </w:rPr>
            </w:pPr>
          </w:p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15"/>
              </w:rPr>
              <w:t>IV квартал 2012</w:t>
              <w:br w:type="textWrapping"/>
            </w:r>
          </w:p>
          <w:p>
            <w:pPr>
              <w:spacing w:before="120" w:after="12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IV квартал 2011</w:t>
            </w:r>
          </w:p>
        </w:tc>
      </w:tr>
      <w:tr>
        <w:trPr>
          <w:wAfter w:w="0" w:type="dxa"/>
        </w:trPr>
        <w:tc>
          <w:tcPr>
            <w:tcW w:w="1353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61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укупно</w:t>
            </w:r>
          </w:p>
        </w:tc>
        <w:tc>
          <w:tcPr>
            <w:tcW w:w="63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 Београд</w:t>
            </w:r>
          </w:p>
        </w:tc>
        <w:tc>
          <w:tcPr>
            <w:tcW w:w="54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Војво-дине</w:t>
            </w:r>
          </w:p>
        </w:tc>
        <w:tc>
          <w:tcPr>
            <w:tcW w:w="74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Косово и Метохија</w:t>
            </w:r>
          </w:p>
        </w:tc>
        <w:tc>
          <w:tcPr>
            <w:tcW w:w="61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укупно</w:t>
            </w:r>
          </w:p>
        </w:tc>
        <w:tc>
          <w:tcPr>
            <w:tcW w:w="631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 Београд</w:t>
            </w:r>
          </w:p>
        </w:tc>
        <w:tc>
          <w:tcPr>
            <w:tcW w:w="579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Војво-дине</w:t>
            </w:r>
          </w:p>
        </w:tc>
        <w:tc>
          <w:tcPr>
            <w:tcW w:w="74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Регион Косово и Метохија</w:t>
            </w:r>
          </w:p>
        </w:tc>
        <w:tc>
          <w:tcPr>
            <w:tcW w:w="739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61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4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9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1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9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Mопеди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117,0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Мотоцикли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119,0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Путнички аутомобили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31478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8554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8518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7648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6299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33223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8903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8474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6047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Аутобуси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74,1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Теретна возила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2110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2095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765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99,3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Teгљачи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651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758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116,4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Прикључна возила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5015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1084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2784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1066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886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55,5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Радна возила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128,6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Мотокултиватор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140,0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Пољопривредни трактор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1470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824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151,4</w:t>
            </w:r>
          </w:p>
        </w:tc>
      </w:tr>
      <w:tr>
        <w:trPr>
          <w:wAfter w:w="0" w:type="dxa"/>
        </w:trPr>
        <w:tc>
          <w:tcPr>
            <w:tcW w:w="13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Прикључна возила за пољопривредни трактор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</w:t>
            </w:r>
          </w:p>
        </w:tc>
        <w:tc>
          <w:tcPr>
            <w:tcW w:w="6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1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6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</w:t>
            </w:r>
          </w:p>
        </w:tc>
        <w:tc>
          <w:tcPr>
            <w:tcW w:w="7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69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203,0</w:t>
            </w:r>
          </w:p>
        </w:tc>
      </w:tr>
    </w:tbl>
    <w:p>
      <w:pPr>
        <w:jc w:val="center"/>
        <w:rPr>
          <w:rFonts w:ascii="Arial" w:hAnsi="Arial"/>
          <w:sz w:val="8"/>
        </w:rPr>
      </w:pPr>
    </w:p>
    <w:p>
      <w:pPr>
        <w:rPr>
          <w:rFonts w:ascii="Arial" w:hAnsi="Arial"/>
          <w:sz w:val="14"/>
        </w:rPr>
      </w:pPr>
    </w:p>
    <w:p>
      <w:pPr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tabs>
          <w:tab w:val="left" w:pos="3969" w:leader="none"/>
        </w:tabs>
        <w:spacing w:after="60"/>
        <w:jc w:val="center"/>
        <w:rPr>
          <w:rFonts w:ascii="Arial" w:hAnsi="Arial"/>
          <w:b w:val="1"/>
          <w:sz w:val="20"/>
          <w:vertAlign w:val="superscript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Број с</w:t>
      </w:r>
      <w:r>
        <w:rPr>
          <w:rFonts w:ascii="Arial" w:hAnsi="Arial"/>
          <w:b w:val="1"/>
          <w:sz w:val="20"/>
        </w:rPr>
        <w:t>аобраћајних незгода на путевима</w:t>
      </w:r>
      <w:r>
        <w:rPr>
          <w:rFonts w:ascii="Arial" w:hAnsi="Arial"/>
          <w:b w:val="1"/>
          <w:sz w:val="20"/>
          <w:vertAlign w:val="superscript"/>
        </w:rPr>
        <w:t>1)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3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CTimesRoman" w:hAnsi="CTimesRoman"/>
                <w:sz w:val="16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Саобраћајне незгоде </w:t>
            </w:r>
          </w:p>
        </w:tc>
        <w:tc>
          <w:tcPr>
            <w:tcW w:w="2889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насељу</w:t>
            </w:r>
          </w:p>
        </w:tc>
        <w:tc>
          <w:tcPr>
            <w:tcW w:w="3001" w:type="dxa"/>
            <w:gridSpan w:val="3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 насеља</w:t>
            </w:r>
          </w:p>
        </w:tc>
      </w:tr>
      <w:tr>
        <w:trPr>
          <w:wAfter w:w="0" w:type="dxa"/>
        </w:trPr>
        <w:tc>
          <w:tcPr>
            <w:tcW w:w="137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rPr>
                <w:rFonts w:ascii="CTimesRoman" w:hAnsi="CTimesRoman"/>
                <w:sz w:val="16"/>
              </w:rPr>
            </w:pPr>
          </w:p>
        </w:tc>
        <w:tc>
          <w:tcPr>
            <w:tcW w:w="839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66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поги-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нулима</w:t>
            </w:r>
          </w:p>
        </w:tc>
        <w:tc>
          <w:tcPr>
            <w:tcW w:w="952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повре-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ђенима</w:t>
            </w:r>
          </w:p>
        </w:tc>
        <w:tc>
          <w:tcPr>
            <w:tcW w:w="900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4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поги-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нулима</w:t>
            </w:r>
          </w:p>
        </w:tc>
        <w:tc>
          <w:tcPr>
            <w:tcW w:w="995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повре-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ђенима</w:t>
            </w:r>
          </w:p>
        </w:tc>
        <w:tc>
          <w:tcPr>
            <w:tcW w:w="989" w:type="dxa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поги-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нулима</w:t>
            </w:r>
          </w:p>
        </w:tc>
        <w:tc>
          <w:tcPr>
            <w:tcW w:w="1020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CTimesRoman" w:hAnsi="CTimesRoman"/>
                <w:sz w:val="16"/>
              </w:rPr>
            </w:pPr>
            <w:r>
              <w:rPr>
                <w:rFonts w:ascii="Arial" w:hAnsi="Arial"/>
                <w:sz w:val="16"/>
              </w:rPr>
              <w:t>са повре-</w:t>
            </w: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ђенима</w:t>
            </w:r>
          </w:p>
        </w:tc>
      </w:tr>
      <w:tr>
        <w:trPr>
          <w:wAfter w:w="0" w:type="dxa"/>
          <w:trHeight w:hRule="atLeast" w:val="20"/>
        </w:trPr>
        <w:tc>
          <w:tcPr>
            <w:tcW w:w="13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-57"/>
              <w:rPr>
                <w:rFonts w:ascii="Arial" w:hAnsi="Arial"/>
                <w:sz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70"/>
        </w:trPr>
        <w:tc>
          <w:tcPr>
            <w:tcW w:w="1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квартал 2011</w:t>
            </w:r>
          </w:p>
        </w:tc>
        <w:tc>
          <w:tcPr>
            <w:tcW w:w="846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3400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</w:t>
            </w:r>
          </w:p>
        </w:tc>
        <w:tc>
          <w:tcPr>
            <w:tcW w:w="9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3221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2949</w:t>
            </w:r>
          </w:p>
        </w:tc>
        <w:tc>
          <w:tcPr>
            <w:tcW w:w="9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</w:t>
            </w:r>
          </w:p>
        </w:tc>
        <w:tc>
          <w:tcPr>
            <w:tcW w:w="9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2823</w:t>
            </w:r>
          </w:p>
        </w:tc>
        <w:tc>
          <w:tcPr>
            <w:tcW w:w="9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</w:t>
            </w:r>
          </w:p>
        </w:tc>
      </w:tr>
      <w:tr>
        <w:trPr>
          <w:wAfter w:w="0" w:type="dxa"/>
          <w:trHeight w:hRule="atLeast" w:val="270"/>
        </w:trPr>
        <w:tc>
          <w:tcPr>
            <w:tcW w:w="1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квартал 2012</w:t>
            </w:r>
          </w:p>
        </w:tc>
        <w:tc>
          <w:tcPr>
            <w:tcW w:w="846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3371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9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3232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2964</w:t>
            </w:r>
          </w:p>
        </w:tc>
        <w:tc>
          <w:tcPr>
            <w:tcW w:w="9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9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2864</w:t>
            </w:r>
          </w:p>
        </w:tc>
        <w:tc>
          <w:tcPr>
            <w:tcW w:w="9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</w:tr>
      <w:tr>
        <w:trPr>
          <w:wAfter w:w="0" w:type="dxa"/>
          <w:trHeight w:hRule="atLeast" w:val="205"/>
        </w:trPr>
        <w:tc>
          <w:tcPr>
            <w:tcW w:w="1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-57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IV квартал 2012</w:t>
            </w:r>
          </w:p>
          <w:p>
            <w:pPr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квартал 2011</w:t>
            </w:r>
          </w:p>
        </w:tc>
        <w:tc>
          <w:tcPr>
            <w:tcW w:w="846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77,7</w:t>
            </w:r>
          </w:p>
        </w:tc>
        <w:tc>
          <w:tcPr>
            <w:tcW w:w="9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79,4</w:t>
            </w:r>
          </w:p>
        </w:tc>
        <w:tc>
          <w:tcPr>
            <w:tcW w:w="9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90,2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73,6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92,5</w:t>
            </w:r>
          </w:p>
        </w:tc>
      </w:tr>
    </w:tbl>
    <w:p>
      <w:pPr>
        <w:rPr>
          <w:rFonts w:ascii="Arial" w:hAnsi="Arial"/>
          <w:sz w:val="8"/>
        </w:rPr>
      </w:pPr>
    </w:p>
    <w:p>
      <w:pPr>
        <w:rPr>
          <w:rFonts w:ascii="Arial" w:hAnsi="Arial"/>
          <w:sz w:val="14"/>
        </w:rPr>
      </w:pPr>
    </w:p>
    <w:p>
      <w:pPr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</w:t>
      </w:r>
    </w:p>
    <w:p>
      <w:pPr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1)</w:t>
      </w:r>
      <w:r>
        <w:rPr>
          <w:rFonts w:ascii="Arial" w:hAnsi="Arial"/>
          <w:sz w:val="14"/>
        </w:rPr>
        <w:t xml:space="preserve"> Без података за Косово и Метохију</w:t>
      </w:r>
    </w:p>
    <w:p>
      <w:pPr>
        <w:tabs>
          <w:tab w:val="left" w:pos="3969" w:leader="none"/>
        </w:tabs>
        <w:jc w:val="center"/>
        <w:rPr>
          <w:rFonts w:ascii="Arial" w:hAnsi="Arial"/>
          <w:b w:val="1"/>
        </w:rPr>
      </w:pPr>
    </w:p>
    <w:p>
      <w:pPr>
        <w:tabs>
          <w:tab w:val="left" w:pos="3969" w:leader="none"/>
        </w:tabs>
        <w:jc w:val="center"/>
        <w:rPr>
          <w:rFonts w:ascii="Arial" w:hAnsi="Arial"/>
          <w:b w:val="1"/>
        </w:rPr>
      </w:pPr>
    </w:p>
    <w:p>
      <w:pPr>
        <w:tabs>
          <w:tab w:val="left" w:pos="3969" w:leader="none"/>
        </w:tabs>
        <w:spacing w:after="60"/>
        <w:jc w:val="center"/>
        <w:rPr>
          <w:rFonts w:ascii="Helvetica" w:hAnsi="Helvetica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3. </w:t>
      </w:r>
      <w:r>
        <w:rPr>
          <w:rFonts w:ascii="Arial" w:hAnsi="Arial"/>
          <w:b w:val="1"/>
          <w:sz w:val="20"/>
        </w:rPr>
        <w:t>Број настрадалих лица</w:t>
      </w:r>
      <w:r>
        <w:rPr>
          <w:rFonts w:ascii="Arial" w:hAnsi="Arial"/>
          <w:b w:val="1"/>
          <w:sz w:val="20"/>
          <w:vertAlign w:val="superscript"/>
        </w:rPr>
        <w:t>1)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41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CTimesRoman" w:hAnsi="CTimesRoman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Настрадала лица</w:t>
            </w:r>
          </w:p>
        </w:tc>
        <w:tc>
          <w:tcPr>
            <w:tcW w:w="2874" w:type="dxa"/>
            <w:gridSpan w:val="3"/>
            <w:tcBorders>
              <w:top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насељу</w:t>
            </w:r>
          </w:p>
        </w:tc>
        <w:tc>
          <w:tcPr>
            <w:tcW w:w="2977" w:type="dxa"/>
            <w:gridSpan w:val="3"/>
            <w:tcBorders>
              <w:top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Ван насеља</w:t>
            </w:r>
          </w:p>
        </w:tc>
      </w:tr>
      <w:tr>
        <w:trPr>
          <w:wAfter w:w="0" w:type="dxa"/>
        </w:trPr>
        <w:tc>
          <w:tcPr>
            <w:tcW w:w="2977" w:type="nil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807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40" w:type="dxa"/>
            <w:gridSpan w:val="2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погинула</w:t>
            </w:r>
          </w:p>
        </w:tc>
        <w:tc>
          <w:tcPr>
            <w:tcW w:w="975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повређена</w:t>
            </w:r>
          </w:p>
        </w:tc>
        <w:tc>
          <w:tcPr>
            <w:tcW w:w="890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погинула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повређена</w:t>
            </w:r>
          </w:p>
        </w:tc>
        <w:tc>
          <w:tcPr>
            <w:tcW w:w="993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992" w:type="dxa"/>
            <w:tcBorders>
              <w:bottom w:val="single" w:sz="4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CTimesRoman" w:hAnsi="CTimesRoman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погинула</w:t>
            </w:r>
          </w:p>
        </w:tc>
        <w:tc>
          <w:tcPr>
            <w:tcW w:w="992" w:type="dxa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tabs>
                <w:tab w:val="left" w:pos="3969" w:leader="none"/>
              </w:tabs>
              <w:spacing w:before="40" w:after="40"/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повређена</w:t>
            </w:r>
          </w:p>
        </w:tc>
      </w:tr>
      <w:tr>
        <w:trPr>
          <w:wAfter w:w="0" w:type="dxa"/>
          <w:trHeight w:hRule="atLeast" w:val="20"/>
        </w:trPr>
        <w:tc>
          <w:tcPr>
            <w:tcW w:w="141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-57"/>
              <w:rPr>
                <w:rFonts w:ascii="Arial" w:hAnsi="Arial"/>
                <w:sz w:val="16"/>
              </w:rPr>
            </w:pPr>
          </w:p>
        </w:tc>
        <w:tc>
          <w:tcPr>
            <w:tcW w:w="80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9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70"/>
        </w:trPr>
        <w:tc>
          <w:tcPr>
            <w:tcW w:w="14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квартал 2011</w:t>
            </w:r>
          </w:p>
        </w:tc>
        <w:tc>
          <w:tcPr>
            <w:tcW w:w="8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4876</w:t>
            </w:r>
          </w:p>
        </w:tc>
        <w:tc>
          <w:tcPr>
            <w:tcW w:w="8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</w:t>
            </w:r>
          </w:p>
        </w:tc>
        <w:tc>
          <w:tcPr>
            <w:tcW w:w="99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4671</w:t>
            </w:r>
          </w:p>
        </w:tc>
        <w:tc>
          <w:tcPr>
            <w:tcW w:w="89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4099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3957</w:t>
            </w:r>
          </w:p>
        </w:tc>
        <w:tc>
          <w:tcPr>
            <w:tcW w:w="9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714</w:t>
            </w:r>
          </w:p>
        </w:tc>
      </w:tr>
      <w:tr>
        <w:trPr>
          <w:wAfter w:w="0" w:type="dxa"/>
          <w:trHeight w:hRule="atLeast" w:val="270"/>
        </w:trPr>
        <w:tc>
          <w:tcPr>
            <w:tcW w:w="14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40" w:after="40"/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квартал 2012</w:t>
            </w:r>
          </w:p>
        </w:tc>
        <w:tc>
          <w:tcPr>
            <w:tcW w:w="8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4737</w:t>
            </w:r>
          </w:p>
        </w:tc>
        <w:tc>
          <w:tcPr>
            <w:tcW w:w="8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</w:t>
            </w:r>
          </w:p>
        </w:tc>
        <w:tc>
          <w:tcPr>
            <w:tcW w:w="99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4589</w:t>
            </w:r>
          </w:p>
        </w:tc>
        <w:tc>
          <w:tcPr>
            <w:tcW w:w="8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4052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3945</w:t>
            </w:r>
          </w:p>
        </w:tc>
        <w:tc>
          <w:tcPr>
            <w:tcW w:w="9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</w:tr>
      <w:tr>
        <w:trPr>
          <w:wAfter w:w="0" w:type="dxa"/>
        </w:trPr>
        <w:tc>
          <w:tcPr>
            <w:tcW w:w="14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right="-57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IV квартал 2012</w:t>
            </w:r>
          </w:p>
          <w:p>
            <w:pPr>
              <w:ind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квартал 2011</w:t>
            </w:r>
          </w:p>
        </w:tc>
        <w:tc>
          <w:tcPr>
            <w:tcW w:w="8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97,1</w:t>
            </w:r>
          </w:p>
        </w:tc>
        <w:tc>
          <w:tcPr>
            <w:tcW w:w="8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72,2</w:t>
            </w:r>
          </w:p>
        </w:tc>
        <w:tc>
          <w:tcPr>
            <w:tcW w:w="99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89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75,4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  <w:tc>
          <w:tcPr>
            <w:tcW w:w="99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88,2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65,1</w:t>
            </w:r>
          </w:p>
        </w:tc>
        <w:tc>
          <w:tcPr>
            <w:tcW w:w="9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90,2</w:t>
            </w:r>
          </w:p>
        </w:tc>
      </w:tr>
    </w:tbl>
    <w:p>
      <w:pPr>
        <w:rPr>
          <w:rFonts w:ascii="Arial" w:hAnsi="Arial"/>
          <w:sz w:val="8"/>
        </w:rPr>
      </w:pPr>
    </w:p>
    <w:p>
      <w:pPr>
        <w:rPr>
          <w:rFonts w:ascii="Arial" w:hAnsi="Arial"/>
          <w:sz w:val="14"/>
        </w:rPr>
      </w:pPr>
    </w:p>
    <w:p>
      <w:pPr>
        <w:rPr>
          <w:rFonts w:ascii="Arial" w:hAnsi="Arial"/>
          <w:b w:val="1"/>
          <w:sz w:val="14"/>
          <w:u w:val="single"/>
        </w:rPr>
      </w:pPr>
      <w:r>
        <w:rPr>
          <w:rFonts w:ascii="Arial" w:hAnsi="Arial"/>
          <w:sz w:val="14"/>
        </w:rPr>
        <w:t>Извор: Министарство унутрашњих послова Републике Србије</w:t>
      </w:r>
    </w:p>
    <w:p>
      <w:pPr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1)</w:t>
      </w:r>
      <w:r>
        <w:rPr>
          <w:rFonts w:ascii="Arial" w:hAnsi="Arial"/>
          <w:sz w:val="14"/>
        </w:rPr>
        <w:t xml:space="preserve">  Без података за Косово и Метохију</w:t>
      </w:r>
    </w:p>
    <w:p>
      <w:pPr>
        <w:pStyle w:val="P13"/>
        <w:ind w:firstLine="357" w:left="0"/>
        <w:jc w:val="center"/>
      </w:pPr>
    </w:p>
    <w:p>
      <w:pPr>
        <w:pStyle w:val="P13"/>
        <w:ind w:firstLine="357" w:left="0"/>
        <w:jc w:val="center"/>
      </w:pPr>
    </w:p>
    <w:p>
      <w:pPr>
        <w:pStyle w:val="P13"/>
        <w:rPr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60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квартално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СРБ054 СВ22 080313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2DD46A3E"/>
    <w:multiLevelType w:val="multilevel"/>
    <w:lvl w:ilvl="0">
      <w:start w:val="1"/>
      <w:numFmt w:val="decimal"/>
      <w:suff w:val="tab"/>
      <w:lvlText w:val="%1."/>
      <w:lvlJc w:val="left"/>
      <w:pPr>
        <w:ind w:hanging="360" w:left="717"/>
        <w:tabs>
          <w:tab w:val="left" w:pos="71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37"/>
        <w:tabs>
          <w:tab w:val="left" w:pos="1437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57"/>
        <w:tabs>
          <w:tab w:val="left" w:pos="2157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77"/>
        <w:tabs>
          <w:tab w:val="left" w:pos="2877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97"/>
        <w:tabs>
          <w:tab w:val="left" w:pos="3597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17"/>
        <w:tabs>
          <w:tab w:val="left" w:pos="4317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37"/>
        <w:tabs>
          <w:tab w:val="left" w:pos="5037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57"/>
        <w:tabs>
          <w:tab w:val="left" w:pos="5757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77"/>
        <w:tabs>
          <w:tab w:val="left" w:pos="6477" w:leader="none"/>
        </w:tabs>
      </w:pPr>
      <w:rPr/>
    </w:lvl>
  </w:abstractNum>
  <w:abstractNum w:abstractNumId="3">
    <w:nsid w:val="3BAF72E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5">
    <w:nsid w:val="6B666B95"/>
    <w:multiLevelType w:val="hybridMultilevel"/>
    <w:lvl w:ilvl="0" w:tplc="48853385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77F759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793CC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A99177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F477DC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D04CA1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BD8CEC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03A29D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831B83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2013-02-27T14:00:00Z</dcterms:created>
  <cp:lastModifiedBy>Nikola Kapetanovic</cp:lastModifiedBy>
  <cp:lastPrinted>2013-03-08T08:28:00Z</cp:lastPrinted>
  <dcterms:modified xsi:type="dcterms:W3CDTF">2020-01-10T11:17:13Z</dcterms:modified>
  <cp:revision>9</cp:revision>
  <dc:title>Промет робе у трговини на мало у Републици Србији, јануар 2003</dc:title>
</cp:coreProperties>
</file>