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6E8EBA" Type="http://schemas.openxmlformats.org/officeDocument/2006/relationships/officeDocument" Target="/word/document.xml" /><Relationship Id="coreR356E8EB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СВ21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053 - год. LXIII, 08.03.2013.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</w:rPr>
              <w:t xml:space="preserve">Статистика </w:t>
            </w:r>
            <w:r>
              <w:rPr>
                <w:b w:val="1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СРБ053 СВ21 080313</w:t>
            </w:r>
          </w:p>
        </w:tc>
      </w:tr>
    </w:tbl>
    <w:p>
      <w:pPr>
        <w:pStyle w:val="P7"/>
        <w:spacing w:before="120" w:after="0"/>
        <w:jc w:val="center"/>
        <w:rPr>
          <w:b w:val="1"/>
          <w:sz w:val="24"/>
        </w:rPr>
      </w:pPr>
    </w:p>
    <w:p>
      <w:pPr>
        <w:pStyle w:val="P7"/>
        <w:spacing w:before="120" w:after="0"/>
        <w:jc w:val="center"/>
        <w:rPr>
          <w:b w:val="1"/>
          <w:sz w:val="24"/>
        </w:rPr>
      </w:pPr>
    </w:p>
    <w:p>
      <w:pPr>
        <w:pStyle w:val="P7"/>
        <w:spacing w:before="120" w:after="0"/>
        <w:jc w:val="center"/>
        <w:rPr>
          <w:b w:val="1"/>
          <w:sz w:val="24"/>
        </w:rPr>
      </w:pPr>
      <w:r>
        <w:rPr>
          <w:b w:val="1"/>
          <w:sz w:val="24"/>
        </w:rPr>
        <w:t>РЕГИСТРОВАНА ДРУМСКА МОТОРНА И ПРИКЉУЧНА ВОЗИЛА</w:t>
      </w:r>
    </w:p>
    <w:p>
      <w:pPr>
        <w:pStyle w:val="P5"/>
        <w:spacing w:before="120" w:after="0"/>
        <w:jc w:val="center"/>
        <w:rPr>
          <w:i w:val="0"/>
          <w:sz w:val="24"/>
        </w:rPr>
      </w:pPr>
      <w:r>
        <w:rPr>
          <w:i w:val="0"/>
          <w:sz w:val="24"/>
        </w:rPr>
        <w:t>И САОБРАЋАЈНЕ НЕЗГОДЕ НА ПУТЕВИМА, 20</w:t>
      </w:r>
      <w:r>
        <w:rPr>
          <w:i w:val="0"/>
          <w:sz w:val="24"/>
        </w:rPr>
        <w:t>1</w:t>
      </w:r>
      <w:r>
        <w:rPr>
          <w:i w:val="0"/>
          <w:sz w:val="24"/>
        </w:rPr>
        <w:t>2</w:t>
      </w:r>
      <w:r>
        <w:rPr>
          <w:i w:val="0"/>
          <w:sz w:val="24"/>
        </w:rPr>
        <w:t>.</w:t>
      </w:r>
    </w:p>
    <w:p>
      <w:pPr>
        <w:jc w:val="center"/>
        <w:rPr>
          <w:sz w:val="8"/>
        </w:rPr>
      </w:pPr>
    </w:p>
    <w:p>
      <w:pPr>
        <w:jc w:val="center"/>
        <w:rPr>
          <w:b w:val="1"/>
          <w:sz w:val="22"/>
        </w:rPr>
      </w:pPr>
    </w:p>
    <w:p>
      <w:pPr>
        <w:pStyle w:val="P16"/>
        <w:spacing w:lineRule="auto" w:line="240" w:before="120"/>
        <w:ind w:firstLine="397" w:left="0"/>
        <w:jc w:val="both"/>
      </w:pPr>
      <w:r>
        <w:t>Број путничких аутомобила и теретних возила регистрованих током 2012. године у Републици Србији већи је за око 2% у односу на број регистрованих возила у претходној години. Динамичан раст, од 26,8% забележен је код тегљача, а сличан пораст се може приметити и код мопеда и мотоцикала. Највећи пораст од 60,7% се може уочити код радних возила.</w:t>
      </w:r>
    </w:p>
    <w:p>
      <w:pPr>
        <w:pStyle w:val="P16"/>
        <w:spacing w:lineRule="auto" w:line="240" w:before="120"/>
        <w:ind w:firstLine="397" w:left="0"/>
        <w:jc w:val="both"/>
      </w:pPr>
      <w:r>
        <w:t xml:space="preserve">Од домаћих произвођача моторних возила наjбројнија маркa регистрованих путничких аутомобила je Zastava. Најзаступљеније марке путничких аутомобила стране производње су: Volkswagen, Opel, Ford, Fiat, Renault, Mercedes, Peugeot, Škoda. </w:t>
      </w:r>
    </w:p>
    <w:p>
      <w:pPr>
        <w:pStyle w:val="P16"/>
        <w:spacing w:lineRule="auto" w:line="240" w:before="120"/>
        <w:ind w:firstLine="397" w:left="0"/>
        <w:jc w:val="both"/>
      </w:pPr>
      <w:r>
        <w:t xml:space="preserve">Број први пут регистрованих путничких аутомобила у 2012. години у Републици Србији у односу на претходну годину, већи је за 5,4%, тегљача за 22,9% и радних возила за 42,7%, док сличан пад, од око 20% бележе аутобуси, теретна и прикључна возила. </w:t>
      </w:r>
    </w:p>
    <w:p>
      <w:pPr>
        <w:pStyle w:val="P16"/>
        <w:spacing w:lineRule="auto" w:line="240" w:before="120"/>
        <w:ind w:firstLine="397" w:left="0"/>
        <w:jc w:val="both"/>
      </w:pPr>
      <w:r>
        <w:t xml:space="preserve">Укупан број саобраћајних незгода у 2012. години мањи је за 5,6%, у односу на 2011. годину. Већи број саобраћајаних незгода, забележен је у насељу и износи 88,5% у односу на укупан број саобраћајних незгода. </w:t>
      </w:r>
    </w:p>
    <w:p>
      <w:pPr>
        <w:pStyle w:val="P16"/>
        <w:spacing w:lineRule="auto" w:line="240" w:before="120"/>
        <w:ind w:firstLine="397" w:left="0"/>
        <w:jc w:val="both"/>
      </w:pPr>
      <w:r>
        <w:t>Број настрадалих лица у 2012. години у односу на 2011. годину је мањи за 4,7%, док је број настрадалих лица ван насеља мањи за 10,8%.</w:t>
      </w: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vertAlign w:val="superscript"/>
        </w:rPr>
      </w:pPr>
      <w:r>
        <w:rPr>
          <w:b w:val="1"/>
        </w:rPr>
        <w:t xml:space="preserve">1. </w:t>
      </w:r>
      <w:r>
        <w:rPr>
          <w:b w:val="1"/>
        </w:rPr>
        <w:t>Број укупно р</w:t>
      </w:r>
      <w:r>
        <w:rPr>
          <w:b w:val="1"/>
        </w:rPr>
        <w:t>егистрованих друмских моторних и прик</w:t>
      </w:r>
      <w:r>
        <w:rPr>
          <w:b w:val="1"/>
        </w:rPr>
        <w:t>љ</w:t>
      </w:r>
      <w:r>
        <w:rPr>
          <w:b w:val="1"/>
        </w:rPr>
        <w:t>учних возила</w:t>
      </w:r>
      <w:r>
        <w:rPr>
          <w:b w:val="1"/>
        </w:rPr>
        <w:t xml:space="preserve"> </w:t>
      </w:r>
      <w:r>
        <w:rPr>
          <w:b w:val="1"/>
          <w:vertAlign w:val="superscript"/>
        </w:rPr>
        <w:t>1</w:t>
      </w:r>
      <w:r>
        <w:rPr>
          <w:b w:val="1"/>
          <w:vertAlign w:val="superscript"/>
        </w:rPr>
        <w:t xml:space="preserve">) </w:t>
      </w:r>
    </w:p>
    <w:p>
      <w:pPr>
        <w:jc w:val="center"/>
        <w:rPr>
          <w:sz w:val="8"/>
        </w:rPr>
      </w:pPr>
    </w:p>
    <w:tbl>
      <w:tblPr>
        <w:tblStyle w:val="T3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302"/>
        </w:trPr>
        <w:tc>
          <w:tcPr>
            <w:tcW w:w="1353" w:type="dxa"/>
            <w:vMerge w:val="restart"/>
            <w:tcBorders>
              <w:left w:val="none" w:sz="0" w:space="0" w:shadow="0" w:frame="0"/>
            </w:tcBorders>
            <w:shd w:val="nil" w:color="auto" w:fill="auto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3934" w:type="dxa"/>
            <w:gridSpan w:val="6"/>
            <w:shd w:val="nil" w:color="auto" w:fill="auto"/>
          </w:tcPr>
          <w:p>
            <w:pPr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2011 </w:t>
            </w:r>
          </w:p>
        </w:tc>
        <w:tc>
          <w:tcPr>
            <w:tcW w:w="3897" w:type="dxa"/>
            <w:gridSpan w:val="6"/>
          </w:tcPr>
          <w:p>
            <w:pPr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>2012</w:t>
            </w:r>
          </w:p>
        </w:tc>
        <w:tc>
          <w:tcPr>
            <w:tcW w:w="739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  <w:p>
            <w:pPr>
              <w:jc w:val="center"/>
              <w:rPr>
                <w:sz w:val="15"/>
              </w:rPr>
            </w:pPr>
          </w:p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 xml:space="preserve"> 2012</w:t>
              <w:br w:type="textWrapping"/>
            </w:r>
          </w:p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 xml:space="preserve"> 2011</w:t>
            </w:r>
          </w:p>
        </w:tc>
      </w:tr>
      <w:tr>
        <w:trPr>
          <w:wAfter w:w="0" w:type="dxa"/>
          <w:trHeight w:hRule="atLeast" w:val="260"/>
        </w:trPr>
        <w:tc>
          <w:tcPr>
            <w:tcW w:w="1353" w:type="dxa"/>
            <w:vMerge w:val="continue"/>
            <w:tcBorders>
              <w:left w:val="none" w:sz="0" w:space="0" w:shadow="0" w:frame="0"/>
            </w:tcBorders>
            <w:shd w:val="nil" w:color="auto" w:fill="auto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3934" w:type="dxa"/>
            <w:gridSpan w:val="6"/>
            <w:shd w:val="nil" w:color="auto" w:fill="auto"/>
          </w:tcPr>
          <w:p>
            <w:pPr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>Република Србија</w:t>
            </w:r>
          </w:p>
        </w:tc>
        <w:tc>
          <w:tcPr>
            <w:tcW w:w="3897" w:type="dxa"/>
            <w:gridSpan w:val="6"/>
          </w:tcPr>
          <w:p>
            <w:pPr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>Република Србија</w:t>
            </w:r>
          </w:p>
        </w:tc>
        <w:tc>
          <w:tcPr>
            <w:tcW w:w="739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61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укупно</w:t>
            </w:r>
          </w:p>
        </w:tc>
        <w:tc>
          <w:tcPr>
            <w:tcW w:w="63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Град Београд</w:t>
            </w:r>
          </w:p>
        </w:tc>
        <w:tc>
          <w:tcPr>
            <w:tcW w:w="61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Војво-дине</w:t>
            </w:r>
          </w:p>
        </w:tc>
        <w:tc>
          <w:tcPr>
            <w:tcW w:w="74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Косова и Метохије</w:t>
            </w:r>
          </w:p>
        </w:tc>
        <w:tc>
          <w:tcPr>
            <w:tcW w:w="61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укупно</w:t>
            </w:r>
          </w:p>
        </w:tc>
        <w:tc>
          <w:tcPr>
            <w:tcW w:w="631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Град Београд</w:t>
            </w:r>
          </w:p>
        </w:tc>
        <w:tc>
          <w:tcPr>
            <w:tcW w:w="579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Војво-дине</w:t>
            </w:r>
          </w:p>
        </w:tc>
        <w:tc>
          <w:tcPr>
            <w:tcW w:w="74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Косова и Метохије</w:t>
            </w:r>
          </w:p>
        </w:tc>
        <w:tc>
          <w:tcPr>
            <w:tcW w:w="739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5"/>
              </w:rPr>
            </w:pPr>
          </w:p>
        </w:tc>
        <w:tc>
          <w:tcPr>
            <w:tcW w:w="61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</w:p>
        </w:tc>
        <w:tc>
          <w:tcPr>
            <w:tcW w:w="6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</w:p>
        </w:tc>
        <w:tc>
          <w:tcPr>
            <w:tcW w:w="61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</w:p>
        </w:tc>
        <w:tc>
          <w:tcPr>
            <w:tcW w:w="7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</w:p>
        </w:tc>
        <w:tc>
          <w:tcPr>
            <w:tcW w:w="69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</w:p>
        </w:tc>
        <w:tc>
          <w:tcPr>
            <w:tcW w:w="61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</w:p>
        </w:tc>
        <w:tc>
          <w:tcPr>
            <w:tcW w:w="6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</w:p>
        </w:tc>
        <w:tc>
          <w:tcPr>
            <w:tcW w:w="5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</w:p>
        </w:tc>
        <w:tc>
          <w:tcPr>
            <w:tcW w:w="7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</w:p>
        </w:tc>
        <w:tc>
          <w:tcPr>
            <w:tcW w:w="69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5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sz w:val="15"/>
              </w:rPr>
            </w:pPr>
            <w:r>
              <w:rPr>
                <w:sz w:val="15"/>
              </w:rPr>
              <w:t>Mопеди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10266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2335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3578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1997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2332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12875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2945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4290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2819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2800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125,4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sz w:val="15"/>
              </w:rPr>
            </w:pPr>
            <w:r>
              <w:rPr>
                <w:sz w:val="15"/>
              </w:rPr>
              <w:t>Мотоцикли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28869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8210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9399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6028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5163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34362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8373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10993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7487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7445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119,0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sz w:val="15"/>
              </w:rPr>
            </w:pPr>
            <w:r>
              <w:rPr>
                <w:sz w:val="15"/>
              </w:rPr>
              <w:t>Путнички аутомобили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1677510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473414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426348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435498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324019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18231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1726464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431350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442280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452217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385148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15469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102,9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sz w:val="15"/>
              </w:rPr>
            </w:pPr>
            <w:r>
              <w:rPr>
                <w:sz w:val="15"/>
              </w:rPr>
              <w:t>Аутобуси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8805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3667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1679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1799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1564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8829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3452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1836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1738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100,3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sz w:val="15"/>
              </w:rPr>
            </w:pPr>
            <w:r>
              <w:rPr>
                <w:sz w:val="15"/>
              </w:rPr>
              <w:t>Теретна возила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159455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49392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36883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45677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26889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163348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51818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38336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43959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28781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102,4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sz w:val="15"/>
              </w:rPr>
            </w:pPr>
            <w:r>
              <w:rPr>
                <w:sz w:val="15"/>
              </w:rPr>
              <w:t>Тегљач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12443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4107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3747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3410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1143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15781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4187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4300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4319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2857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126,8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sz w:val="15"/>
              </w:rPr>
            </w:pPr>
            <w:r>
              <w:rPr>
                <w:sz w:val="15"/>
              </w:rPr>
              <w:t>Прикључна возила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32862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6825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7885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10150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7944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34814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7215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8312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11244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7965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105,9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sz w:val="15"/>
              </w:rPr>
            </w:pPr>
            <w:r>
              <w:rPr>
                <w:sz w:val="15"/>
              </w:rPr>
              <w:t>Радна возила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2736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733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1237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488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4396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926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2169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742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160,7</w:t>
            </w:r>
          </w:p>
        </w:tc>
      </w:tr>
    </w:tbl>
    <w:p>
      <w:pPr>
        <w:rPr>
          <w:sz w:val="14"/>
        </w:rPr>
      </w:pPr>
    </w:p>
    <w:p>
      <w:pPr>
        <w:rPr>
          <w:sz w:val="12"/>
        </w:rPr>
      </w:pPr>
    </w:p>
    <w:p>
      <w:pPr>
        <w:rPr>
          <w:b w:val="1"/>
          <w:sz w:val="12"/>
          <w:u w:val="single"/>
        </w:rPr>
      </w:pPr>
      <w:r>
        <w:rPr>
          <w:sz w:val="12"/>
        </w:rPr>
        <w:t>Извор: Министарство унутрашњих послова Републике Србије.</w:t>
      </w:r>
    </w:p>
    <w:p>
      <w:pPr>
        <w:ind w:hanging="170" w:left="170"/>
        <w:jc w:val="both"/>
        <w:rPr>
          <w:sz w:val="12"/>
        </w:rPr>
      </w:pPr>
      <w:r>
        <w:rPr>
          <w:sz w:val="12"/>
          <w:vertAlign w:val="superscript"/>
        </w:rPr>
        <w:t>1)</w:t>
      </w:r>
      <w:r>
        <w:rPr>
          <w:sz w:val="12"/>
        </w:rPr>
        <w:t xml:space="preserve"> Обухваћена су сва возила која су у било ком периоду извештајне године имала важећу саобраћајну дозволу. Нису обухваћена возила регистрована привременом таблицом, возила МУП, возила војске Републике Србије ни возила страних представништава.</w:t>
      </w:r>
    </w:p>
    <w:p>
      <w:pPr>
        <w:rPr>
          <w:sz w:val="8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spacing w:after="40"/>
        <w:jc w:val="center"/>
      </w:pPr>
      <w:r>
        <w:rPr>
          <w:b w:val="1"/>
        </w:rPr>
        <w:t xml:space="preserve">2. </w:t>
      </w:r>
      <w:r>
        <w:rPr>
          <w:b w:val="1"/>
        </w:rPr>
        <w:t>Број први пут р</w:t>
      </w:r>
      <w:r>
        <w:rPr>
          <w:b w:val="1"/>
        </w:rPr>
        <w:t>егистрованих друмских моторних и прик</w:t>
      </w:r>
      <w:r>
        <w:rPr>
          <w:b w:val="1"/>
        </w:rPr>
        <w:t>љ</w:t>
      </w:r>
      <w:r>
        <w:rPr>
          <w:b w:val="1"/>
        </w:rPr>
        <w:t>учних возила</w:t>
      </w:r>
      <w:r>
        <w:rPr>
          <w:b w:val="1"/>
        </w:rPr>
        <w:t xml:space="preserve"> </w:t>
      </w:r>
      <w:r>
        <w:rPr>
          <w:b w:val="1"/>
          <w:vertAlign w:val="superscript"/>
        </w:rPr>
        <w:t>1</w:t>
      </w:r>
      <w:r>
        <w:rPr>
          <w:b w:val="1"/>
          <w:vertAlign w:val="superscript"/>
        </w:rPr>
        <w:t>)</w:t>
      </w:r>
    </w:p>
    <w:tbl>
      <w:tblPr>
        <w:tblStyle w:val="T3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353" w:type="dxa"/>
            <w:vMerge w:val="restart"/>
            <w:tcBorders>
              <w:left w:val="none" w:sz="0" w:space="0" w:shadow="0" w:frame="0"/>
            </w:tcBorders>
            <w:shd w:val="nil" w:color="auto" w:fill="auto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4023" w:type="dxa"/>
            <w:gridSpan w:val="6"/>
            <w:shd w:val="nil" w:color="auto" w:fill="auto"/>
          </w:tcPr>
          <w:p>
            <w:pPr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>2011</w:t>
            </w:r>
          </w:p>
        </w:tc>
        <w:tc>
          <w:tcPr>
            <w:tcW w:w="4021" w:type="dxa"/>
            <w:gridSpan w:val="6"/>
          </w:tcPr>
          <w:p>
            <w:pPr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>2012</w:t>
            </w:r>
          </w:p>
        </w:tc>
        <w:tc>
          <w:tcPr>
            <w:tcW w:w="739" w:type="dxa"/>
            <w:vMerge w:val="restart"/>
            <w:tcBorders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5"/>
              </w:rPr>
            </w:pPr>
          </w:p>
          <w:p>
            <w:pPr>
              <w:jc w:val="center"/>
              <w:rPr>
                <w:sz w:val="15"/>
              </w:rPr>
            </w:pPr>
          </w:p>
          <w:p>
            <w:pPr>
              <w:jc w:val="center"/>
              <w:rPr>
                <w:sz w:val="15"/>
              </w:rPr>
            </w:pPr>
          </w:p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2012</w:t>
              <w:br w:type="textWrapping"/>
            </w:r>
          </w:p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2011</w:t>
            </w:r>
          </w:p>
        </w:tc>
      </w:tr>
      <w:tr>
        <w:trPr>
          <w:wAfter w:w="0" w:type="dxa"/>
          <w:trHeight w:hRule="atLeast" w:val="20"/>
        </w:trPr>
        <w:tc>
          <w:tcPr>
            <w:tcW w:w="1353" w:type="dxa"/>
            <w:vMerge w:val="continue"/>
            <w:tcBorders>
              <w:left w:val="none" w:sz="0" w:space="0" w:shadow="0" w:frame="0"/>
            </w:tcBorders>
            <w:shd w:val="nil" w:color="auto" w:fill="auto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4023" w:type="dxa"/>
            <w:gridSpan w:val="6"/>
            <w:shd w:val="nil" w:color="auto" w:fill="auto"/>
          </w:tcPr>
          <w:p>
            <w:pPr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>Република Србија</w:t>
            </w:r>
          </w:p>
        </w:tc>
        <w:tc>
          <w:tcPr>
            <w:tcW w:w="4021" w:type="dxa"/>
            <w:gridSpan w:val="6"/>
          </w:tcPr>
          <w:p>
            <w:pPr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>Република Србија</w:t>
            </w:r>
          </w:p>
        </w:tc>
        <w:tc>
          <w:tcPr>
            <w:tcW w:w="739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353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70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укупно</w:t>
            </w:r>
          </w:p>
        </w:tc>
        <w:tc>
          <w:tcPr>
            <w:tcW w:w="63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Град Београд</w:t>
            </w:r>
          </w:p>
        </w:tc>
        <w:tc>
          <w:tcPr>
            <w:tcW w:w="61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Војво-дине</w:t>
            </w:r>
          </w:p>
        </w:tc>
        <w:tc>
          <w:tcPr>
            <w:tcW w:w="74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Косова и Метохије</w:t>
            </w:r>
          </w:p>
        </w:tc>
        <w:tc>
          <w:tcPr>
            <w:tcW w:w="70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укупно</w:t>
            </w:r>
          </w:p>
        </w:tc>
        <w:tc>
          <w:tcPr>
            <w:tcW w:w="631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Град Београд</w:t>
            </w:r>
          </w:p>
        </w:tc>
        <w:tc>
          <w:tcPr>
            <w:tcW w:w="61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Војво-дине</w:t>
            </w:r>
          </w:p>
        </w:tc>
        <w:tc>
          <w:tcPr>
            <w:tcW w:w="74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Косова и Метохије</w:t>
            </w:r>
          </w:p>
        </w:tc>
        <w:tc>
          <w:tcPr>
            <w:tcW w:w="739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3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8"/>
              </w:rPr>
            </w:pPr>
          </w:p>
        </w:tc>
        <w:tc>
          <w:tcPr>
            <w:tcW w:w="70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1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7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9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70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1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7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9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5"/>
              </w:rPr>
            </w:pPr>
            <w:bookmarkStart w:id="0" w:name="OLE_LINK1"/>
            <w:r>
              <w:rPr>
                <w:sz w:val="15"/>
              </w:rPr>
              <w:t>Mопеди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6250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1378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1899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1375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1583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6622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1369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2090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1446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1707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106,0</w:t>
            </w:r>
          </w:p>
        </w:tc>
      </w:tr>
      <w:tr>
        <w:trPr>
          <w:wAfter w:w="0" w:type="dxa"/>
          <w:trHeight w:hRule="atLeast" w:val="20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5"/>
              </w:rPr>
            </w:pPr>
            <w:r>
              <w:rPr>
                <w:sz w:val="15"/>
              </w:rPr>
              <w:t>Мотоцикли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4779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1191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1320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1167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1057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5109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1008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1543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1356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1181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106,9</w:t>
            </w:r>
          </w:p>
        </w:tc>
      </w:tr>
      <w:tr>
        <w:trPr>
          <w:wAfter w:w="0" w:type="dxa"/>
          <w:trHeight w:hRule="atLeast" w:val="20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5"/>
              </w:rPr>
            </w:pPr>
            <w:r>
              <w:rPr>
                <w:sz w:val="15"/>
              </w:rPr>
              <w:t>Путнички аутомобили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122498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37469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31528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28651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22663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2187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129169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35731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35960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32799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23767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912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105,4</w:t>
            </w:r>
          </w:p>
        </w:tc>
      </w:tr>
      <w:tr>
        <w:trPr>
          <w:wAfter w:w="0" w:type="dxa"/>
          <w:trHeight w:hRule="atLeast" w:val="20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5"/>
              </w:rPr>
            </w:pPr>
            <w:r>
              <w:rPr>
                <w:sz w:val="15"/>
              </w:rPr>
              <w:t>Аутобуси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607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463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76,3</w:t>
            </w:r>
          </w:p>
        </w:tc>
      </w:tr>
      <w:tr>
        <w:trPr>
          <w:wAfter w:w="0" w:type="dxa"/>
          <w:trHeight w:hRule="atLeast" w:val="20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5"/>
              </w:rPr>
            </w:pPr>
            <w:r>
              <w:rPr>
                <w:sz w:val="15"/>
              </w:rPr>
              <w:t>Теретна возила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8677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3495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1785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2048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1313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7418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2645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1810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1899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1047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85,5</w:t>
            </w:r>
          </w:p>
        </w:tc>
      </w:tr>
      <w:tr>
        <w:trPr>
          <w:wAfter w:w="0" w:type="dxa"/>
          <w:trHeight w:hRule="atLeast" w:val="20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5"/>
              </w:rPr>
            </w:pPr>
            <w:r>
              <w:rPr>
                <w:sz w:val="15"/>
              </w:rPr>
              <w:t>Тегљачи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2309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583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622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780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316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2837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737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732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926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122,9</w:t>
            </w:r>
          </w:p>
        </w:tc>
      </w:tr>
      <w:tr>
        <w:trPr>
          <w:wAfter w:w="0" w:type="dxa"/>
          <w:trHeight w:hRule="atLeast" w:val="20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Прикључна возила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18614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1580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7155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5942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3895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13877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1294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5861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4173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2520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74,6</w:t>
            </w:r>
          </w:p>
        </w:tc>
      </w:tr>
      <w:tr>
        <w:trPr>
          <w:wAfter w:w="0" w:type="dxa"/>
          <w:trHeight w:hRule="atLeast" w:val="20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5"/>
              </w:rPr>
            </w:pPr>
            <w:r>
              <w:rPr>
                <w:sz w:val="15"/>
              </w:rPr>
              <w:t>Радна возила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1048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1496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6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865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142,7</w:t>
            </w:r>
          </w:p>
        </w:tc>
      </w:tr>
    </w:tbl>
    <w:p>
      <w:pPr>
        <w:jc w:val="center"/>
        <w:rPr>
          <w:sz w:val="6"/>
        </w:rPr>
      </w:pPr>
      <w:bookmarkEnd w:id="0"/>
    </w:p>
    <w:p>
      <w:pPr>
        <w:jc w:val="both"/>
        <w:rPr>
          <w:sz w:val="10"/>
        </w:rPr>
      </w:pPr>
    </w:p>
    <w:p>
      <w:pPr>
        <w:jc w:val="both"/>
        <w:rPr>
          <w:b w:val="1"/>
          <w:sz w:val="12"/>
          <w:u w:val="single"/>
        </w:rPr>
      </w:pPr>
      <w:r>
        <w:rPr>
          <w:sz w:val="12"/>
        </w:rPr>
        <w:t>Извор: Министарство унутрашњих послова Републике Србије.</w:t>
      </w:r>
    </w:p>
    <w:p>
      <w:pPr>
        <w:jc w:val="both"/>
        <w:rPr>
          <w:sz w:val="12"/>
        </w:rPr>
      </w:pPr>
      <w:r>
        <w:rPr>
          <w:sz w:val="12"/>
          <w:vertAlign w:val="superscript"/>
        </w:rPr>
        <w:t>1)</w:t>
      </w:r>
      <w:r>
        <w:rPr>
          <w:sz w:val="12"/>
        </w:rPr>
        <w:t xml:space="preserve">  Нису обухваћена возила регистрована привременом таблицом, возила МУП, возила војске Републике Србије ни возила страних представништава.</w:t>
      </w:r>
    </w:p>
    <w:p>
      <w:pPr>
        <w:tabs>
          <w:tab w:val="left" w:pos="3969" w:leader="none"/>
        </w:tabs>
        <w:jc w:val="center"/>
        <w:rPr>
          <w:b w:val="1"/>
        </w:rPr>
      </w:pPr>
    </w:p>
    <w:p>
      <w:pPr>
        <w:spacing w:after="40"/>
        <w:jc w:val="center"/>
      </w:pPr>
      <w:r>
        <w:rPr>
          <w:b w:val="1"/>
        </w:rPr>
        <w:t xml:space="preserve">2. </w:t>
      </w:r>
      <w:r>
        <w:rPr>
          <w:b w:val="1"/>
        </w:rPr>
        <w:t>Број р</w:t>
      </w:r>
      <w:r>
        <w:rPr>
          <w:b w:val="1"/>
        </w:rPr>
        <w:t>егистрованих друмских моторних и прик</w:t>
      </w:r>
      <w:r>
        <w:rPr>
          <w:b w:val="1"/>
        </w:rPr>
        <w:t>љ</w:t>
      </w:r>
      <w:r>
        <w:rPr>
          <w:b w:val="1"/>
        </w:rPr>
        <w:t>учних возила</w:t>
      </w:r>
      <w:r>
        <w:rPr>
          <w:b w:val="1"/>
        </w:rPr>
        <w:t xml:space="preserve"> </w:t>
      </w:r>
      <w:r>
        <w:rPr>
          <w:b w:val="1"/>
        </w:rPr>
        <w:t>чија је година производње текућа</w:t>
      </w:r>
      <w:r>
        <w:rPr>
          <w:b w:val="1"/>
          <w:vertAlign w:val="superscript"/>
        </w:rPr>
        <w:t>1</w:t>
      </w:r>
      <w:r>
        <w:rPr>
          <w:b w:val="1"/>
          <w:vertAlign w:val="superscript"/>
        </w:rPr>
        <w:t>)</w:t>
      </w:r>
    </w:p>
    <w:tbl>
      <w:tblPr>
        <w:tblStyle w:val="T3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338" w:type="dxa"/>
            <w:vMerge w:val="restart"/>
            <w:tcBorders>
              <w:left w:val="none" w:sz="0" w:space="0" w:shadow="0" w:frame="0"/>
            </w:tcBorders>
            <w:shd w:val="nil" w:color="auto" w:fill="auto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4009" w:type="dxa"/>
            <w:gridSpan w:val="6"/>
            <w:shd w:val="nil" w:color="auto" w:fill="auto"/>
          </w:tcPr>
          <w:p>
            <w:pPr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2011 </w:t>
            </w:r>
          </w:p>
        </w:tc>
        <w:tc>
          <w:tcPr>
            <w:tcW w:w="4207" w:type="dxa"/>
            <w:gridSpan w:val="6"/>
          </w:tcPr>
          <w:p>
            <w:pPr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>2012</w:t>
            </w:r>
          </w:p>
        </w:tc>
        <w:tc>
          <w:tcPr>
            <w:tcW w:w="707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  <w:p>
            <w:pPr>
              <w:jc w:val="center"/>
              <w:rPr>
                <w:sz w:val="15"/>
              </w:rPr>
            </w:pPr>
          </w:p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 xml:space="preserve"> 2012</w:t>
              <w:br w:type="textWrapping"/>
            </w:r>
          </w:p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2011</w:t>
            </w:r>
          </w:p>
        </w:tc>
      </w:tr>
      <w:tr>
        <w:trPr>
          <w:wAfter w:w="0" w:type="dxa"/>
          <w:trHeight w:hRule="atLeast" w:val="20"/>
        </w:trPr>
        <w:tc>
          <w:tcPr>
            <w:tcW w:w="1338" w:type="dxa"/>
            <w:vMerge w:val="continue"/>
            <w:tcBorders>
              <w:left w:val="none" w:sz="0" w:space="0" w:shadow="0" w:frame="0"/>
            </w:tcBorders>
            <w:shd w:val="nil" w:color="auto" w:fill="auto"/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4009" w:type="dxa"/>
            <w:gridSpan w:val="6"/>
            <w:shd w:val="nil" w:color="auto" w:fill="auto"/>
          </w:tcPr>
          <w:p>
            <w:pPr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>Република Србија</w:t>
            </w:r>
          </w:p>
        </w:tc>
        <w:tc>
          <w:tcPr>
            <w:tcW w:w="4207" w:type="dxa"/>
            <w:gridSpan w:val="6"/>
          </w:tcPr>
          <w:p>
            <w:pPr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>Република Србија</w:t>
            </w:r>
          </w:p>
        </w:tc>
        <w:tc>
          <w:tcPr>
            <w:tcW w:w="707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338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sz w:val="15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укупно</w:t>
            </w:r>
          </w:p>
        </w:tc>
        <w:tc>
          <w:tcPr>
            <w:tcW w:w="659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Град Београд</w:t>
            </w:r>
          </w:p>
        </w:tc>
        <w:tc>
          <w:tcPr>
            <w:tcW w:w="59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Војво-дине</w:t>
            </w:r>
          </w:p>
        </w:tc>
        <w:tc>
          <w:tcPr>
            <w:tcW w:w="74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Косова и Метохије</w:t>
            </w: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укупно</w:t>
            </w:r>
          </w:p>
        </w:tc>
        <w:tc>
          <w:tcPr>
            <w:tcW w:w="659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Град Београд</w:t>
            </w:r>
          </w:p>
        </w:tc>
        <w:tc>
          <w:tcPr>
            <w:tcW w:w="59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Војво-дине</w:t>
            </w:r>
          </w:p>
        </w:tc>
        <w:tc>
          <w:tcPr>
            <w:tcW w:w="74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Јужне и Источне Србије</w:t>
            </w:r>
          </w:p>
        </w:tc>
        <w:tc>
          <w:tcPr>
            <w:tcW w:w="891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sz w:val="15"/>
              </w:rPr>
              <w:t>Регион Косова и Метохије</w:t>
            </w:r>
          </w:p>
        </w:tc>
        <w:tc>
          <w:tcPr>
            <w:tcW w:w="707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5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3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59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7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9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59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7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8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70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3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5"/>
              </w:rPr>
            </w:pPr>
            <w:r>
              <w:rPr>
                <w:sz w:val="15"/>
              </w:rPr>
              <w:t>Mопеди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1987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527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1143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325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57,5</w:t>
            </w:r>
          </w:p>
        </w:tc>
      </w:tr>
      <w:tr>
        <w:trPr>
          <w:wAfter w:w="0" w:type="dxa"/>
          <w:trHeight w:hRule="atLeast" w:val="20"/>
        </w:trPr>
        <w:tc>
          <w:tcPr>
            <w:tcW w:w="13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5"/>
              </w:rPr>
            </w:pPr>
            <w:r>
              <w:rPr>
                <w:sz w:val="15"/>
              </w:rPr>
              <w:t>Мотоцикли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449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376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7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83,7</w:t>
            </w:r>
          </w:p>
        </w:tc>
      </w:tr>
      <w:tr>
        <w:trPr>
          <w:wAfter w:w="0" w:type="dxa"/>
          <w:trHeight w:hRule="atLeast" w:val="20"/>
        </w:trPr>
        <w:tc>
          <w:tcPr>
            <w:tcW w:w="13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5"/>
              </w:rPr>
            </w:pPr>
            <w:r>
              <w:rPr>
                <w:sz w:val="15"/>
              </w:rPr>
              <w:t>Путнички аутомобили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22181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13273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4208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2248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1895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557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11487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7172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2135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1179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922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7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51,8</w:t>
            </w:r>
          </w:p>
        </w:tc>
      </w:tr>
      <w:tr>
        <w:trPr>
          <w:wAfter w:w="0" w:type="dxa"/>
          <w:trHeight w:hRule="atLeast" w:val="20"/>
        </w:trPr>
        <w:tc>
          <w:tcPr>
            <w:tcW w:w="13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5"/>
              </w:rPr>
            </w:pPr>
            <w:r>
              <w:rPr>
                <w:sz w:val="15"/>
              </w:rPr>
              <w:t>Аутобуси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50,9</w:t>
            </w:r>
          </w:p>
        </w:tc>
      </w:tr>
      <w:tr>
        <w:trPr>
          <w:wAfter w:w="0" w:type="dxa"/>
          <w:trHeight w:hRule="atLeast" w:val="20"/>
        </w:trPr>
        <w:tc>
          <w:tcPr>
            <w:tcW w:w="13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5"/>
              </w:rPr>
            </w:pPr>
            <w:r>
              <w:rPr>
                <w:sz w:val="15"/>
              </w:rPr>
              <w:t>Теретна возила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2739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1877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1279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46,7</w:t>
            </w:r>
          </w:p>
        </w:tc>
      </w:tr>
      <w:tr>
        <w:trPr>
          <w:wAfter w:w="0" w:type="dxa"/>
          <w:trHeight w:hRule="atLeast" w:val="20"/>
        </w:trPr>
        <w:tc>
          <w:tcPr>
            <w:tcW w:w="13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5"/>
              </w:rPr>
            </w:pPr>
            <w:r>
              <w:rPr>
                <w:sz w:val="15"/>
              </w:rPr>
              <w:t>Тегљачи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124,3</w:t>
            </w:r>
          </w:p>
        </w:tc>
      </w:tr>
      <w:tr>
        <w:trPr>
          <w:wAfter w:w="0" w:type="dxa"/>
          <w:trHeight w:hRule="atLeast" w:val="20"/>
        </w:trPr>
        <w:tc>
          <w:tcPr>
            <w:tcW w:w="13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5"/>
              </w:rPr>
            </w:pPr>
            <w:r>
              <w:rPr>
                <w:sz w:val="15"/>
              </w:rPr>
              <w:t>Прикључна возила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3245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1094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1169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437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3613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580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953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1507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567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7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111,3</w:t>
            </w:r>
          </w:p>
        </w:tc>
      </w:tr>
      <w:tr>
        <w:trPr>
          <w:wAfter w:w="0" w:type="dxa"/>
          <w:trHeight w:hRule="atLeast" w:val="20"/>
        </w:trPr>
        <w:tc>
          <w:tcPr>
            <w:tcW w:w="13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5"/>
              </w:rPr>
            </w:pPr>
            <w:r>
              <w:rPr>
                <w:sz w:val="15"/>
              </w:rPr>
              <w:t>Радна возила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112,7</w:t>
            </w:r>
          </w:p>
        </w:tc>
      </w:tr>
    </w:tbl>
    <w:p>
      <w:pPr>
        <w:jc w:val="center"/>
        <w:rPr>
          <w:sz w:val="6"/>
        </w:rPr>
      </w:pPr>
    </w:p>
    <w:p>
      <w:pPr>
        <w:jc w:val="both"/>
        <w:rPr>
          <w:sz w:val="10"/>
        </w:rPr>
      </w:pPr>
    </w:p>
    <w:p>
      <w:pPr>
        <w:jc w:val="both"/>
        <w:rPr>
          <w:b w:val="1"/>
          <w:sz w:val="12"/>
          <w:u w:val="single"/>
        </w:rPr>
      </w:pPr>
      <w:r>
        <w:rPr>
          <w:sz w:val="12"/>
        </w:rPr>
        <w:t>Извор: Министарство унутрашњих послова Републике Србије.</w:t>
      </w:r>
    </w:p>
    <w:p>
      <w:pPr>
        <w:jc w:val="both"/>
        <w:rPr>
          <w:sz w:val="12"/>
        </w:rPr>
      </w:pPr>
      <w:r>
        <w:rPr>
          <w:sz w:val="12"/>
          <w:vertAlign w:val="superscript"/>
        </w:rPr>
        <w:t>1)</w:t>
      </w:r>
      <w:r>
        <w:rPr>
          <w:sz w:val="12"/>
        </w:rPr>
        <w:t xml:space="preserve">  Нису обухваћена возила регистрована привременом таблицом, возила МУП, возила војске Републике Србије ни возила страних представништава.</w:t>
      </w:r>
    </w:p>
    <w:p>
      <w:pPr>
        <w:tabs>
          <w:tab w:val="left" w:pos="3969" w:leader="none"/>
        </w:tabs>
        <w:jc w:val="center"/>
        <w:rPr>
          <w:b w:val="1"/>
        </w:rPr>
      </w:pPr>
    </w:p>
    <w:p>
      <w:pPr>
        <w:tabs>
          <w:tab w:val="left" w:pos="3969" w:leader="none"/>
        </w:tabs>
        <w:spacing w:after="40"/>
        <w:jc w:val="center"/>
        <w:rPr>
          <w:b w:val="1"/>
          <w:vertAlign w:val="superscript"/>
        </w:rPr>
      </w:pPr>
      <w:r>
        <w:rPr>
          <w:b w:val="1"/>
        </w:rPr>
        <w:t xml:space="preserve">3. </w:t>
      </w:r>
      <w:r>
        <w:rPr>
          <w:b w:val="1"/>
        </w:rPr>
        <w:t>Број саобраћајних незгода на путевима</w:t>
      </w:r>
      <w:r>
        <w:rPr>
          <w:b w:val="1"/>
        </w:rPr>
        <w:t xml:space="preserve"> </w:t>
      </w:r>
      <w:r>
        <w:rPr>
          <w:b w:val="1"/>
          <w:vertAlign w:val="superscript"/>
        </w:rPr>
        <w:t>1)</w:t>
      </w: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After w:w="11" w:type="dxa"/>
          <w:trHeight w:hRule="atLeast" w:val="20"/>
        </w:trPr>
        <w:tc>
          <w:tcPr>
            <w:tcW w:w="1413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Саобраћајне незгоде </w:t>
            </w:r>
          </w:p>
        </w:tc>
        <w:tc>
          <w:tcPr>
            <w:tcW w:w="2979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>У насељу</w:t>
            </w:r>
          </w:p>
        </w:tc>
        <w:tc>
          <w:tcPr>
            <w:tcW w:w="3063" w:type="dxa"/>
            <w:gridSpan w:val="3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60" w:after="60"/>
              <w:jc w:val="center"/>
              <w:rPr>
                <w:sz w:val="15"/>
              </w:rPr>
            </w:pPr>
            <w:r>
              <w:rPr>
                <w:sz w:val="15"/>
              </w:rPr>
              <w:t>Ван насеља</w:t>
            </w:r>
          </w:p>
        </w:tc>
      </w:tr>
      <w:tr>
        <w:trPr>
          <w:gridAfter w:val="1"/>
          <w:wAfter w:w="11" w:type="dxa"/>
          <w:trHeight w:hRule="atLeast" w:val="20"/>
        </w:trPr>
        <w:tc>
          <w:tcPr>
            <w:tcW w:w="141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15"/>
              </w:rPr>
            </w:pPr>
          </w:p>
        </w:tc>
        <w:tc>
          <w:tcPr>
            <w:tcW w:w="86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укупно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са поги- нулима</w:t>
            </w:r>
          </w:p>
        </w:tc>
        <w:tc>
          <w:tcPr>
            <w:tcW w:w="982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са повре- ђенима</w:t>
            </w:r>
          </w:p>
        </w:tc>
        <w:tc>
          <w:tcPr>
            <w:tcW w:w="928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свега</w:t>
            </w:r>
          </w:p>
        </w:tc>
        <w:tc>
          <w:tcPr>
            <w:tcW w:w="1025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са поги- нулима</w:t>
            </w:r>
          </w:p>
        </w:tc>
        <w:tc>
          <w:tcPr>
            <w:tcW w:w="1026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са повре- ђенима</w:t>
            </w: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свега</w:t>
            </w:r>
          </w:p>
        </w:tc>
        <w:tc>
          <w:tcPr>
            <w:tcW w:w="1023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са поги- нулима</w:t>
            </w:r>
          </w:p>
        </w:tc>
        <w:tc>
          <w:tcPr>
            <w:tcW w:w="1020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са повре- ђенима</w:t>
            </w:r>
          </w:p>
        </w:tc>
      </w:tr>
      <w:tr>
        <w:trPr>
          <w:wAfter w:w="0" w:type="dxa"/>
          <w:trHeight w:hRule="atLeast" w:val="20"/>
        </w:trPr>
        <w:tc>
          <w:tcPr>
            <w:tcW w:w="141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8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98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92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10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102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102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sz w:val="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7"/>
              <w:rPr>
                <w:sz w:val="15"/>
              </w:rPr>
            </w:pPr>
            <w:r>
              <w:rPr>
                <w:sz w:val="15"/>
              </w:rPr>
              <w:t>2011</w:t>
            </w:r>
          </w:p>
        </w:tc>
        <w:tc>
          <w:tcPr>
            <w:tcW w:w="87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14119</w:t>
            </w:r>
          </w:p>
        </w:tc>
        <w:tc>
          <w:tcPr>
            <w:tcW w:w="8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659</w:t>
            </w:r>
          </w:p>
        </w:tc>
        <w:tc>
          <w:tcPr>
            <w:tcW w:w="9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13460</w:t>
            </w:r>
          </w:p>
        </w:tc>
        <w:tc>
          <w:tcPr>
            <w:tcW w:w="92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12381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501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11880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1738</w:t>
            </w:r>
          </w:p>
        </w:tc>
        <w:tc>
          <w:tcPr>
            <w:tcW w:w="10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0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1580</w:t>
            </w:r>
          </w:p>
        </w:tc>
      </w:tr>
      <w:tr>
        <w:trPr>
          <w:wAfter w:w="0" w:type="dxa"/>
          <w:trHeight w:hRule="atLeast" w:val="20"/>
        </w:trPr>
        <w:tc>
          <w:tcPr>
            <w:tcW w:w="14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7"/>
              <w:rPr>
                <w:sz w:val="15"/>
              </w:rPr>
            </w:pPr>
            <w:r>
              <w:rPr>
                <w:sz w:val="15"/>
              </w:rPr>
              <w:t>2012</w:t>
            </w:r>
          </w:p>
        </w:tc>
        <w:tc>
          <w:tcPr>
            <w:tcW w:w="87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13333</w:t>
            </w:r>
          </w:p>
        </w:tc>
        <w:tc>
          <w:tcPr>
            <w:tcW w:w="8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9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12718</w:t>
            </w:r>
          </w:p>
        </w:tc>
        <w:tc>
          <w:tcPr>
            <w:tcW w:w="92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11794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11332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1539</w:t>
            </w:r>
          </w:p>
        </w:tc>
        <w:tc>
          <w:tcPr>
            <w:tcW w:w="10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0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1386</w:t>
            </w:r>
          </w:p>
        </w:tc>
      </w:tr>
      <w:tr>
        <w:trPr>
          <w:wAfter w:w="0" w:type="dxa"/>
          <w:trHeight w:hRule="atLeast" w:val="20"/>
        </w:trPr>
        <w:tc>
          <w:tcPr>
            <w:tcW w:w="14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-57"/>
              <w:rPr>
                <w:sz w:val="15"/>
                <w:u w:val="single"/>
              </w:rPr>
            </w:pPr>
            <w:r>
              <w:rPr>
                <w:sz w:val="15"/>
                <w:u w:val="single"/>
              </w:rPr>
              <w:t>2012</w:t>
            </w:r>
          </w:p>
          <w:p>
            <w:pPr>
              <w:ind w:right="-57"/>
              <w:rPr>
                <w:sz w:val="15"/>
              </w:rPr>
            </w:pPr>
            <w:r>
              <w:rPr>
                <w:sz w:val="15"/>
              </w:rPr>
              <w:t>2011</w:t>
            </w:r>
          </w:p>
        </w:tc>
        <w:tc>
          <w:tcPr>
            <w:tcW w:w="87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94,4</w:t>
            </w:r>
          </w:p>
        </w:tc>
        <w:tc>
          <w:tcPr>
            <w:tcW w:w="8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93,3</w:t>
            </w:r>
          </w:p>
        </w:tc>
        <w:tc>
          <w:tcPr>
            <w:tcW w:w="9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94,5</w:t>
            </w:r>
          </w:p>
        </w:tc>
        <w:tc>
          <w:tcPr>
            <w:tcW w:w="92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95,3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92,2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95,4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88,6</w:t>
            </w:r>
          </w:p>
        </w:tc>
        <w:tc>
          <w:tcPr>
            <w:tcW w:w="10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96,8</w:t>
            </w:r>
          </w:p>
        </w:tc>
        <w:tc>
          <w:tcPr>
            <w:tcW w:w="10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87,7</w:t>
            </w:r>
          </w:p>
        </w:tc>
      </w:tr>
    </w:tbl>
    <w:p>
      <w:pPr>
        <w:rPr>
          <w:sz w:val="6"/>
        </w:rPr>
      </w:pPr>
    </w:p>
    <w:p>
      <w:pPr>
        <w:jc w:val="both"/>
        <w:rPr>
          <w:sz w:val="10"/>
        </w:rPr>
      </w:pPr>
    </w:p>
    <w:p>
      <w:pPr>
        <w:rPr>
          <w:b w:val="1"/>
          <w:sz w:val="12"/>
          <w:u w:val="single"/>
        </w:rPr>
      </w:pPr>
      <w:r>
        <w:rPr>
          <w:sz w:val="12"/>
        </w:rPr>
        <w:t>Извор: Министарство унутрашњих послова Републике Србије.</w:t>
      </w:r>
    </w:p>
    <w:p>
      <w:pPr>
        <w:rPr>
          <w:sz w:val="12"/>
        </w:rPr>
      </w:pPr>
      <w:r>
        <w:rPr>
          <w:sz w:val="12"/>
          <w:vertAlign w:val="superscript"/>
        </w:rPr>
        <w:t>1)</w:t>
      </w:r>
      <w:r>
        <w:rPr>
          <w:sz w:val="12"/>
        </w:rPr>
        <w:t xml:space="preserve">  Без података за Косово и Метохију.</w:t>
      </w:r>
    </w:p>
    <w:p>
      <w:pPr>
        <w:tabs>
          <w:tab w:val="left" w:pos="3969" w:leader="none"/>
        </w:tabs>
        <w:jc w:val="center"/>
        <w:rPr>
          <w:b w:val="1"/>
        </w:rPr>
      </w:pPr>
    </w:p>
    <w:p>
      <w:pPr>
        <w:tabs>
          <w:tab w:val="left" w:pos="3969" w:leader="none"/>
        </w:tabs>
        <w:spacing w:after="40"/>
        <w:jc w:val="center"/>
        <w:rPr>
          <w:b w:val="1"/>
        </w:rPr>
      </w:pPr>
      <w:r>
        <w:rPr>
          <w:b w:val="1"/>
        </w:rPr>
        <w:t xml:space="preserve">4. </w:t>
      </w:r>
      <w:r>
        <w:rPr>
          <w:b w:val="1"/>
        </w:rPr>
        <w:t>Број настрадалих лица</w:t>
      </w:r>
      <w:r>
        <w:rPr>
          <w:b w:val="1"/>
        </w:rPr>
        <w:t xml:space="preserve"> </w:t>
      </w:r>
      <w:r>
        <w:rPr>
          <w:b w:val="1"/>
          <w:vertAlign w:val="superscript"/>
        </w:rPr>
        <w:t>1)</w:t>
      </w:r>
      <w:r>
        <w:rPr>
          <w:b w:val="1"/>
          <w:vertAlign w:val="superscript"/>
        </w:rPr>
        <w:t xml:space="preserve"> </w:t>
      </w: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After w:w="11" w:type="dxa"/>
        </w:trPr>
        <w:tc>
          <w:tcPr>
            <w:tcW w:w="1413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sz w:val="15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Настрадала лица </w:t>
            </w:r>
          </w:p>
        </w:tc>
        <w:tc>
          <w:tcPr>
            <w:tcW w:w="2979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У насељу</w:t>
            </w:r>
          </w:p>
        </w:tc>
        <w:tc>
          <w:tcPr>
            <w:tcW w:w="3063" w:type="dxa"/>
            <w:gridSpan w:val="3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Ван насеља</w:t>
            </w:r>
          </w:p>
        </w:tc>
      </w:tr>
      <w:tr>
        <w:trPr>
          <w:gridAfter w:val="1"/>
          <w:wAfter w:w="11" w:type="dxa"/>
        </w:trPr>
        <w:tc>
          <w:tcPr>
            <w:tcW w:w="141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sz w:val="15"/>
              </w:rPr>
            </w:pPr>
          </w:p>
        </w:tc>
        <w:tc>
          <w:tcPr>
            <w:tcW w:w="86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укупно</w:t>
            </w:r>
          </w:p>
        </w:tc>
        <w:tc>
          <w:tcPr>
            <w:tcW w:w="8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погинули</w:t>
            </w:r>
          </w:p>
        </w:tc>
        <w:tc>
          <w:tcPr>
            <w:tcW w:w="982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повређени</w:t>
            </w:r>
          </w:p>
        </w:tc>
        <w:tc>
          <w:tcPr>
            <w:tcW w:w="928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свега</w:t>
            </w:r>
          </w:p>
        </w:tc>
        <w:tc>
          <w:tcPr>
            <w:tcW w:w="1025" w:type="dxa"/>
            <w:tcBorders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погинули</w:t>
            </w:r>
          </w:p>
        </w:tc>
        <w:tc>
          <w:tcPr>
            <w:tcW w:w="1026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повређени</w:t>
            </w: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свега</w:t>
            </w:r>
          </w:p>
        </w:tc>
        <w:tc>
          <w:tcPr>
            <w:tcW w:w="1023" w:type="dxa"/>
            <w:tcBorders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погинули</w:t>
            </w:r>
          </w:p>
        </w:tc>
        <w:tc>
          <w:tcPr>
            <w:tcW w:w="1020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sz w:val="15"/>
              </w:rPr>
            </w:pPr>
            <w:r>
              <w:rPr>
                <w:sz w:val="15"/>
              </w:rPr>
              <w:t>повређени</w:t>
            </w:r>
          </w:p>
        </w:tc>
      </w:tr>
      <w:tr>
        <w:trPr>
          <w:wAfter w:w="0" w:type="dxa"/>
          <w:trHeight w:hRule="atLeast" w:val="20"/>
        </w:trPr>
        <w:tc>
          <w:tcPr>
            <w:tcW w:w="141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7"/>
              <w:rPr>
                <w:sz w:val="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8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98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92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0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02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02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7"/>
              <w:rPr>
                <w:sz w:val="15"/>
              </w:rPr>
            </w:pPr>
            <w:r>
              <w:rPr>
                <w:sz w:val="15"/>
              </w:rPr>
              <w:t>2011</w:t>
            </w:r>
          </w:p>
        </w:tc>
        <w:tc>
          <w:tcPr>
            <w:tcW w:w="87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20040</w:t>
            </w:r>
          </w:p>
        </w:tc>
        <w:tc>
          <w:tcPr>
            <w:tcW w:w="8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728</w:t>
            </w:r>
          </w:p>
        </w:tc>
        <w:tc>
          <w:tcPr>
            <w:tcW w:w="9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19312</w:t>
            </w:r>
          </w:p>
        </w:tc>
        <w:tc>
          <w:tcPr>
            <w:tcW w:w="92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17092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538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16554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2948</w:t>
            </w:r>
          </w:p>
        </w:tc>
        <w:tc>
          <w:tcPr>
            <w:tcW w:w="10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10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2758</w:t>
            </w:r>
          </w:p>
        </w:tc>
      </w:tr>
      <w:tr>
        <w:trPr>
          <w:wAfter w:w="0" w:type="dxa"/>
          <w:trHeight w:hRule="atLeast" w:val="20"/>
        </w:trPr>
        <w:tc>
          <w:tcPr>
            <w:tcW w:w="14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57"/>
              <w:rPr>
                <w:sz w:val="15"/>
              </w:rPr>
            </w:pPr>
            <w:r>
              <w:rPr>
                <w:sz w:val="15"/>
              </w:rPr>
              <w:t>2012</w:t>
            </w:r>
          </w:p>
        </w:tc>
        <w:tc>
          <w:tcPr>
            <w:tcW w:w="87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19090</w:t>
            </w:r>
          </w:p>
        </w:tc>
        <w:tc>
          <w:tcPr>
            <w:tcW w:w="8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684</w:t>
            </w:r>
          </w:p>
        </w:tc>
        <w:tc>
          <w:tcPr>
            <w:tcW w:w="9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18406</w:t>
            </w:r>
          </w:p>
        </w:tc>
        <w:tc>
          <w:tcPr>
            <w:tcW w:w="92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16459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15946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2631</w:t>
            </w:r>
          </w:p>
        </w:tc>
        <w:tc>
          <w:tcPr>
            <w:tcW w:w="10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10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2460</w:t>
            </w:r>
          </w:p>
        </w:tc>
      </w:tr>
      <w:tr>
        <w:trPr>
          <w:wAfter w:w="0" w:type="dxa"/>
          <w:trHeight w:hRule="atLeast" w:val="20"/>
        </w:trPr>
        <w:tc>
          <w:tcPr>
            <w:tcW w:w="14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-57"/>
              <w:rPr>
                <w:sz w:val="15"/>
                <w:u w:val="single"/>
              </w:rPr>
            </w:pPr>
            <w:r>
              <w:rPr>
                <w:sz w:val="15"/>
                <w:u w:val="single"/>
              </w:rPr>
              <w:t>2012</w:t>
            </w:r>
          </w:p>
          <w:p>
            <w:pPr>
              <w:ind w:right="-57"/>
              <w:rPr>
                <w:sz w:val="15"/>
              </w:rPr>
            </w:pPr>
            <w:r>
              <w:rPr>
                <w:sz w:val="15"/>
              </w:rPr>
              <w:t>2011</w:t>
            </w:r>
          </w:p>
        </w:tc>
        <w:tc>
          <w:tcPr>
            <w:tcW w:w="872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95,3</w:t>
            </w:r>
          </w:p>
        </w:tc>
        <w:tc>
          <w:tcPr>
            <w:tcW w:w="8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94,0</w:t>
            </w:r>
          </w:p>
        </w:tc>
        <w:tc>
          <w:tcPr>
            <w:tcW w:w="9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95,3</w:t>
            </w:r>
          </w:p>
        </w:tc>
        <w:tc>
          <w:tcPr>
            <w:tcW w:w="92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96,3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95,4</w:t>
            </w:r>
          </w:p>
        </w:tc>
        <w:tc>
          <w:tcPr>
            <w:tcW w:w="10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96,3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89,2</w:t>
            </w:r>
          </w:p>
        </w:tc>
        <w:tc>
          <w:tcPr>
            <w:tcW w:w="10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90,0</w:t>
            </w:r>
          </w:p>
        </w:tc>
        <w:tc>
          <w:tcPr>
            <w:tcW w:w="10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89,2</w:t>
            </w:r>
          </w:p>
        </w:tc>
      </w:tr>
    </w:tbl>
    <w:p>
      <w:pPr>
        <w:rPr>
          <w:sz w:val="6"/>
        </w:rPr>
      </w:pPr>
    </w:p>
    <w:p>
      <w:pPr>
        <w:jc w:val="both"/>
        <w:rPr>
          <w:sz w:val="10"/>
        </w:rPr>
      </w:pPr>
    </w:p>
    <w:p>
      <w:pPr>
        <w:rPr>
          <w:b w:val="1"/>
          <w:sz w:val="12"/>
          <w:u w:val="single"/>
        </w:rPr>
      </w:pPr>
      <w:r>
        <w:rPr>
          <w:sz w:val="12"/>
        </w:rPr>
        <w:t>Извор: Министарство унутрашњих послова Републике Србије.</w:t>
      </w:r>
    </w:p>
    <w:p>
      <w:pPr>
        <w:rPr>
          <w:sz w:val="12"/>
        </w:rPr>
      </w:pPr>
      <w:r>
        <w:rPr>
          <w:sz w:val="12"/>
          <w:vertAlign w:val="superscript"/>
        </w:rPr>
        <w:t>1)</w:t>
      </w:r>
      <w:r>
        <w:rPr>
          <w:sz w:val="12"/>
        </w:rPr>
        <w:t xml:space="preserve">  Без података за Косово и Метохију.</w:t>
      </w:r>
    </w:p>
    <w:p/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rap="around" w:vAnchor="page" w:hAnchor="margin" w:x="-4" w:y="14176"/>
              <w:spacing w:before="120"/>
              <w:jc w:val="center"/>
              <w:rPr>
                <w:i w:val="0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годишња</w:t>
            </w: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5210" w:type="dxa"/>
          <w:tcBorders>
            <w:bottom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</w:t>
          </w:r>
          <w:r>
            <w:rPr>
              <w:i w:val="1"/>
              <w:sz w:val="16"/>
            </w:rPr>
            <w:t>???</w:t>
          </w:r>
          <w:r>
            <w:rPr>
              <w:i w:val="1"/>
              <w:sz w:val="16"/>
            </w:rPr>
            <w:t xml:space="preserve"> </w:t>
          </w:r>
          <w:r>
            <w:rPr>
              <w:i w:val="1"/>
              <w:sz w:val="16"/>
            </w:rPr>
            <w:t>СВ21</w:t>
          </w:r>
          <w:r>
            <w:rPr>
              <w:i w:val="1"/>
              <w:sz w:val="16"/>
            </w:rPr>
            <w:t xml:space="preserve"> </w:t>
          </w:r>
          <w:r>
            <w:rPr>
              <w:i w:val="1"/>
              <w:sz w:val="16"/>
            </w:rPr>
            <w:t>0803</w:t>
          </w:r>
          <w:r>
            <w:rPr>
              <w:i w:val="1"/>
              <w:sz w:val="16"/>
            </w:rPr>
            <w:t>1</w:t>
          </w:r>
          <w:r>
            <w:rPr>
              <w:i w:val="1"/>
              <w:sz w:val="16"/>
            </w:rPr>
            <w:t>3</w:t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053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СВ21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0803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7E71949B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5B13E0FC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6C1D646A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58C5D342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52293EB9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7824CBA8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25CD872F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02DA764A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64D1EBE9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5549A80C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60207702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3C07D1C7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4BB6D107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1C9FB879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598CC8E5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C93E2D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E9C0AC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3E6AD8C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01D5F3F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00054A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CEF8BD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615323B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7D98C88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BFC473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77662409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4E52BB9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EA5235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147D935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23702B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AC5BD38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34350F6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Title"/>
    <w:basedOn w:val="P0"/>
    <w:next w:val="P8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9">
    <w:name w:val="Caption"/>
    <w:basedOn w:val="P0"/>
    <w:next w:val="P0"/>
    <w:pPr/>
    <w:rPr>
      <w:b w:val="1"/>
      <w:sz w:val="20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pPr>
      <w:spacing w:after="60"/>
      <w:jc w:val="center"/>
      <w:outlineLvl w:val="1"/>
    </w:pPr>
    <w:rPr>
      <w:rFonts w:ascii="Arial" w:hAnsi="Arial"/>
    </w:rPr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pPr>
      <w:spacing w:after="120"/>
    </w:pPr>
    <w:rPr/>
  </w:style>
  <w:style w:type="paragraph" w:styleId="P14">
    <w:name w:val="List Number"/>
    <w:basedOn w:val="P0"/>
    <w:next w:val="P14"/>
    <w:pPr>
      <w:numPr>
        <w:numId w:val="13"/>
      </w:numPr>
    </w:pPr>
    <w:rPr/>
  </w:style>
  <w:style w:type="paragraph" w:styleId="P15">
    <w:name w:val="Body Text Indent"/>
    <w:basedOn w:val="P0"/>
    <w:next w:val="P15"/>
    <w:pPr>
      <w:spacing w:after="120"/>
      <w:ind w:left="283"/>
    </w:pPr>
    <w:rPr/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3"/>
    <w:basedOn w:val="P0"/>
    <w:next w:val="P18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Body Text 2"/>
    <w:basedOn w:val="P0"/>
    <w:next w:val="P20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rFonts w:ascii="Arial" w:hAnsi="Arial"/>
      <w:sz w:val="16"/>
    </w:rPr>
  </w:style>
  <w:style w:type="paragraph" w:styleId="P24">
    <w:name w:val="Tabela-Pretkolona"/>
    <w:basedOn w:val="P0"/>
    <w:next w:val="P24"/>
    <w:pPr/>
    <w:rPr>
      <w:rFonts w:ascii="Arial" w:hAnsi="Arial"/>
      <w:sz w:val="16"/>
    </w:rPr>
  </w:style>
  <w:style w:type="paragraph" w:styleId="P25">
    <w:name w:val="Tabela-PretkolonaI"/>
    <w:basedOn w:val="P0"/>
    <w:next w:val="P25"/>
    <w:pPr/>
    <w:rPr>
      <w:rFonts w:ascii="Arial" w:hAnsi="Arial"/>
      <w:i w:val="1"/>
      <w:sz w:val="16"/>
    </w:rPr>
  </w:style>
  <w:style w:type="paragraph" w:styleId="P26">
    <w:name w:val="Tabela-PretkolonaB"/>
    <w:basedOn w:val="P0"/>
    <w:next w:val="P26"/>
    <w:pPr/>
    <w:rPr>
      <w:rFonts w:ascii="Arial" w:hAnsi="Arial"/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rFonts w:ascii="Arial" w:hAnsi="Arial"/>
      <w:sz w:val="16"/>
    </w:rPr>
  </w:style>
  <w:style w:type="paragraph" w:styleId="P28">
    <w:name w:val="Footnote Text"/>
    <w:basedOn w:val="P0"/>
    <w:next w:val="P28"/>
    <w:pPr/>
    <w:rPr>
      <w:sz w:val="20"/>
    </w:rPr>
  </w:style>
  <w:style w:type="paragraph" w:styleId="P29">
    <w:name w:val="Tabela-BrojeviI"/>
    <w:basedOn w:val="P0"/>
    <w:next w:val="P29"/>
    <w:pPr>
      <w:jc w:val="right"/>
    </w:pPr>
    <w:rPr>
      <w:rFonts w:ascii="Arial" w:hAnsi="Arial"/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rFonts w:ascii="Arial" w:hAnsi="Arial"/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pPr>
      <w:tabs>
        <w:tab w:val="center" w:pos="4703" w:leader="none"/>
        <w:tab w:val="right" w:pos="9406" w:leader="none"/>
      </w:tabs>
    </w:pPr>
    <w:rPr/>
  </w:style>
  <w:style w:type="paragraph" w:styleId="P35">
    <w:name w:val="Foot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Car Car"/>
    <w:basedOn w:val="P0"/>
    <w:next w:val="P36"/>
    <w:link w:val="C0"/>
    <w:pPr>
      <w:spacing w:lineRule="exact" w:line="240" w:after="160"/>
    </w:pPr>
    <w:rPr>
      <w:rFonts w:ascii="Verdana" w:hAnsi="Verdana"/>
      <w:i w:val="1"/>
    </w:rPr>
  </w:style>
  <w:style w:type="paragraph" w:styleId="P37">
    <w:name w:val="Naslov saopstenja"/>
    <w:basedOn w:val="P8"/>
    <w:next w:val="P9"/>
    <w:pPr>
      <w:spacing w:after="0"/>
    </w:pPr>
    <w:rPr>
      <w:sz w:val="24"/>
    </w:rPr>
  </w:style>
  <w:style w:type="paragraph" w:styleId="P38">
    <w:name w:val="Body Text First Indent"/>
    <w:basedOn w:val="P13"/>
    <w:next w:val="P38"/>
    <w:pPr>
      <w:ind w:firstLine="210"/>
    </w:pPr>
    <w:rPr/>
  </w:style>
  <w:style w:type="paragraph" w:styleId="P39">
    <w:name w:val="Body Text First Indent 2"/>
    <w:basedOn w:val="P15"/>
    <w:next w:val="P39"/>
    <w:pPr>
      <w:ind w:firstLine="210"/>
    </w:pPr>
    <w:rPr/>
  </w:style>
  <w:style w:type="paragraph" w:styleId="P40">
    <w:name w:val="Tekst Metodologija i Napomena"/>
    <w:basedOn w:val="P38"/>
    <w:next w:val="P13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link w:val="P36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2013-03-07T08:54:00Z</dcterms:created>
  <cp:lastModifiedBy>Nikola Kapetanovic</cp:lastModifiedBy>
  <cp:lastPrinted>2013-03-06T11:44:00Z</cp:lastPrinted>
  <dcterms:modified xsi:type="dcterms:W3CDTF">2020-01-10T11:17:13Z</dcterms:modified>
  <cp:revision>4</cp:revision>
  <dc:title>                  </dc:title>
</cp:coreProperties>
</file>