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B46418B" Type="http://schemas.openxmlformats.org/officeDocument/2006/relationships/officeDocument" Target="/word/document.xml" /><Relationship Id="coreR1B46418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113"/>
        </w:trPr>
        <w:tc>
          <w:tcPr>
            <w:tcW w:w="1743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Република Србија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color w:val="808080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1743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523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6"/>
              <w:jc w:val="right"/>
              <w:rPr>
                <w:b w:val="1"/>
                <w:color w:val="808080"/>
              </w:rPr>
            </w:pPr>
            <w:r>
              <w:rPr>
                <w:b w:val="0"/>
                <w:color w:val="808080"/>
              </w:rPr>
              <w:t>ISSN 0353-9555</w:t>
            </w:r>
          </w:p>
        </w:tc>
      </w:tr>
      <w:tr>
        <w:trPr>
          <w:wAfter w:w="0" w:type="dxa"/>
          <w:trHeight w:hRule="atLeast" w:val="85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color w:val="808080"/>
                <w:sz w:val="2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П</w:t>
            </w:r>
            <w:r>
              <w:rPr>
                <w:rFonts w:ascii="Arial" w:hAnsi="Arial"/>
                <w:b w:val="1"/>
                <w:color w:val="808080"/>
                <w:sz w:val="48"/>
              </w:rPr>
              <w:t>М</w:t>
            </w:r>
            <w:r>
              <w:rPr>
                <w:rFonts w:ascii="Arial" w:hAnsi="Arial"/>
                <w:b w:val="1"/>
                <w:color w:val="808080"/>
                <w:sz w:val="48"/>
              </w:rPr>
              <w:t>1</w:t>
            </w:r>
            <w:r>
              <w:rPr>
                <w:rFonts w:ascii="Arial" w:hAnsi="Arial"/>
                <w:b w:val="1"/>
                <w:color w:val="808080"/>
                <w:sz w:val="48"/>
              </w:rPr>
              <w:t>0</w:t>
            </w:r>
          </w:p>
        </w:tc>
      </w:tr>
      <w:tr>
        <w:trPr>
          <w:wAfter w:w="0" w:type="dxa"/>
          <w:trHeight w:hRule="exact" w:val="28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>број 047 - год. LXIII, 28.02.2013.</w:t>
            </w:r>
          </w:p>
        </w:tc>
        <w:tc>
          <w:tcPr>
            <w:tcW w:w="2880" w:type="dxa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промета</w:t>
            </w:r>
          </w:p>
        </w:tc>
        <w:tc>
          <w:tcPr>
            <w:tcW w:w="28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7"/>
              <w:jc w:val="right"/>
              <w:rPr>
                <w:b w:val="1"/>
                <w:color w:val="808080"/>
              </w:rPr>
            </w:pPr>
            <w:r>
              <w:rPr>
                <w:b w:val="0"/>
                <w:color w:val="808080"/>
                <w:sz w:val="20"/>
              </w:rPr>
              <w:t>СРБ</w:t>
            </w:r>
            <w:r>
              <w:rPr>
                <w:b w:val="0"/>
                <w:color w:val="808080"/>
                <w:sz w:val="20"/>
              </w:rPr>
              <w:t>047</w:t>
            </w:r>
            <w:r>
              <w:rPr>
                <w:b w:val="0"/>
                <w:color w:val="FF0000"/>
                <w:sz w:val="20"/>
              </w:rPr>
              <w:t xml:space="preserve"> </w:t>
            </w:r>
            <w:r>
              <w:rPr>
                <w:b w:val="0"/>
                <w:color w:val="808080"/>
                <w:sz w:val="20"/>
              </w:rPr>
              <w:t>ПМ1</w:t>
            </w:r>
            <w:r>
              <w:rPr>
                <w:b w:val="0"/>
                <w:color w:val="808080"/>
                <w:sz w:val="20"/>
              </w:rPr>
              <w:t>0</w:t>
            </w:r>
            <w:r>
              <w:rPr>
                <w:b w:val="0"/>
                <w:color w:val="808080"/>
                <w:sz w:val="20"/>
              </w:rPr>
              <w:t xml:space="preserve"> </w:t>
            </w:r>
            <w:r>
              <w:rPr>
                <w:b w:val="0"/>
                <w:color w:val="808080"/>
                <w:sz w:val="20"/>
              </w:rPr>
              <w:t>28</w:t>
            </w:r>
            <w:r>
              <w:rPr>
                <w:b w:val="0"/>
                <w:color w:val="808080"/>
                <w:sz w:val="20"/>
              </w:rPr>
              <w:t>0</w:t>
            </w:r>
            <w:r>
              <w:rPr>
                <w:b w:val="0"/>
                <w:color w:val="808080"/>
                <w:sz w:val="20"/>
              </w:rPr>
              <w:t>2</w:t>
            </w:r>
            <w:r>
              <w:rPr>
                <w:b w:val="0"/>
                <w:color w:val="808080"/>
                <w:sz w:val="20"/>
              </w:rPr>
              <w:t>1</w:t>
            </w:r>
            <w:r>
              <w:rPr>
                <w:b w:val="0"/>
                <w:color w:val="808080"/>
                <w:sz w:val="20"/>
              </w:rPr>
              <w:t>3</w:t>
            </w:r>
          </w:p>
        </w:tc>
      </w:tr>
      <w:tr>
        <w:trPr>
          <w:wAfter w:w="0" w:type="dxa"/>
          <w:trHeight w:hRule="exact" w:val="113"/>
        </w:trPr>
        <w:tc>
          <w:tcPr>
            <w:tcW w:w="6974" w:type="dxa"/>
            <w:gridSpan w:val="2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color w:val="808080"/>
              </w:rPr>
            </w:pPr>
          </w:p>
        </w:tc>
      </w:tr>
    </w:tbl>
    <w:p/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Промет робе у трговини на мало у Републици Србији, </w:t>
      </w:r>
      <w:r>
        <w:rPr>
          <w:rFonts w:ascii="Arial" w:hAnsi="Arial"/>
          <w:b w:val="1"/>
        </w:rPr>
        <w:t>јануар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  <w:b w:val="1"/>
        </w:rPr>
        <w:t>201</w:t>
      </w:r>
      <w:r>
        <w:rPr>
          <w:rFonts w:ascii="Arial" w:hAnsi="Arial"/>
          <w:b w:val="1"/>
        </w:rPr>
        <w:t>3</w:t>
      </w:r>
      <w:r>
        <w:rPr>
          <w:rFonts w:ascii="Arial" w:hAnsi="Arial"/>
          <w:b w:val="1"/>
        </w:rPr>
        <w:t>.</w:t>
      </w:r>
    </w:p>
    <w:p>
      <w:pPr>
        <w:jc w:val="center"/>
        <w:rPr>
          <w:rFonts w:ascii="Arial" w:hAnsi="Arial"/>
          <w:b w:val="1"/>
          <w:sz w:val="26"/>
        </w:rPr>
      </w:pPr>
    </w:p>
    <w:p>
      <w:pPr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–</w:t>
      </w:r>
      <w:r>
        <w:rPr>
          <w:rFonts w:ascii="Arial" w:hAnsi="Arial"/>
          <w:b w:val="1"/>
          <w:sz w:val="22"/>
        </w:rPr>
        <w:t xml:space="preserve"> Претходни </w:t>
      </w:r>
      <w:r>
        <w:rPr>
          <w:rFonts w:ascii="Arial" w:hAnsi="Arial"/>
          <w:b w:val="1"/>
          <w:sz w:val="22"/>
        </w:rPr>
        <w:t>резултати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  <w:sz w:val="22"/>
        </w:rPr>
        <w:t>–</w:t>
      </w:r>
    </w:p>
    <w:p>
      <w:pPr>
        <w:pStyle w:val="P13"/>
        <w:ind w:firstLine="0" w:left="0"/>
        <w:jc w:val="center"/>
        <w:rPr>
          <w:b w:val="1"/>
          <w:sz w:val="24"/>
        </w:rPr>
      </w:pPr>
    </w:p>
    <w:p>
      <w:pPr>
        <w:pStyle w:val="P14"/>
        <w:rPr>
          <w:sz w:val="20"/>
        </w:rPr>
      </w:pPr>
    </w:p>
    <w:p>
      <w:pPr>
        <w:pStyle w:val="P14"/>
        <w:spacing w:before="120" w:after="120"/>
        <w:ind w:firstLine="397"/>
        <w:rPr>
          <w:sz w:val="20"/>
        </w:rPr>
      </w:pPr>
      <w:r>
        <w:rPr>
          <w:sz w:val="20"/>
        </w:rPr>
        <w:t>Према претходним резултатима, промет робе у трговини на мало у Републици Србији у јануару 2013, у односу на јануар 2012. године, већи је у текућим ценама за 1,9%, а у сталним ценама је мањи за 9,3%. У јануару 2013. године, у односу на децембар 2012. године, промет робе је мањи у текућим ценама за 26,1%, а у сталним ценама за 26,2%. Промет робе у трговини на мало у јануару 2013. године, у односу на просек 2012. године, мањи је у текућим ценама за 16,3%, а у сталним ценама за 20,4%.</w:t>
      </w:r>
    </w:p>
    <w:p>
      <w:pPr>
        <w:rPr>
          <w:rFonts w:ascii="Arial" w:hAnsi="Arial"/>
          <w:b w:val="1"/>
          <w:sz w:val="20"/>
        </w:rPr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</w:pPr>
    </w:p>
    <w:p>
      <w:pPr>
        <w:pStyle w:val="P12"/>
        <w:ind w:firstLine="0" w:left="0"/>
        <w:jc w:val="center"/>
      </w:pPr>
      <w:r>
        <w:fldChar w:fldCharType="begin"/>
      </w:r>
      <w:r>
        <w:instrText xml:space="preserve"> EMBED Excel.Chart.8 \s </w:instrText>
      </w:r>
      <w:bookmarkStart w:id="0" w:name="_1358244825"/>
      <w:bookmarkEnd w:id="0"/>
      <w:bookmarkStart w:id="1" w:name="_1358335637"/>
      <w:bookmarkEnd w:id="1"/>
      <w:bookmarkStart w:id="2" w:name="_1358335763"/>
      <w:bookmarkEnd w:id="2"/>
      <w:bookmarkStart w:id="3" w:name="_1359889006"/>
      <w:bookmarkEnd w:id="3"/>
      <w:bookmarkStart w:id="4" w:name="_1359889122"/>
      <w:bookmarkEnd w:id="4"/>
      <w:bookmarkStart w:id="5" w:name="_1360145651"/>
      <w:bookmarkEnd w:id="5"/>
      <w:bookmarkStart w:id="6" w:name="_1360389457"/>
      <w:bookmarkEnd w:id="6"/>
      <w:bookmarkStart w:id="7" w:name="_1360390217"/>
      <w:bookmarkEnd w:id="7"/>
      <w:bookmarkStart w:id="8" w:name="_1360391028"/>
      <w:bookmarkEnd w:id="8"/>
      <w:bookmarkStart w:id="9" w:name="_1362995165"/>
      <w:bookmarkEnd w:id="9"/>
      <w:bookmarkStart w:id="10" w:name="_1362995259"/>
      <w:bookmarkEnd w:id="10"/>
      <w:bookmarkStart w:id="11" w:name="_1362995454"/>
      <w:bookmarkEnd w:id="11"/>
      <w:bookmarkStart w:id="12" w:name="_1362997939"/>
      <w:bookmarkEnd w:id="12"/>
      <w:bookmarkStart w:id="13" w:name="_1392536446"/>
      <w:bookmarkEnd w:id="13"/>
      <w:bookmarkStart w:id="14" w:name="_1394517863"/>
      <w:bookmarkEnd w:id="14"/>
      <w:bookmarkStart w:id="15" w:name="_1394518559"/>
      <w:bookmarkEnd w:id="15"/>
      <w:bookmarkStart w:id="16" w:name="_1396958620"/>
      <w:bookmarkEnd w:id="16"/>
      <w:bookmarkStart w:id="17" w:name="_1398085742"/>
      <w:bookmarkEnd w:id="17"/>
      <w:bookmarkStart w:id="18" w:name="_1404891443"/>
      <w:bookmarkEnd w:id="18"/>
      <w:bookmarkStart w:id="19" w:name="_1410253792"/>
      <w:bookmarkEnd w:id="19"/>
      <w:bookmarkStart w:id="20" w:name="_1410259703"/>
      <w:bookmarkEnd w:id="20"/>
      <w:bookmarkStart w:id="21" w:name="_1412683555"/>
      <w:bookmarkEnd w:id="21"/>
      <w:bookmarkStart w:id="22" w:name="_1415607922"/>
      <w:bookmarkEnd w:id="22"/>
      <w:bookmarkStart w:id="23" w:name="_1415609061"/>
      <w:bookmarkEnd w:id="23"/>
      <w:bookmarkStart w:id="24" w:name="_1418118500"/>
      <w:bookmarkEnd w:id="24"/>
      <w:bookmarkStart w:id="25" w:name="_1419945481"/>
      <w:bookmarkEnd w:id="25"/>
      <w:bookmarkStart w:id="26" w:name="_1423468074"/>
      <w:bookmarkEnd w:id="26"/>
      <w:bookmarkStart w:id="27" w:name="_1423475449"/>
      <w:bookmarkEnd w:id="27"/>
      <w:bookmarkStart w:id="28" w:name="_1423029574"/>
      <w:bookmarkEnd w:id="28"/>
      <w:bookmarkStart w:id="29" w:name="_1419945179"/>
      <w:bookmarkEnd w:id="29"/>
      <w:bookmarkStart w:id="30" w:name="_1418114923"/>
      <w:bookmarkEnd w:id="30"/>
      <w:bookmarkStart w:id="31" w:name="_1415608895"/>
      <w:bookmarkEnd w:id="31"/>
      <w:bookmarkStart w:id="32" w:name="_1412683599"/>
      <w:bookmarkEnd w:id="32"/>
      <w:bookmarkStart w:id="33" w:name="_1412683531"/>
      <w:bookmarkEnd w:id="33"/>
      <w:bookmarkStart w:id="34" w:name="_1410253915"/>
      <w:bookmarkEnd w:id="34"/>
      <w:bookmarkStart w:id="35" w:name="_1407583711"/>
      <w:bookmarkEnd w:id="35"/>
      <w:bookmarkStart w:id="36" w:name="_1401175561"/>
      <w:bookmarkEnd w:id="36"/>
      <w:bookmarkStart w:id="37" w:name="_1396959334"/>
      <w:bookmarkEnd w:id="37"/>
      <w:bookmarkStart w:id="38" w:name="_1396420409"/>
      <w:bookmarkEnd w:id="38"/>
      <w:bookmarkStart w:id="39" w:name="_1394517881"/>
      <w:bookmarkEnd w:id="39"/>
      <w:bookmarkStart w:id="40" w:name="_1394516914"/>
      <w:bookmarkEnd w:id="40"/>
      <w:bookmarkStart w:id="41" w:name="_1392536296"/>
      <w:bookmarkEnd w:id="41"/>
      <w:bookmarkStart w:id="42" w:name="_1362995495"/>
      <w:bookmarkEnd w:id="42"/>
      <w:bookmarkStart w:id="43" w:name="_1362995345"/>
      <w:bookmarkEnd w:id="43"/>
      <w:bookmarkStart w:id="44" w:name="_1362995231"/>
      <w:bookmarkEnd w:id="44"/>
      <w:bookmarkStart w:id="45" w:name="_1362995094"/>
      <w:bookmarkEnd w:id="45"/>
      <w:bookmarkStart w:id="46" w:name="_1360390771"/>
      <w:bookmarkEnd w:id="46"/>
      <w:bookmarkStart w:id="47" w:name="_1360389603"/>
      <w:bookmarkEnd w:id="47"/>
      <w:bookmarkStart w:id="48" w:name="_1360389179"/>
      <w:bookmarkEnd w:id="48"/>
      <w:bookmarkStart w:id="49" w:name="_1360145151"/>
      <w:bookmarkEnd w:id="49"/>
      <w:bookmarkStart w:id="50" w:name="_1359889055"/>
      <w:bookmarkEnd w:id="50"/>
      <w:bookmarkStart w:id="51" w:name="_1358683586"/>
      <w:bookmarkEnd w:id="51"/>
      <w:bookmarkStart w:id="52" w:name="_1358335734"/>
      <w:bookmarkEnd w:id="52"/>
      <w:bookmarkStart w:id="53" w:name="_1358335502"/>
      <w:bookmarkEnd w:id="53"/>
      <w:r>
        <w:fldChar w:fldCharType="separate"/>
      </w:r>
      <w:r>
        <w:drawing>
          <wp:inline xmlns:wp="http://schemas.openxmlformats.org/drawingml/2006/wordprocessingDrawing">
            <wp:extent cx="6133465" cy="373316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37331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pStyle w:val="P12"/>
        <w:ind w:firstLine="0" w:left="0"/>
      </w:pPr>
    </w:p>
    <w:p>
      <w:pPr>
        <w:spacing w:after="60"/>
        <w:jc w:val="both"/>
        <w:rPr>
          <w:rFonts w:ascii="Arial" w:hAnsi="Arial"/>
          <w:sz w:val="20"/>
        </w:rPr>
      </w:pPr>
    </w:p>
    <w:p>
      <w:pPr>
        <w:spacing w:after="60"/>
        <w:jc w:val="both"/>
        <w:rPr>
          <w:rFonts w:ascii="Arial" w:hAnsi="Arial"/>
          <w:b w:val="1"/>
          <w:sz w:val="21"/>
        </w:rPr>
      </w:pPr>
    </w:p>
    <w:p>
      <w:pPr>
        <w:spacing w:after="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1. </w:t>
      </w:r>
      <w:r>
        <w:rPr>
          <w:rFonts w:ascii="Arial" w:hAnsi="Arial"/>
          <w:b w:val="1"/>
          <w:sz w:val="20"/>
        </w:rPr>
        <w:t>Индекси промета у трговини на мало</w:t>
      </w:r>
      <w:r>
        <w:rPr>
          <w:rFonts w:ascii="Arial" w:hAnsi="Arial"/>
          <w:b w:val="1"/>
          <w:sz w:val="20"/>
        </w:rPr>
        <w:t xml:space="preserve"> према територији</w:t>
      </w:r>
    </w:p>
    <w:tbl>
      <w:tblPr>
        <w:tblStyle w:val="T2"/>
        <w:tblW w:w="9923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567"/>
        </w:trPr>
        <w:tc>
          <w:tcPr>
            <w:tcW w:w="245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2012</w:t>
            </w:r>
          </w:p>
        </w:tc>
        <w:tc>
          <w:tcPr>
            <w:tcW w:w="248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2012</w:t>
            </w:r>
          </w:p>
        </w:tc>
        <w:tc>
          <w:tcPr>
            <w:tcW w:w="2489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2012</w:t>
            </w:r>
          </w:p>
        </w:tc>
      </w:tr>
      <w:tr>
        <w:trPr>
          <w:wAfter w:w="0" w:type="dxa"/>
          <w:trHeight w:hRule="atLeast" w:val="432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4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124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124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124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124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124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pStyle w:val="P4"/>
              <w:rPr>
                <w:sz w:val="16"/>
              </w:rPr>
            </w:pPr>
          </w:p>
        </w:tc>
        <w:tc>
          <w:tcPr>
            <w:tcW w:w="12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288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288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288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288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288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288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pStyle w:val="P4"/>
              <w:rPr>
                <w:sz w:val="16"/>
              </w:rPr>
            </w:pPr>
            <w:r>
              <w:rPr>
                <w:sz w:val="16"/>
              </w:rPr>
              <w:t>Република Србија</w:t>
            </w:r>
          </w:p>
        </w:tc>
        <w:tc>
          <w:tcPr>
            <w:tcW w:w="12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101,9</w:t>
            </w:r>
          </w:p>
        </w:tc>
        <w:tc>
          <w:tcPr>
            <w:tcW w:w="12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90,7</w:t>
            </w:r>
          </w:p>
        </w:tc>
        <w:tc>
          <w:tcPr>
            <w:tcW w:w="12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73,9</w:t>
            </w:r>
          </w:p>
        </w:tc>
        <w:tc>
          <w:tcPr>
            <w:tcW w:w="12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73,8</w:t>
            </w:r>
          </w:p>
        </w:tc>
        <w:tc>
          <w:tcPr>
            <w:tcW w:w="12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83,7</w:t>
            </w:r>
          </w:p>
        </w:tc>
        <w:tc>
          <w:tcPr>
            <w:tcW w:w="12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79,6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Србија – север</w:t>
            </w:r>
          </w:p>
        </w:tc>
        <w:tc>
          <w:tcPr>
            <w:tcW w:w="12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98,3</w:t>
            </w:r>
          </w:p>
        </w:tc>
        <w:tc>
          <w:tcPr>
            <w:tcW w:w="12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87,4</w:t>
            </w:r>
          </w:p>
        </w:tc>
        <w:tc>
          <w:tcPr>
            <w:tcW w:w="12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71,4</w:t>
            </w:r>
          </w:p>
        </w:tc>
        <w:tc>
          <w:tcPr>
            <w:tcW w:w="12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71,4</w:t>
            </w:r>
          </w:p>
        </w:tc>
        <w:tc>
          <w:tcPr>
            <w:tcW w:w="12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83,4</w:t>
            </w:r>
          </w:p>
        </w:tc>
        <w:tc>
          <w:tcPr>
            <w:tcW w:w="12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79,2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Регион Војводине</w:t>
            </w:r>
          </w:p>
        </w:tc>
        <w:tc>
          <w:tcPr>
            <w:tcW w:w="12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99,3</w:t>
            </w:r>
          </w:p>
        </w:tc>
        <w:tc>
          <w:tcPr>
            <w:tcW w:w="12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88,3</w:t>
            </w:r>
          </w:p>
        </w:tc>
        <w:tc>
          <w:tcPr>
            <w:tcW w:w="12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69,9</w:t>
            </w:r>
          </w:p>
        </w:tc>
        <w:tc>
          <w:tcPr>
            <w:tcW w:w="12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69,8</w:t>
            </w:r>
          </w:p>
        </w:tc>
        <w:tc>
          <w:tcPr>
            <w:tcW w:w="12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79,2</w:t>
            </w:r>
          </w:p>
        </w:tc>
        <w:tc>
          <w:tcPr>
            <w:tcW w:w="12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75,2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Србија – југ</w:t>
            </w:r>
          </w:p>
        </w:tc>
        <w:tc>
          <w:tcPr>
            <w:tcW w:w="12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109,4</w:t>
            </w:r>
          </w:p>
        </w:tc>
        <w:tc>
          <w:tcPr>
            <w:tcW w:w="12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97,4</w:t>
            </w:r>
          </w:p>
        </w:tc>
        <w:tc>
          <w:tcPr>
            <w:tcW w:w="12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78,9</w:t>
            </w:r>
          </w:p>
        </w:tc>
        <w:tc>
          <w:tcPr>
            <w:tcW w:w="12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78,5</w:t>
            </w:r>
          </w:p>
        </w:tc>
        <w:tc>
          <w:tcPr>
            <w:tcW w:w="12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84,3</w:t>
            </w:r>
          </w:p>
        </w:tc>
        <w:tc>
          <w:tcPr>
            <w:tcW w:w="12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ind w:right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79,9</w:t>
            </w:r>
          </w:p>
        </w:tc>
      </w:tr>
    </w:tbl>
    <w:p>
      <w:pPr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spacing w:after="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 xml:space="preserve">2. </w:t>
      </w:r>
      <w:r>
        <w:rPr>
          <w:rFonts w:ascii="Arial" w:hAnsi="Arial"/>
          <w:b w:val="1"/>
          <w:sz w:val="20"/>
        </w:rPr>
        <w:t>Индекси промета у трговини на мало</w:t>
      </w:r>
      <w:r>
        <w:rPr>
          <w:rFonts w:ascii="Arial" w:hAnsi="Arial"/>
          <w:b w:val="1"/>
          <w:sz w:val="20"/>
        </w:rPr>
        <w:t xml:space="preserve"> по </w:t>
      </w:r>
      <w:r>
        <w:rPr>
          <w:rFonts w:ascii="Arial" w:hAnsi="Arial"/>
          <w:b w:val="1"/>
          <w:sz w:val="20"/>
        </w:rPr>
        <w:t>основним</w:t>
      </w:r>
      <w:r>
        <w:rPr>
          <w:rFonts w:ascii="Arial" w:hAnsi="Arial"/>
          <w:b w:val="1"/>
          <w:sz w:val="20"/>
        </w:rPr>
        <w:t xml:space="preserve"> агрегатима К</w:t>
      </w:r>
      <w:r>
        <w:rPr>
          <w:rFonts w:ascii="Arial" w:hAnsi="Arial"/>
          <w:b w:val="1"/>
          <w:sz w:val="20"/>
        </w:rPr>
        <w:t>ласификације делатности</w:t>
      </w:r>
    </w:p>
    <w:tbl>
      <w:tblPr>
        <w:tblStyle w:val="T2"/>
        <w:tblW w:w="9923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567"/>
        </w:trPr>
        <w:tc>
          <w:tcPr>
            <w:tcW w:w="245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>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2012</w:t>
            </w:r>
          </w:p>
        </w:tc>
        <w:tc>
          <w:tcPr>
            <w:tcW w:w="2488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2012</w:t>
            </w:r>
          </w:p>
        </w:tc>
        <w:tc>
          <w:tcPr>
            <w:tcW w:w="2489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6"/>
              </w:rPr>
            </w:pPr>
            <w:r>
              <w:rPr>
                <w:sz w:val="16"/>
              </w:rPr>
              <w:t>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2012</w:t>
            </w:r>
          </w:p>
        </w:tc>
      </w:tr>
      <w:tr>
        <w:trPr>
          <w:wAfter w:w="0" w:type="dxa"/>
          <w:trHeight w:hRule="atLeast" w:val="432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spacing w:before="60" w:after="60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4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124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124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124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  <w:tc>
          <w:tcPr>
            <w:tcW w:w="124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текућим ценама</w:t>
            </w:r>
          </w:p>
        </w:tc>
        <w:tc>
          <w:tcPr>
            <w:tcW w:w="124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3"/>
              <w:rPr>
                <w:sz w:val="16"/>
                <w:u w:val="none"/>
              </w:rPr>
            </w:pPr>
            <w:r>
              <w:rPr>
                <w:sz w:val="16"/>
                <w:u w:val="none"/>
              </w:rPr>
              <w:t>у сталним ценама</w:t>
            </w:r>
          </w:p>
        </w:tc>
      </w:tr>
      <w:tr>
        <w:trPr>
          <w:wAfter w:w="0" w:type="dxa"/>
          <w:trHeight w:hRule="atLeast" w:val="20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120" w:after="120"/>
              <w:jc w:val="center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pStyle w:val="P4"/>
              <w:spacing w:before="60"/>
              <w:rPr>
                <w:sz w:val="16"/>
              </w:rPr>
            </w:pPr>
            <w:r>
              <w:rPr>
                <w:sz w:val="16"/>
              </w:rPr>
              <w:t>Трговина на мало, осим</w:t>
            </w:r>
          </w:p>
          <w:p>
            <w:pPr>
              <w:pStyle w:val="P4"/>
              <w:ind w:left="58"/>
              <w:rPr>
                <w:sz w:val="16"/>
              </w:rPr>
            </w:pPr>
            <w:r>
              <w:rPr>
                <w:sz w:val="16"/>
              </w:rPr>
              <w:t xml:space="preserve">трговине моторним </w:t>
            </w:r>
          </w:p>
          <w:p>
            <w:pPr>
              <w:pStyle w:val="P4"/>
              <w:ind w:left="58"/>
              <w:rPr>
                <w:sz w:val="16"/>
              </w:rPr>
            </w:pPr>
            <w:r>
              <w:rPr>
                <w:sz w:val="16"/>
              </w:rPr>
              <w:t>возилима и мотоциклима</w:t>
            </w:r>
          </w:p>
        </w:tc>
        <w:tc>
          <w:tcPr>
            <w:tcW w:w="12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101,9</w:t>
            </w:r>
          </w:p>
        </w:tc>
        <w:tc>
          <w:tcPr>
            <w:tcW w:w="12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90,7</w:t>
            </w:r>
          </w:p>
        </w:tc>
        <w:tc>
          <w:tcPr>
            <w:tcW w:w="12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73,9</w:t>
            </w:r>
          </w:p>
        </w:tc>
        <w:tc>
          <w:tcPr>
            <w:tcW w:w="12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73,8</w:t>
            </w:r>
          </w:p>
        </w:tc>
        <w:tc>
          <w:tcPr>
            <w:tcW w:w="12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83,7</w:t>
            </w:r>
          </w:p>
        </w:tc>
        <w:tc>
          <w:tcPr>
            <w:tcW w:w="12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288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79,6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Храна, пића и дуван</w:t>
            </w:r>
          </w:p>
        </w:tc>
        <w:tc>
          <w:tcPr>
            <w:tcW w:w="12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103,5</w:t>
            </w:r>
          </w:p>
        </w:tc>
        <w:tc>
          <w:tcPr>
            <w:tcW w:w="12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87,0</w:t>
            </w:r>
          </w:p>
        </w:tc>
        <w:tc>
          <w:tcPr>
            <w:tcW w:w="12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77,3</w:t>
            </w:r>
          </w:p>
        </w:tc>
        <w:tc>
          <w:tcPr>
            <w:tcW w:w="12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76,4</w:t>
            </w:r>
          </w:p>
        </w:tc>
        <w:tc>
          <w:tcPr>
            <w:tcW w:w="12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89,4</w:t>
            </w:r>
          </w:p>
        </w:tc>
        <w:tc>
          <w:tcPr>
            <w:tcW w:w="12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81,4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Непрехрамбени производи,</w:t>
            </w:r>
          </w:p>
          <w:p>
            <w:pPr>
              <w:ind w:left="10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осим моторних горива</w:t>
            </w:r>
          </w:p>
        </w:tc>
        <w:tc>
          <w:tcPr>
            <w:tcW w:w="12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102,1</w:t>
            </w:r>
          </w:p>
        </w:tc>
        <w:tc>
          <w:tcPr>
            <w:tcW w:w="12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94,5</w:t>
            </w:r>
          </w:p>
        </w:tc>
        <w:tc>
          <w:tcPr>
            <w:tcW w:w="12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72,6</w:t>
            </w:r>
          </w:p>
        </w:tc>
        <w:tc>
          <w:tcPr>
            <w:tcW w:w="12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72,1</w:t>
            </w:r>
          </w:p>
        </w:tc>
        <w:tc>
          <w:tcPr>
            <w:tcW w:w="12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81,2</w:t>
            </w:r>
          </w:p>
        </w:tc>
        <w:tc>
          <w:tcPr>
            <w:tcW w:w="12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77,5</w:t>
            </w:r>
          </w:p>
        </w:tc>
      </w:tr>
      <w:tr>
        <w:trPr>
          <w:wAfter w:w="0" w:type="dxa"/>
          <w:trHeight w:hRule="atLeast" w:val="20"/>
        </w:trPr>
        <w:tc>
          <w:tcPr>
            <w:tcW w:w="245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before="60" w:after="60"/>
              <w:ind w:left="7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Моторна горива</w:t>
            </w:r>
          </w:p>
        </w:tc>
        <w:tc>
          <w:tcPr>
            <w:tcW w:w="1244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98,7</w:t>
            </w:r>
          </w:p>
        </w:tc>
        <w:tc>
          <w:tcPr>
            <w:tcW w:w="12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87,8</w:t>
            </w:r>
          </w:p>
        </w:tc>
        <w:tc>
          <w:tcPr>
            <w:tcW w:w="12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69,5</w:t>
            </w:r>
          </w:p>
        </w:tc>
        <w:tc>
          <w:tcPr>
            <w:tcW w:w="12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71,2</w:t>
            </w:r>
          </w:p>
        </w:tc>
        <w:tc>
          <w:tcPr>
            <w:tcW w:w="12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77,6</w:t>
            </w:r>
          </w:p>
        </w:tc>
        <w:tc>
          <w:tcPr>
            <w:tcW w:w="124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spacing w:before="60" w:after="60"/>
              <w:ind w:right="28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77,3</w:t>
            </w:r>
          </w:p>
        </w:tc>
      </w:tr>
    </w:tbl>
    <w:p>
      <w:pPr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b w:val="1"/>
          <w:sz w:val="22"/>
        </w:rPr>
      </w:pPr>
    </w:p>
    <w:p>
      <w:pPr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Методолошка објашњења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Индекси промета објављени у овом саопштењу односе се на промет свих пословних субјеката (правних лица и предузетника) у трговини на мало. У претходним саопштењима (закључно са 2012. год.) промет се односио само на правна лица и није обухватао промет предузетника у трговини на мало.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Промет правних лица је добијен на основу редовног месечног статистичког истраживања „Месечни извештај трговине на мало“, а промет предузетника на основу пријава ПДВ-а добијених од Пореске управе за посматрани период.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Истраживањем је обухваћена област 47 КД (Класификација делатности - „Службени гласник РС“, број 54/10), односно промет робе у трговини на мало, изузев промета на мало моторним возилима, мотоциклима и деловима. 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Основ за прикупљање и објављивање података о статистичким територијалним јединицама је Уредба о номенклатури статистичких територијалних јединица („Службени гласник РС“, бр. 109/09 и 46/10), која се примењује од 2011. године.</w:t>
      </w:r>
    </w:p>
    <w:p>
      <w:pPr>
        <w:pStyle w:val="P12"/>
        <w:spacing w:before="120"/>
        <w:ind w:firstLine="397" w:left="0"/>
      </w:pPr>
      <w:r>
        <w:t>Промет робе обухвата порез на додату вредност.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Индекси промета робе у сталним ценама добијени су дефлационирањем индекса у текућим ценама одговарајућим индексима потрошачких цена, из којих су искључени: вода (из комуналних система), струја и моторна возила, мотоцикли и делови.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Све објављене индексе треба третирати као претходне, што значи да може доћи до извесних корекција на основу резултата из тромесечног статистичког истраживања (за скуп правних лица) и обрађених тромесечних пријава ПДВ-а (за скуп предузетника), које објављујемо у посебном саопштењу.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Десезонирани индекси промета трговине на мало у сталним ценама објављују се у публикацији „Месечни статистички билтен“.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spacing w:before="120"/>
        <w:ind w:firstLine="397"/>
        <w:jc w:val="both"/>
        <w:rPr>
          <w:rFonts w:ascii="Arial" w:hAnsi="Arial"/>
          <w:sz w:val="1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single" w:sz="4" w:space="0" w:shadow="0" w:frame="0" w:color="80808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9639" w:type="dxa"/>
          </w:tcPr>
          <w:p>
            <w:pPr>
              <w:jc w:val="both"/>
              <w:rPr>
                <w:rFonts w:ascii="Arial" w:hAnsi="Arial"/>
                <w:sz w:val="2"/>
              </w:rPr>
            </w:pPr>
          </w:p>
        </w:tc>
      </w:tr>
    </w:tbl>
    <w:p>
      <w:pPr>
        <w:rPr>
          <w:rFonts w:ascii="Arial" w:hAnsi="Arial"/>
          <w:sz w:val="10"/>
        </w:rPr>
      </w:pPr>
    </w:p>
    <w:p>
      <w:pPr>
        <w:jc w:val="center"/>
        <w:rPr>
          <w:rFonts w:ascii="Arial" w:hAnsi="Arial"/>
          <w:color w:val="808080"/>
          <w:sz w:val="18"/>
        </w:rPr>
      </w:pPr>
      <w:r>
        <w:rPr>
          <w:rFonts w:ascii="Arial" w:hAnsi="Arial"/>
          <w:color w:val="808080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месечна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pos w:val="beneathText"/>
      </w:footnotePr>
      <w:type w:val="continuous"/>
      <w:pgSz w:w="11909" w:h="16834" w:code="0"/>
      <w:pgMar w:left="1021" w:right="1021" w:top="1021" w:bottom="1021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rPr>
        <w:rFonts w:ascii="Arial" w:hAnsi="Arial"/>
        <w:sz w:val="16"/>
      </w:rPr>
    </w:pPr>
    <w:r>
      <w:rPr>
        <w:rFonts w:ascii="Arial" w:hAnsi="Arial"/>
        <w:sz w:val="16"/>
      </w:rPr>
      <w:t>СРБ ??? НР31 ??0311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СРБ047</w:t>
    </w:r>
    <w:r>
      <w:rPr>
        <w:rFonts w:ascii="Arial" w:hAnsi="Arial"/>
        <w:color w:val="FF0000"/>
        <w:sz w:val="16"/>
      </w:rPr>
      <w:t xml:space="preserve"> </w:t>
    </w:r>
    <w:r>
      <w:rPr>
        <w:rFonts w:ascii="Arial" w:hAnsi="Arial"/>
        <w:sz w:val="16"/>
      </w:rPr>
      <w:t>ПМ10 280213</w:t>
    </w:r>
  </w:p>
</w:ftr>
</file>

<file path=word/numbering.xml><?xml version="1.0" encoding="utf-8"?>
<w:numbering xmlns:w="http://schemas.openxmlformats.org/wordprocessingml/2006/main">
  <w:abstractNum w:abstractNumId="0">
    <w:nsid w:val="2269407F"/>
    <w:multiLevelType w:val="multilevel"/>
    <w:lvl w:ilvl="0">
      <w:start w:val="1"/>
      <w:numFmt w:val="decimal"/>
      <w:suff w:val="tab"/>
      <w:lvlText w:val="%1."/>
      <w:lvlJc w:val="left"/>
      <w:pPr>
        <w:ind w:hanging="284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1">
    <w:nsid w:val="2B9E0998"/>
    <w:multiLevelType w:val="multilevel"/>
    <w:lvl w:ilvl="0">
      <w:start w:val="1"/>
      <w:numFmt w:val="decimal"/>
      <w:suff w:val="tab"/>
      <w:lvlText w:val="%1)"/>
      <w:lvlJc w:val="left"/>
      <w:pPr>
        <w:ind w:hanging="990" w:left="1710"/>
        <w:tabs>
          <w:tab w:val="left" w:pos="171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">
    <w:nsid w:val="580575C8"/>
    <w:multiLevelType w:val="multilevel"/>
    <w:lvl w:ilvl="0">
      <w:start w:val="1"/>
      <w:numFmt w:val="decimal"/>
      <w:suff w:val="tab"/>
      <w:lvlText w:val="%1."/>
      <w:lvlJc w:val="left"/>
      <w:pPr>
        <w:ind w:hanging="284" w:left="1571"/>
        <w:tabs>
          <w:tab w:val="left" w:pos="1571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3">
    <w:nsid w:val="6B666B95"/>
    <w:multiLevelType w:val="hybridMultilevel"/>
    <w:lvl w:ilvl="0" w:tplc="08FB27F2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0E77D4C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14FAC0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92F477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7990FD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96537B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70832B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6A6A40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803D66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ind w:left="36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20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18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sz w:val="52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center"/>
      <w:outlineLvl w:val="6"/>
    </w:pPr>
    <w:rPr>
      <w:rFonts w:ascii="Arial" w:hAnsi="Arial"/>
      <w:b w:val="1"/>
      <w:sz w:val="72"/>
    </w:rPr>
  </w:style>
  <w:style w:type="paragraph" w:styleId="P9">
    <w:name w:val="Heading 8"/>
    <w:basedOn w:val="P0"/>
    <w:next w:val="P0"/>
    <w:pPr>
      <w:keepNext w:val="1"/>
      <w:jc w:val="center"/>
      <w:outlineLvl w:val="7"/>
    </w:pPr>
    <w:rPr>
      <w:rFonts w:ascii="Arial" w:hAnsi="Arial"/>
      <w:b w:val="1"/>
      <w:sz w:val="26"/>
    </w:rPr>
  </w:style>
  <w:style w:type="paragraph" w:styleId="P10">
    <w:name w:val="Heading 9"/>
    <w:basedOn w:val="P0"/>
    <w:next w:val="P0"/>
    <w:pPr>
      <w:keepNext w:val="1"/>
      <w:ind w:left="360"/>
      <w:jc w:val="center"/>
      <w:outlineLvl w:val="8"/>
    </w:pPr>
    <w:rPr>
      <w:rFonts w:ascii="Arial" w:hAnsi="Arial"/>
      <w:b w:val="1"/>
      <w:sz w:val="22"/>
    </w:rPr>
  </w:style>
  <w:style w:type="paragraph" w:styleId="P11">
    <w:name w:val="Footnote Text"/>
    <w:basedOn w:val="P0"/>
    <w:next w:val="P11"/>
    <w:pPr/>
    <w:rPr>
      <w:sz w:val="20"/>
    </w:rPr>
  </w:style>
  <w:style w:type="paragraph" w:styleId="P12">
    <w:name w:val="Body Text Indent"/>
    <w:basedOn w:val="P0"/>
    <w:next w:val="P12"/>
    <w:pPr>
      <w:ind w:firstLine="360" w:left="360"/>
      <w:jc w:val="both"/>
    </w:pPr>
    <w:rPr>
      <w:rFonts w:ascii="Arial" w:hAnsi="Arial"/>
      <w:sz w:val="20"/>
    </w:rPr>
  </w:style>
  <w:style w:type="paragraph" w:styleId="P13">
    <w:name w:val="Body Text Indent 2"/>
    <w:basedOn w:val="P0"/>
    <w:next w:val="P13"/>
    <w:pPr>
      <w:ind w:firstLine="360" w:left="360"/>
      <w:jc w:val="both"/>
    </w:pPr>
    <w:rPr>
      <w:rFonts w:ascii="Arial" w:hAnsi="Arial"/>
      <w:sz w:val="22"/>
    </w:rPr>
  </w:style>
  <w:style w:type="paragraph" w:styleId="P14">
    <w:name w:val="Body Text Indent 3"/>
    <w:basedOn w:val="P0"/>
    <w:next w:val="P14"/>
    <w:pPr>
      <w:ind w:firstLine="900"/>
      <w:jc w:val="both"/>
    </w:pPr>
    <w:rPr>
      <w:rFonts w:ascii="Arial" w:hAnsi="Arial"/>
      <w:sz w:val="22"/>
    </w:rPr>
  </w:style>
  <w:style w:type="paragraph" w:styleId="P15">
    <w:name w:val="Header"/>
    <w:basedOn w:val="P0"/>
    <w:next w:val="P15"/>
    <w:pPr>
      <w:tabs>
        <w:tab w:val="center" w:pos="4320" w:leader="none"/>
        <w:tab w:val="right" w:pos="8640" w:leader="none"/>
      </w:tabs>
    </w:pPr>
    <w:rPr/>
  </w:style>
  <w:style w:type="paragraph" w:styleId="P16">
    <w:name w:val="Footer"/>
    <w:basedOn w:val="P0"/>
    <w:next w:val="P16"/>
    <w:pPr>
      <w:tabs>
        <w:tab w:val="center" w:pos="4320" w:leader="none"/>
        <w:tab w:val="right" w:pos="8640" w:leader="none"/>
      </w:tabs>
    </w:pPr>
    <w:rPr/>
  </w:style>
  <w:style w:type="paragraph" w:styleId="P17">
    <w:name w:val="Body Text"/>
    <w:basedOn w:val="P0"/>
    <w:next w:val="P17"/>
    <w:pPr>
      <w:jc w:val="both"/>
    </w:pPr>
    <w:rPr>
      <w:rFonts w:ascii="Arial" w:hAnsi="Arial"/>
      <w:color w:val="FF0000"/>
      <w:sz w:val="20"/>
    </w:rPr>
  </w:style>
  <w:style w:type="paragraph" w:styleId="P18">
    <w:name w:val="Balloon Text"/>
    <w:basedOn w:val="P0"/>
    <w:next w:val="P18"/>
    <w:pPr/>
    <w:rPr>
      <w:rFonts w:ascii="Tahoma" w:hAnsi="Tahoma"/>
      <w:sz w:val="16"/>
    </w:rPr>
  </w:style>
  <w:style w:type="paragraph" w:styleId="P19">
    <w:name w:val="Car Car"/>
    <w:basedOn w:val="P0"/>
    <w:next w:val="P19"/>
    <w:link w:val="C0"/>
    <w:pPr>
      <w:spacing w:lineRule="exact" w:line="240" w:after="160"/>
    </w:pPr>
    <w:rPr>
      <w:rFonts w:ascii="Verdana" w:hAnsi="Verdana"/>
      <w:i w:val="1"/>
      <w:sz w:val="20"/>
    </w:rPr>
  </w:style>
  <w:style w:type="paragraph" w:styleId="P20">
    <w:name w:val=" Char Char Char Char Char1 Char"/>
    <w:basedOn w:val="P0"/>
    <w:next w:val="P20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character" w:styleId="C0" w:default="1">
    <w:name w:val="Default Paragraph Font"/>
    <w:link w:val="P19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x</dc:creator>
  <dcterms:created xsi:type="dcterms:W3CDTF">2013-02-28T10:57:00Z</dcterms:created>
  <cp:lastModifiedBy>Nikola Kapetanovic</cp:lastModifiedBy>
  <cp:lastPrinted>2013-02-21T08:49:00Z</cp:lastPrinted>
  <dcterms:modified xsi:type="dcterms:W3CDTF">2020-01-10T11:17:13Z</dcterms:modified>
  <cp:revision>3</cp:revision>
  <dc:title>Промет робе у трговини на мало у Републици Србији, јануар 2003</dc:title>
</cp:coreProperties>
</file>