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5A490C2" Type="http://schemas.openxmlformats.org/officeDocument/2006/relationships/officeDocument" Target="/word/document.xml" /><Relationship Id="coreR35A490C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anchor xmlns:wp="http://schemas.openxmlformats.org/drawingml/2006/wordprocessingDrawing" simplePos="0" allowOverlap="0" behindDoc="0" layoutInCell="1" locked="0" relativeHeight="1" distL="114300" distR="114300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wrapNone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21907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drawing>
                <wp:inline xmlns:wp="http://schemas.openxmlformats.org/drawingml/2006/wordprocessingDrawing">
                  <wp:extent cx="905510" cy="21971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21971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  <w:r>
              <w:rPr>
                <w:b w:val="1"/>
                <w:color w:val="808080"/>
                <w:sz w:val="48"/>
              </w:rPr>
              <w:t>ПМ12</w:t>
            </w:r>
          </w:p>
        </w:tc>
      </w:tr>
      <w:tr>
        <w:trPr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r>
              <w:t xml:space="preserve">број  045 - год. LXIII, 01.03.2013.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color w:val="808080"/>
              </w:rPr>
            </w:pPr>
          </w:p>
        </w:tc>
      </w:tr>
      <w:tr>
        <w:trPr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</w:t>
            </w:r>
            <w:r>
              <w:rPr>
                <w:b w:val="1"/>
                <w:sz w:val="24"/>
              </w:rPr>
              <w:t>татистика промета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</w:pPr>
            <w:r>
              <w:t>СРБ045 ПМ12 010313</w:t>
            </w:r>
          </w:p>
        </w:tc>
      </w:tr>
    </w:tbl>
    <w:p>
      <w:pPr>
        <w:pStyle w:val="P38"/>
        <w:rPr>
          <w:sz w:val="8"/>
        </w:rPr>
      </w:pPr>
    </w:p>
    <w:p>
      <w:pPr>
        <w:pStyle w:val="P38"/>
      </w:pPr>
      <w:r>
        <w:t xml:space="preserve">Продаја и откуп производа пољопривреде, шумарства и рибарства                                         у Републици Србији</w:t>
      </w:r>
    </w:p>
    <w:p>
      <w:pPr>
        <w:pStyle w:val="P11"/>
        <w:spacing w:before="120"/>
      </w:pPr>
      <w:r>
        <w:t>– IV тромесечје 2012. године –</w:t>
      </w:r>
    </w:p>
    <w:p>
      <w:pPr>
        <w:jc w:val="center"/>
        <w:rPr>
          <w:b w:val="1"/>
          <w:sz w:val="4"/>
        </w:rPr>
      </w:pPr>
    </w:p>
    <w:p>
      <w:pPr>
        <w:pStyle w:val="P41"/>
      </w:pPr>
      <w:r>
        <w:t xml:space="preserve">У 2012. години у Републици Србији укупна вредност продаје и откупа производа пољопривреде, шумарства и рибарства, у односу на исти период 2011. године, изражена у текућим ценама, већа је за 14,1%, а у сталним ценама мања за 9,3%.  </w:t>
      </w:r>
    </w:p>
    <w:p>
      <w:pPr>
        <w:pStyle w:val="P14"/>
      </w:pPr>
    </w:p>
    <w:p>
      <w:pPr>
        <w:pStyle w:val="P41"/>
        <w:spacing w:lineRule="auto" w:line="192" w:after="60"/>
        <w:ind w:firstLine="403"/>
        <w:jc w:val="center"/>
        <w:rPr>
          <w:b w:val="1"/>
        </w:rPr>
      </w:pPr>
      <w:r>
        <w:rPr>
          <w:b w:val="1"/>
        </w:rPr>
        <w:t>1. Продаја и откуп, по регионима</w:t>
      </w:r>
    </w:p>
    <w:tbl>
      <w:tblPr>
        <w:tblStyle w:val="T2"/>
        <w:tblW w:w="10266" w:type="dxa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3119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5"/>
              <w:tabs>
                <w:tab w:val="clear" w:pos="4320" w:leader="none"/>
                <w:tab w:val="clear" w:pos="8640" w:leader="none"/>
              </w:tabs>
              <w:spacing w:before="60" w:after="60"/>
              <w:jc w:val="center"/>
              <w:rPr>
                <w:caps w:val="1"/>
                <w:sz w:val="16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Промет,  хиљ. РСД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14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Индекси,</w:t>
            </w:r>
          </w:p>
          <w:p>
            <w:pPr>
              <w:spacing w:before="60" w:after="60"/>
              <w:ind w:right="57"/>
              <w:jc w:val="center"/>
              <w:rPr>
                <w:sz w:val="16"/>
              </w:rPr>
            </w:pPr>
            <w:r>
              <w:rPr>
                <w:sz w:val="16"/>
              </w:rPr>
              <w:t>текућe ценe</w:t>
            </w:r>
            <w:r>
              <w:rPr>
                <w:sz w:val="16"/>
                <w:vertAlign w:val="superscript"/>
              </w:rPr>
              <w:t>1)</w:t>
            </w:r>
          </w:p>
        </w:tc>
      </w:tr>
      <w:tr>
        <w:tc>
          <w:tcPr>
            <w:tcW w:w="3119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5"/>
              <w:tabs>
                <w:tab w:val="clear" w:pos="4320" w:leader="none"/>
                <w:tab w:val="clear" w:pos="8640" w:leader="none"/>
              </w:tabs>
              <w:jc w:val="center"/>
              <w:rPr>
                <w:caps w:val="1"/>
                <w:sz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center"/>
              <w:rPr>
                <w:sz w:val="16"/>
              </w:rPr>
            </w:pPr>
            <w:r>
              <w:rPr>
                <w:sz w:val="16"/>
              </w:rPr>
              <w:t>X–XII 2012</w:t>
            </w:r>
          </w:p>
        </w:tc>
        <w:tc>
          <w:tcPr>
            <w:tcW w:w="102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center"/>
              <w:rPr>
                <w:sz w:val="16"/>
              </w:rPr>
            </w:pPr>
            <w:r>
              <w:rPr>
                <w:sz w:val="16"/>
              </w:rPr>
              <w:t>I–XII 2012</w:t>
            </w:r>
          </w:p>
        </w:tc>
        <w:tc>
          <w:tcPr>
            <w:tcW w:w="306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2042" w:type="dxa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ind w:right="57"/>
              <w:jc w:val="center"/>
              <w:rPr>
                <w:sz w:val="16"/>
              </w:rPr>
            </w:pPr>
          </w:p>
        </w:tc>
      </w:tr>
      <w:tr>
        <w:tc>
          <w:tcPr>
            <w:tcW w:w="3119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5"/>
              <w:tabs>
                <w:tab w:val="clear" w:pos="4320" w:leader="none"/>
                <w:tab w:val="clear" w:pos="8640" w:leader="none"/>
              </w:tabs>
              <w:jc w:val="center"/>
              <w:rPr>
                <w:caps w:val="1"/>
                <w:sz w:val="16"/>
              </w:rPr>
            </w:pPr>
          </w:p>
        </w:tc>
        <w:tc>
          <w:tcPr>
            <w:tcW w:w="102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XI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XII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center"/>
              <w:rPr>
                <w:sz w:val="16"/>
              </w:rPr>
            </w:pPr>
            <w:r>
              <w:rPr>
                <w:sz w:val="16"/>
              </w:rPr>
              <w:t>X–XII 2012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ind w:right="57"/>
              <w:jc w:val="center"/>
              <w:rPr>
                <w:sz w:val="16"/>
              </w:rPr>
            </w:pPr>
            <w:r>
              <w:rPr>
                <w:sz w:val="16"/>
              </w:rPr>
              <w:t>I–XII 2012</w:t>
            </w:r>
          </w:p>
        </w:tc>
      </w:tr>
      <w:tr>
        <w:tc>
          <w:tcPr>
            <w:tcW w:w="3119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5"/>
              <w:tabs>
                <w:tab w:val="clear" w:pos="4320" w:leader="none"/>
                <w:tab w:val="clear" w:pos="8640" w:leader="none"/>
              </w:tabs>
              <w:rPr>
                <w:b w:val="1"/>
                <w:caps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35"/>
              <w:tabs>
                <w:tab w:val="clear" w:pos="4320" w:leader="none"/>
                <w:tab w:val="clear" w:pos="8640" w:leader="none"/>
              </w:tabs>
              <w:rPr>
                <w:b w:val="1"/>
                <w:sz w:val="16"/>
              </w:rPr>
            </w:pPr>
            <w:r>
              <w:rPr>
                <w:b w:val="1"/>
                <w:caps w:val="1"/>
                <w:sz w:val="16"/>
              </w:rPr>
              <w:t>Република Србија</w:t>
            </w:r>
            <w:r>
              <w:rPr>
                <w:b w:val="1"/>
                <w:sz w:val="16"/>
              </w:rPr>
              <w:t xml:space="preserve"> 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40163847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144140430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17256016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10157</w:t>
            </w:r>
            <w:r>
              <w:rPr>
                <w:b w:val="1"/>
                <w:sz w:val="16"/>
              </w:rPr>
              <w:t>884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12749947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94,3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114,1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2257875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8984101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964495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589305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704075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104,3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105,6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ind w:firstLine="182"/>
              <w:rPr>
                <w:sz w:val="16"/>
              </w:rPr>
            </w:pPr>
            <w:r>
              <w:rPr>
                <w:sz w:val="16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1941190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7732593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825653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491746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623791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105,3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105,6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ind w:firstLine="226"/>
              <w:rPr>
                <w:sz w:val="16"/>
              </w:rPr>
            </w:pPr>
            <w:r>
              <w:rPr>
                <w:sz w:val="16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316687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1251508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138843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97559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80285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98,6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105,9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0" w:after="0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 xml:space="preserve">Регион </w:t>
            </w:r>
            <w:r>
              <w:rPr>
                <w:b w:val="0"/>
                <w:sz w:val="16"/>
              </w:rPr>
              <w:t>Војводин</w:t>
            </w:r>
            <w:r>
              <w:rPr>
                <w:b w:val="0"/>
                <w:sz w:val="16"/>
              </w:rPr>
              <w:t>е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30968403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103430390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13682657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7479505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9806241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90,4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114,7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ind w:firstLine="215"/>
              <w:rPr>
                <w:sz w:val="16"/>
              </w:rPr>
            </w:pPr>
            <w:r>
              <w:rPr>
                <w:sz w:val="16"/>
              </w:rPr>
              <w:t xml:space="preserve"> Продаја из производње предузећа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16483306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47171279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6141302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4294182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6047822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95,3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107,9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ind w:firstLine="226"/>
              <w:rPr>
                <w:sz w:val="16"/>
              </w:rPr>
            </w:pPr>
            <w:r>
              <w:rPr>
                <w:sz w:val="16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14485097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56259111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7541355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3185323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3758419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85,4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121,2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0" w:after="0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Регион Шумадује и Западне</w:t>
            </w:r>
            <w:r>
              <w:rPr>
                <w:b w:val="0"/>
                <w:sz w:val="16"/>
              </w:rPr>
              <w:t xml:space="preserve"> Србиј</w:t>
            </w:r>
            <w:r>
              <w:rPr>
                <w:b w:val="0"/>
                <w:sz w:val="16"/>
              </w:rPr>
              <w:t>е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4089649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20060266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1462067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1263724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1363858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106,3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109,3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ind w:firstLine="215"/>
              <w:rPr>
                <w:sz w:val="16"/>
              </w:rPr>
            </w:pPr>
            <w:r>
              <w:rPr>
                <w:sz w:val="16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316322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1252795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90164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119865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106293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64,6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72,5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ind w:firstLine="248"/>
              <w:rPr>
                <w:sz w:val="16"/>
              </w:rPr>
            </w:pPr>
            <w:r>
              <w:rPr>
                <w:sz w:val="16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3773327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18807471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1371903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1143859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1257565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112,3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113,2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0" w:after="0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 xml:space="preserve">Регион Јужне и Источне </w:t>
            </w:r>
            <w:r>
              <w:rPr>
                <w:b w:val="0"/>
                <w:sz w:val="16"/>
              </w:rPr>
              <w:t>Србиј</w:t>
            </w:r>
            <w:r>
              <w:rPr>
                <w:b w:val="0"/>
                <w:sz w:val="16"/>
              </w:rPr>
              <w:t>е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2847919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11665674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1146796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825350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875773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122,9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125,8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ind w:firstLine="248"/>
              <w:rPr>
                <w:sz w:val="16"/>
              </w:rPr>
            </w:pPr>
            <w:r>
              <w:rPr>
                <w:sz w:val="16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639020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2400457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230698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171982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236340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121,3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144,6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ind w:firstLine="248"/>
              <w:rPr>
                <w:sz w:val="16"/>
              </w:rPr>
            </w:pPr>
            <w:r>
              <w:rPr>
                <w:sz w:val="16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2208899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9265217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916099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653367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639433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123,4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121,7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  <w:tc>
          <w:tcPr>
            <w:tcW w:w="1021" w:type="dxa"/>
            <w:vAlign w:val="bottom"/>
          </w:tcPr>
          <w:p>
            <w:pPr>
              <w:spacing w:lineRule="auto" w:line="120"/>
              <w:ind w:right="57"/>
              <w:jc w:val="right"/>
              <w:rPr>
                <w:sz w:val="16"/>
              </w:rPr>
            </w:pP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0" w:after="0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Регион Косово и Метохија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</w:pPr>
            <w:r>
              <w:rPr>
                <w:b w:val="1"/>
                <w:sz w:val="16"/>
              </w:rPr>
              <w:t xml:space="preserve">                 </w:t>
            </w:r>
            <w:r>
              <w:rPr>
                <w:b w:val="1"/>
                <w:sz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</w:pPr>
            <w:r>
              <w:rPr>
                <w:b w:val="1"/>
                <w:sz w:val="16"/>
              </w:rPr>
              <w:t xml:space="preserve">                 </w:t>
            </w:r>
            <w:r>
              <w:rPr>
                <w:b w:val="1"/>
                <w:sz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</w:pPr>
            <w:r>
              <w:rPr>
                <w:b w:val="1"/>
                <w:sz w:val="16"/>
              </w:rPr>
              <w:t xml:space="preserve">               </w:t>
            </w:r>
            <w:r>
              <w:rPr>
                <w:b w:val="1"/>
                <w:sz w:val="16"/>
              </w:rPr>
              <w:t>...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ind w:firstLine="248"/>
              <w:rPr>
                <w:sz w:val="16"/>
              </w:rPr>
            </w:pPr>
            <w:r>
              <w:rPr>
                <w:sz w:val="16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c>
          <w:tcPr>
            <w:tcW w:w="3119" w:type="dxa"/>
            <w:tcBorders>
              <w:right w:val="single" w:sz="4" w:space="0" w:shadow="0" w:frame="0"/>
            </w:tcBorders>
            <w:vAlign w:val="center"/>
          </w:tcPr>
          <w:p>
            <w:pPr>
              <w:ind w:firstLine="259"/>
              <w:rPr>
                <w:sz w:val="16"/>
              </w:rPr>
            </w:pPr>
            <w:r>
              <w:rPr>
                <w:sz w:val="16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21" w:type="dxa"/>
            <w:tcBorders>
              <w:lef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1021" w:type="dxa"/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</w:tbl>
    <w:p>
      <w:pPr>
        <w:pStyle w:val="P23"/>
        <w:numPr>
          <w:ilvl w:val="0"/>
          <w:numId w:val="0"/>
        </w:numPr>
      </w:pPr>
    </w:p>
    <w:p>
      <w:pPr>
        <w:pStyle w:val="P23"/>
        <w:numPr>
          <w:ilvl w:val="0"/>
          <w:numId w:val="0"/>
        </w:numPr>
        <w:spacing w:after="60"/>
      </w:pPr>
      <w:r>
        <w:t>2. Продаја и откуп, по групама производа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268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Промет,  хиљ. РСД</w:t>
            </w:r>
          </w:p>
        </w:tc>
        <w:tc>
          <w:tcPr>
            <w:tcW w:w="4395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Индекси за укупно, текуће цене</w:t>
            </w:r>
            <w:r>
              <w:rPr>
                <w:sz w:val="16"/>
                <w:vertAlign w:val="superscript"/>
              </w:rPr>
              <w:t>1)</w:t>
            </w:r>
          </w:p>
        </w:tc>
      </w:tr>
      <w:tr>
        <w:trPr>
          <w:wAfter w:w="0" w:type="dxa"/>
        </w:trPr>
        <w:tc>
          <w:tcPr>
            <w:tcW w:w="226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X–XII 2012</w:t>
            </w:r>
          </w:p>
        </w:tc>
        <w:tc>
          <w:tcPr>
            <w:tcW w:w="175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I–XII 2012</w:t>
            </w:r>
          </w:p>
        </w:tc>
        <w:tc>
          <w:tcPr>
            <w:tcW w:w="87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X–XII 2012</w:t>
            </w:r>
          </w:p>
        </w:tc>
        <w:tc>
          <w:tcPr>
            <w:tcW w:w="87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I–XII 2012</w:t>
            </w:r>
          </w:p>
        </w:tc>
        <w:tc>
          <w:tcPr>
            <w:tcW w:w="2637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226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продаја</w:t>
            </w:r>
          </w:p>
        </w:tc>
        <w:tc>
          <w:tcPr>
            <w:tcW w:w="87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4"/>
              <w:spacing w:before="60"/>
              <w:jc w:val="center"/>
              <w:rPr>
                <w:b w:val="1"/>
                <w:sz w:val="16"/>
                <w:u w:val="single"/>
              </w:rPr>
            </w:pPr>
            <w:r>
              <w:rPr>
                <w:b w:val="0"/>
                <w:sz w:val="16"/>
              </w:rPr>
              <w:t>XI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XII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lef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</w:t>
            </w:r>
            <w:r>
              <w:rPr>
                <w:b w:val="1"/>
                <w:sz w:val="16"/>
              </w:rPr>
              <w:t>купно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40163847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19379836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144140430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58557124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94,3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114,1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112,1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66,</w:t>
            </w:r>
            <w:r>
              <w:rPr>
                <w:b w:val="1"/>
                <w:sz w:val="16"/>
              </w:rPr>
              <w:t>3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107,1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120"/>
              <w:rPr>
                <w:sz w:val="16"/>
              </w:rPr>
            </w:pPr>
          </w:p>
        </w:tc>
        <w:tc>
          <w:tcPr>
            <w:tcW w:w="879" w:type="dxa"/>
            <w:vAlign w:val="bottom"/>
          </w:tcPr>
          <w:p>
            <w:pPr>
              <w:spacing w:lineRule="auto" w:line="120"/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spacing w:lineRule="auto" w:line="120"/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120"/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120"/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120"/>
              <w:jc w:val="right"/>
              <w:rPr>
                <w:sz w:val="16"/>
              </w:rPr>
            </w:pPr>
          </w:p>
        </w:tc>
        <w:tc>
          <w:tcPr>
            <w:tcW w:w="879" w:type="dxa"/>
            <w:vAlign w:val="bottom"/>
          </w:tcPr>
          <w:p>
            <w:pPr>
              <w:spacing w:lineRule="auto" w:line="120"/>
              <w:jc w:val="right"/>
              <w:rPr>
                <w:sz w:val="16"/>
              </w:rPr>
            </w:pPr>
          </w:p>
        </w:tc>
        <w:tc>
          <w:tcPr>
            <w:tcW w:w="879" w:type="dxa"/>
            <w:vAlign w:val="bottom"/>
          </w:tcPr>
          <w:p>
            <w:pPr>
              <w:spacing w:lineRule="auto" w:line="120"/>
              <w:jc w:val="right"/>
              <w:rPr>
                <w:sz w:val="16"/>
              </w:rPr>
            </w:pPr>
          </w:p>
        </w:tc>
        <w:tc>
          <w:tcPr>
            <w:tcW w:w="879" w:type="dxa"/>
            <w:vAlign w:val="bottom"/>
          </w:tcPr>
          <w:p>
            <w:pPr>
              <w:spacing w:lineRule="auto" w:line="120"/>
              <w:jc w:val="right"/>
              <w:rPr>
                <w:sz w:val="16"/>
              </w:rPr>
            </w:pPr>
          </w:p>
        </w:tc>
        <w:tc>
          <w:tcPr>
            <w:tcW w:w="879" w:type="dxa"/>
            <w:vAlign w:val="bottom"/>
          </w:tcPr>
          <w:p>
            <w:pPr>
              <w:spacing w:lineRule="auto" w:line="12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Жита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11241725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5183757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51665871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19909468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75,8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115,6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92,4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57,3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74,6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Индустријско биље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11979295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5768462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30012571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13407997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88,3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112,8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128,7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45,6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113,0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Сточно – крмно биље 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85105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79372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390073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377599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158,4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151,3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49,5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112,4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474,8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Поврће 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875726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539232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2452459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1431933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97,4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84,2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104,8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58,6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148,9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Воће и грожђе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1219919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514371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9140961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1285900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118,7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113,3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104,7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83,2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183,5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Стока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6837256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3887592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22337563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12145759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124,9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125,6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135,5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115,6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124,6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Живина и јаја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679078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629396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2578262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2496243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103,9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84,2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89,6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83,2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139,5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Млеко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5379716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1113042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21602391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4620772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110,8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111,1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107,6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107,6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116,6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Млечни производи 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1727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15308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1493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39,4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28,5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15,7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47,4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47,9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Кожа, вуна и перје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47707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9647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238220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25330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51,3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70,5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48,4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73,0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36,5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Мед и восак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118709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523053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189,5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129,2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352,6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100,7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217,3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Дрво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1112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12100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20,4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95,8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136,6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25,6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Риба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1543732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1543732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2419798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2419798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236,3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197,2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197,2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201,6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255,7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Остали производи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153039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110903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751800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434831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36,3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53,5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72,0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14,2</w:t>
            </w:r>
          </w:p>
        </w:tc>
        <w:tc>
          <w:tcPr>
            <w:tcW w:w="879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32,8</w:t>
            </w:r>
          </w:p>
        </w:tc>
      </w:tr>
    </w:tbl>
    <w:p>
      <w:pPr>
        <w:spacing w:lineRule="auto" w:line="120"/>
        <w:rPr>
          <w:sz w:val="16"/>
        </w:rPr>
      </w:pPr>
    </w:p>
    <w:p>
      <w:pPr>
        <w:rPr>
          <w:sz w:val="14"/>
          <w:vertAlign w:val="superscript"/>
        </w:rPr>
      </w:pPr>
    </w:p>
    <w:p>
      <w:pPr>
        <w:rPr>
          <w:sz w:val="14"/>
        </w:rPr>
      </w:pPr>
      <w:r>
        <w:rPr>
          <w:sz w:val="14"/>
          <w:vertAlign w:val="superscript"/>
        </w:rPr>
        <w:t xml:space="preserve">1)   </w:t>
      </w:r>
      <w:r>
        <w:rPr>
          <w:sz w:val="14"/>
        </w:rPr>
        <w:t>База: исти период 2011. године.</w:t>
      </w:r>
    </w:p>
    <w:p>
      <w:pPr>
        <w:pStyle w:val="P23"/>
        <w:numPr>
          <w:ilvl w:val="0"/>
          <w:numId w:val="0"/>
        </w:numPr>
        <w:spacing w:after="60"/>
        <w:ind w:left="357"/>
        <w:rPr>
          <w:sz w:val="16"/>
        </w:rPr>
      </w:pPr>
      <w:r>
        <w:t>3. Продаја и откуп изабраних производа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268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Количине, тона</w:t>
            </w:r>
          </w:p>
        </w:tc>
        <w:tc>
          <w:tcPr>
            <w:tcW w:w="4395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Индекси за укупно</w:t>
            </w:r>
            <w:r>
              <w:rPr>
                <w:sz w:val="16"/>
                <w:vertAlign w:val="superscript"/>
              </w:rPr>
              <w:t>1)</w:t>
            </w:r>
          </w:p>
        </w:tc>
      </w:tr>
      <w:tr>
        <w:trPr>
          <w:wAfter w:w="0" w:type="dxa"/>
        </w:trPr>
        <w:tc>
          <w:tcPr>
            <w:tcW w:w="226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X–XII 2012</w:t>
            </w:r>
          </w:p>
        </w:tc>
        <w:tc>
          <w:tcPr>
            <w:tcW w:w="175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I–XII 2012</w:t>
            </w:r>
          </w:p>
        </w:tc>
        <w:tc>
          <w:tcPr>
            <w:tcW w:w="87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X–XII 2012</w:t>
            </w:r>
          </w:p>
        </w:tc>
        <w:tc>
          <w:tcPr>
            <w:tcW w:w="87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I–XII 2012</w:t>
            </w:r>
          </w:p>
        </w:tc>
        <w:tc>
          <w:tcPr>
            <w:tcW w:w="2637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226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продаја</w:t>
            </w:r>
          </w:p>
        </w:tc>
        <w:tc>
          <w:tcPr>
            <w:tcW w:w="87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4"/>
              <w:spacing w:before="60"/>
              <w:jc w:val="center"/>
              <w:rPr>
                <w:b w:val="1"/>
                <w:sz w:val="16"/>
                <w:u w:val="single"/>
              </w:rPr>
            </w:pPr>
            <w:r>
              <w:rPr>
                <w:b w:val="0"/>
                <w:sz w:val="16"/>
              </w:rPr>
              <w:t>XI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XII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lef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Пшеница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151120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45716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981315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221769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110,6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92,3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52,6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57,8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Кукуруз у зрну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244468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107550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1139189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386740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94,2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52,9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25,6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39,3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Дуван (суви лист)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4183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7942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174,5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20,8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Кромпир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9416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8765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20509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17715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82,9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12,0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Пасуљ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Црни лук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3097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2871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6844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4438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221,1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116,7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42,1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211,5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479,4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Купус (главицe)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1284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112,5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105,7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88,2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93,8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189,4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Јабуке за јело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16972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7865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31735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16056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105,0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76,3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72,3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239,5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Телад 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91,5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45,9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51,2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Јунад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6138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1927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22495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7571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112,8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114,0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111,5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107,3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119,5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Остала говеда (краве, волови и др.) 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1867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646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8059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2674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135,3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161,5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144,7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149,2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113,8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Прасад  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1267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585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89,3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105,6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103,4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102,5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75,9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Товљене свиње 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19091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14675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69425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48422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78,8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85,6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74,6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61,6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96,8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Остале свиње (крмаче и др.)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5427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1817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14107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5367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390,2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176,4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493,4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478,6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226,2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Јагњад 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722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104,0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94,7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26,2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Овце и шиљежад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159,4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139,6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113,6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213,0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176,7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Товљени пилићи (бројлери)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1735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1507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5294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4902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88,2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52,1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153,3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110,6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Јаја (конзумна), хиљ. ком.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39649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39544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149800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149572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94,0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130,2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45,1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134,6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Млеко, кравље, хиљ. лит.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164093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29455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711578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130940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99,1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104,5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95,7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95,7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105,3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Шаран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4559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4559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7381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7381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178,9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152,4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162,3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144,6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193,4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Остала слатководна риба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w="879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w="879" w:type="dxa"/>
            <w:tcBorders>
              <w:lef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968</w:t>
            </w:r>
          </w:p>
        </w:tc>
        <w:tc>
          <w:tcPr>
            <w:tcW w:w="87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968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107,2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79,8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68,2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103,1</w:t>
            </w:r>
          </w:p>
        </w:tc>
        <w:tc>
          <w:tcPr>
            <w:tcW w:w="879" w:type="dxa"/>
            <w:vAlign w:val="bottom"/>
          </w:tcPr>
          <w:p>
            <w:pPr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125,7</w:t>
            </w:r>
          </w:p>
        </w:tc>
      </w:tr>
    </w:tbl>
    <w:p>
      <w:pPr>
        <w:rPr>
          <w:sz w:val="16"/>
        </w:rPr>
      </w:pPr>
    </w:p>
    <w:p>
      <w:pPr>
        <w:rPr>
          <w:sz w:val="6"/>
        </w:rPr>
      </w:pPr>
    </w:p>
    <w:p>
      <w:pPr>
        <w:pStyle w:val="P33"/>
      </w:pPr>
      <w:r>
        <w:rPr>
          <w:vertAlign w:val="superscript"/>
        </w:rPr>
        <w:t xml:space="preserve">1)   </w:t>
      </w:r>
      <w:r>
        <w:t>База: исти период 2011. године.</w:t>
      </w:r>
    </w:p>
    <w:p>
      <w:pPr>
        <w:ind w:firstLine="720"/>
        <w:jc w:val="both"/>
        <w:rPr>
          <w:sz w:val="22"/>
        </w:rPr>
      </w:pPr>
    </w:p>
    <w:p>
      <w:pPr>
        <w:pStyle w:val="P13"/>
      </w:pPr>
    </w:p>
    <w:p>
      <w:pPr>
        <w:pStyle w:val="P13"/>
      </w:pPr>
      <w:r>
        <w:t>Методолошка објашњења</w:t>
      </w:r>
    </w:p>
    <w:p>
      <w:pPr>
        <w:pStyle w:val="P41"/>
        <w:ind w:firstLine="403"/>
      </w:pPr>
      <w:r>
        <w:t>Подаци о продаји и откупу производа пољопривреде, шумарства и рибарства прикупљају се Месечним извештајем о реализацији пољопривредних производа сопствене производње пољопривредних предузећа и земљорадничких задруга (ПО-ТРГ-33) и Месечним извештајем о откупу пољопривредних производа од породичних газдинстава (ТРГ-31). Вредност испоручених производа обрачунава се по продајним ценама произвођача, a вредност откупа по ценама којима су откупне организације плаћале породичним газдинствима. Вредност продаје, односно откупа, не обухвата: ПДВ надокнаду, вредност амбалаже, транспортне трошкове, трошкове чувања и складиштења, рабат, као ни прописане премије које произвођачи добијају за испоручене производе. Превасходни циљ истраживања јесте добијање података за израчунавање индекса цена произвођача производа пољопривреде и рибарства (саопштење ЦН 40). Индекс у сталним ценама добијен је дефлационирањем индекса у текућим ценама одговарајућим индексом цена произвођача пољопривредних производа.</w:t>
      </w:r>
    </w:p>
    <w:p>
      <w:pPr>
        <w:ind w:firstLine="403"/>
        <w:jc w:val="both"/>
        <w:rPr>
          <w:color w:val="000000"/>
        </w:rPr>
      </w:pPr>
      <w:r>
        <w:rPr>
          <w:color w:val="000000"/>
        </w:rPr>
        <w:t>Подаци по територијалним јединицама дати су на основу Номенклатуре статистичких територијалних јединица („Службени гласник РС“, бр. 109/09 и 46/10).</w:t>
      </w:r>
    </w:p>
    <w:p>
      <w:pPr>
        <w:pStyle w:val="P41"/>
      </w:pPr>
      <w:r>
        <w:t>Републички завод за статистику од 1999. године не располаже подацима за АП Косово и Метохију, тако да они нису садржани у обухвату података за Републику Србију (укупно).</w:t>
      </w:r>
    </w:p>
    <w:p>
      <w:pPr>
        <w:rPr>
          <w:sz w:val="16"/>
        </w:rPr>
      </w:pPr>
    </w:p>
    <w:tbl>
      <w:tblPr>
        <w:tblStyle w:val="T2"/>
        <w:tblpPr w:leftFromText="181" w:rightFromText="181" w:tblpX="1" w:tblpY="14176" w:horzAnchor="margin" w:vertAnchor="page" w:tblpXSpec="center"/>
        <w:tblW w:w="4500" w:type="pct"/>
        <w:tblBorders>
          <w:top w:val="single" w:sz="4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c>
          <w:tcPr>
            <w:tcW w:w="9379" w:type="dxa"/>
          </w:tcPr>
          <w:p>
            <w:pPr>
              <w:framePr w:wrap="around" w:vAnchor="page" w:hAnchor="margin" w:x="-4" w:y="14176"/>
              <w:spacing w:before="120"/>
              <w:jc w:val="center"/>
              <w:rPr>
                <w:i w:val="1"/>
              </w:rPr>
            </w:pPr>
            <w:r>
              <w:rPr>
                <w:sz w:val="18"/>
              </w:rPr>
              <w:t xml:space="preserve">Издаје и штампа: Републички завод за статистику, Београд, Милана Ракића 5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sz w:val="18"/>
              </w:rPr>
              <w:t>Tелефон: 011 2412-922 (централа) • Tелефакс: 011 2411-260 • www.stat.gov.rs</w:t>
            </w:r>
            <w:r>
              <w:rPr>
                <w:i w:val="1"/>
                <w:sz w:val="18"/>
              </w:rPr>
              <w:br w:type="textWrapping"/>
            </w:r>
            <w:r>
              <w:rPr>
                <w:sz w:val="18"/>
              </w:rPr>
              <w:t xml:space="preserve">Одговара: проф. др Драган Вукмировић, директор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sz w:val="18"/>
              </w:rPr>
              <w:t>Tираж: 20 ● Периодика излажења: квартална</w:t>
            </w:r>
          </w:p>
        </w:tc>
      </w:tr>
    </w:tbl>
    <w:p>
      <w:pPr>
        <w:rPr>
          <w:sz w:val="16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0" w:right="850" w:top="907" w:bottom="907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6" w:space="0" w:shadow="0" w:frame="0" w:color="00000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top w:val="single" w:sz="4" w:space="0" w:shadow="0" w:frame="0"/>
            <w:right w:val="single" w:sz="6" w:space="0" w:shadow="0" w:frame="0" w:color="000000"/>
          </w:tcBorders>
        </w:tcPr>
        <w:p>
          <w:pPr>
            <w:spacing w:before="120"/>
            <w:rPr>
              <w:i w:val="1"/>
              <w:sz w:val="16"/>
            </w:rPr>
          </w:pPr>
          <w:r>
            <w:rPr>
              <w:sz w:val="16"/>
            </w:rPr>
            <w:t>СРБ ПМ12 0</w:t>
          </w:r>
        </w:p>
      </w:tc>
      <w:tc>
        <w:tcPr>
          <w:tcW w:w="5211" w:type="dxa"/>
          <w:tcBorders>
            <w:top w:val="single" w:sz="4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1"/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#</w:t>
          </w:r>
          <w:r>
            <w:rPr>
              <w:sz w:val="16"/>
            </w:rPr>
            <w:fldChar w:fldCharType="end"/>
          </w:r>
        </w:p>
      </w:tc>
    </w:tr>
  </w:tbl>
  <w:p/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6" w:space="0" w:shadow="0" w:frame="0" w:color="00000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top w:val="single" w:sz="4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1"/>
              <w:sz w:val="16"/>
            </w:rPr>
          </w:pPr>
          <w: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#</w:t>
          </w:r>
          <w:r>
            <w:rPr>
              <w:sz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shadow="0" w:frame="0"/>
            <w:left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sz w:val="16"/>
            </w:rPr>
            <w:t>СРБ045 ПМ12 010313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159846A4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2CE9FE54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3E31F389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1D9107B0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0FA28333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4CBDAD8B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47987D47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582F0A20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44223757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4537D2B4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4EE556E1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6AD3BAAE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6A337710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3934A880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67F63174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4E49645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6250707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08127C1"/>
    <w:multiLevelType w:val="multilevel"/>
    <w:lvl w:ilvl="0">
      <w:start w:val="3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sz w:val="2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7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8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0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4FAC028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1">
    <w:nsid w:val="3D59343A"/>
    <w:multiLevelType w:val="hybridMultilevel"/>
    <w:lvl w:ilvl="0" w:tplc="25297CF3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D96892D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0099165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2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4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5">
    <w:nsid w:val="459470E3"/>
    <w:multiLevelType w:val="hybridMultilevel"/>
    <w:lvl w:ilvl="0" w:tplc="6541C2C5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B9AC599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E40BE7E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4B3A34D7"/>
    <w:multiLevelType w:val="hybridMultilevel"/>
    <w:lvl w:ilvl="0" w:tplc="0730B8FD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2E3EE37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2FADDC3A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7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8">
    <w:nsid w:val="5B4A5D26"/>
    <w:multiLevelType w:val="hybridMultilevel"/>
    <w:lvl w:ilvl="0" w:tplc="2A2DEB66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4F33E32E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35AA638D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9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0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1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53E826A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2">
    <w:nsid w:val="752E255B"/>
    <w:multiLevelType w:val="multilevel"/>
    <w:lvl w:ilvl="0">
      <w:start w:val="3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sz w:val="2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24"/>
  </w:num>
  <w:num w:numId="18">
    <w:abstractNumId w:val="8"/>
  </w:num>
  <w:num w:numId="19">
    <w:abstractNumId w:val="28"/>
  </w:num>
  <w:num w:numId="20">
    <w:abstractNumId w:val="26"/>
  </w:num>
  <w:num w:numId="21">
    <w:abstractNumId w:val="12"/>
  </w:num>
  <w:num w:numId="22">
    <w:abstractNumId w:val="13"/>
  </w:num>
  <w:num w:numId="23">
    <w:abstractNumId w:val="31"/>
  </w:num>
  <w:num w:numId="24">
    <w:abstractNumId w:val="23"/>
  </w:num>
  <w:num w:numId="25">
    <w:abstractNumId w:val="20"/>
  </w:num>
  <w:num w:numId="26">
    <w:abstractNumId w:val="30"/>
  </w:num>
  <w:num w:numId="27">
    <w:abstractNumId w:val="25"/>
  </w:num>
  <w:num w:numId="28">
    <w:abstractNumId w:val="22"/>
  </w:num>
  <w:num w:numId="29">
    <w:abstractNumId w:val="16"/>
  </w:num>
  <w:num w:numId="30">
    <w:abstractNumId w:val="15"/>
  </w:num>
  <w:num w:numId="31">
    <w:abstractNumId w:val="18"/>
  </w:num>
  <w:num w:numId="32">
    <w:abstractNumId w:val="29"/>
  </w:num>
  <w:num w:numId="33">
    <w:abstractNumId w:val="11"/>
  </w:num>
  <w:num w:numId="34">
    <w:abstractNumId w:val="27"/>
  </w:num>
  <w:num w:numId="35">
    <w:abstractNumId w:val="21"/>
  </w:num>
  <w:num w:numId="36">
    <w:abstractNumId w:val="19"/>
  </w:num>
  <w:num w:numId="37">
    <w:abstractNumId w:val="10"/>
  </w:num>
  <w:num w:numId="38">
    <w:abstractNumId w:val="14"/>
  </w:num>
  <w:num w:numId="39">
    <w:abstractNumId w:val="32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link w:val="C3"/>
    <w:qFormat/>
    <w:pPr>
      <w:keepNext w:val="1"/>
      <w:spacing w:before="240" w:after="60"/>
      <w:outlineLvl w:val="0"/>
    </w:pPr>
    <w:rPr>
      <w:b w:val="1"/>
      <w:sz w:val="32"/>
    </w:rPr>
  </w:style>
  <w:style w:type="paragraph" w:styleId="P3">
    <w:name w:val="Heading 2"/>
    <w:basedOn w:val="P0"/>
    <w:next w:val="P0"/>
    <w:link w:val="C4"/>
    <w:qFormat/>
    <w:pPr>
      <w:keepNext w:val="1"/>
      <w:spacing w:before="240" w:after="60"/>
      <w:outlineLvl w:val="1"/>
    </w:pPr>
    <w:rPr>
      <w:b w:val="1"/>
      <w:i w:val="1"/>
      <w:sz w:val="28"/>
    </w:rPr>
  </w:style>
  <w:style w:type="paragraph" w:styleId="P4">
    <w:name w:val="Heading 3"/>
    <w:basedOn w:val="P0"/>
    <w:next w:val="P0"/>
    <w:link w:val="C5"/>
    <w:qFormat/>
    <w:pPr>
      <w:keepNext w:val="1"/>
      <w:spacing w:before="240" w:after="60"/>
      <w:outlineLvl w:val="2"/>
    </w:pPr>
    <w:rPr>
      <w:b w:val="1"/>
      <w:sz w:val="26"/>
    </w:rPr>
  </w:style>
  <w:style w:type="paragraph" w:styleId="P5">
    <w:name w:val="Heading 5"/>
    <w:basedOn w:val="P0"/>
    <w:next w:val="P0"/>
    <w:link w:val="C6"/>
    <w:qFormat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link w:val="C7"/>
    <w:qFormat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link w:val="C8"/>
    <w:qFormat/>
    <w:pPr>
      <w:spacing w:before="240" w:after="60"/>
      <w:outlineLvl w:val="6"/>
    </w:pPr>
    <w:rPr/>
  </w:style>
  <w:style w:type="paragraph" w:styleId="P8">
    <w:name w:val="Heading 8"/>
    <w:basedOn w:val="P0"/>
    <w:next w:val="P0"/>
    <w:link w:val="C9"/>
    <w:qFormat/>
    <w:pPr>
      <w:keepNext w:val="1"/>
      <w:jc w:val="center"/>
      <w:outlineLvl w:val="7"/>
    </w:pPr>
    <w:rPr>
      <w:b w:val="1"/>
      <w:sz w:val="26"/>
    </w:rPr>
  </w:style>
  <w:style w:type="paragraph" w:styleId="P9">
    <w:name w:val="Title"/>
    <w:basedOn w:val="P0"/>
    <w:next w:val="P9"/>
    <w:link w:val="C10"/>
    <w:qFormat/>
    <w:pPr>
      <w:spacing w:before="240" w:after="60"/>
      <w:jc w:val="center"/>
      <w:outlineLvl w:val="0"/>
    </w:pPr>
    <w:rPr>
      <w:b w:val="1"/>
      <w:sz w:val="32"/>
    </w:rPr>
  </w:style>
  <w:style w:type="paragraph" w:styleId="P10">
    <w:name w:val="Caption"/>
    <w:basedOn w:val="P0"/>
    <w:next w:val="P0"/>
    <w:qFormat/>
    <w:pPr/>
    <w:rPr>
      <w:b w:val="1"/>
    </w:rPr>
  </w:style>
  <w:style w:type="paragraph" w:styleId="P11">
    <w:name w:val="Podnaslov sopstenja"/>
    <w:basedOn w:val="P0"/>
    <w:next w:val="P11"/>
    <w:pPr>
      <w:spacing w:after="120"/>
      <w:jc w:val="center"/>
    </w:pPr>
    <w:rPr>
      <w:b w:val="1"/>
      <w:sz w:val="22"/>
    </w:rPr>
  </w:style>
  <w:style w:type="paragraph" w:styleId="P12">
    <w:name w:val="Subtitle"/>
    <w:basedOn w:val="P0"/>
    <w:next w:val="P12"/>
    <w:link w:val="C11"/>
    <w:qFormat/>
    <w:pPr>
      <w:spacing w:after="60"/>
      <w:jc w:val="center"/>
      <w:outlineLvl w:val="1"/>
    </w:pPr>
    <w:rPr/>
  </w:style>
  <w:style w:type="paragraph" w:styleId="P13">
    <w:name w:val="Naslov Metodologija i Napomena"/>
    <w:basedOn w:val="P0"/>
    <w:next w:val="P13"/>
    <w:pPr>
      <w:spacing w:before="120" w:after="240"/>
      <w:jc w:val="center"/>
    </w:pPr>
    <w:rPr>
      <w:b w:val="1"/>
    </w:rPr>
  </w:style>
  <w:style w:type="paragraph" w:styleId="P14">
    <w:name w:val="Body Text"/>
    <w:basedOn w:val="P0"/>
    <w:next w:val="P14"/>
    <w:link w:val="C12"/>
    <w:pPr>
      <w:spacing w:after="120"/>
    </w:pPr>
    <w:rPr/>
  </w:style>
  <w:style w:type="paragraph" w:styleId="P15">
    <w:name w:val="List Number"/>
    <w:basedOn w:val="P0"/>
    <w:next w:val="P15"/>
    <w:pPr>
      <w:numPr>
        <w:numId w:val="13"/>
      </w:numPr>
      <w:ind w:hanging="360" w:left="360"/>
    </w:pPr>
    <w:rPr/>
  </w:style>
  <w:style w:type="paragraph" w:styleId="P16">
    <w:name w:val="Body Text Indent"/>
    <w:basedOn w:val="P0"/>
    <w:next w:val="P16"/>
    <w:link w:val="C13"/>
    <w:pPr>
      <w:spacing w:after="120"/>
      <w:ind w:left="283"/>
    </w:pPr>
    <w:rPr/>
  </w:style>
  <w:style w:type="paragraph" w:styleId="P17">
    <w:name w:val="Body Text Indent 2"/>
    <w:basedOn w:val="P0"/>
    <w:next w:val="P17"/>
    <w:link w:val="C14"/>
    <w:pPr>
      <w:spacing w:lineRule="auto" w:line="480" w:after="120"/>
      <w:ind w:left="283"/>
    </w:pPr>
    <w:rPr/>
  </w:style>
  <w:style w:type="paragraph" w:styleId="P18">
    <w:name w:val="Body Text 3"/>
    <w:basedOn w:val="P0"/>
    <w:next w:val="P18"/>
    <w:link w:val="C15"/>
    <w:pPr>
      <w:spacing w:after="120"/>
    </w:pPr>
    <w:rPr>
      <w:sz w:val="16"/>
    </w:rPr>
  </w:style>
  <w:style w:type="paragraph" w:styleId="P19">
    <w:name w:val="Body Text Indent 3"/>
    <w:basedOn w:val="P0"/>
    <w:next w:val="P19"/>
    <w:link w:val="C16"/>
    <w:pPr>
      <w:spacing w:after="120"/>
      <w:ind w:left="283"/>
    </w:pPr>
    <w:rPr>
      <w:sz w:val="16"/>
    </w:rPr>
  </w:style>
  <w:style w:type="paragraph" w:styleId="P20">
    <w:name w:val="Balloon Text"/>
    <w:basedOn w:val="P0"/>
    <w:next w:val="P20"/>
    <w:link w:val="C17"/>
    <w:pPr/>
    <w:rPr>
      <w:rFonts w:ascii="Tahoma" w:hAnsi="Tahoma"/>
      <w:sz w:val="16"/>
    </w:rPr>
  </w:style>
  <w:style w:type="paragraph" w:styleId="P21">
    <w:name w:val="Body Text 2"/>
    <w:basedOn w:val="P0"/>
    <w:next w:val="P21"/>
    <w:link w:val="C18"/>
    <w:pPr>
      <w:spacing w:lineRule="auto" w:line="480" w:after="120"/>
    </w:pPr>
    <w:rPr/>
  </w:style>
  <w:style w:type="paragraph" w:styleId="P22">
    <w:name w:val="Normal Indent"/>
    <w:basedOn w:val="P0"/>
    <w:next w:val="P22"/>
    <w:pPr>
      <w:ind w:left="720"/>
    </w:pPr>
    <w:rPr/>
  </w:style>
  <w:style w:type="paragraph" w:styleId="P23">
    <w:name w:val="Naslov tabela"/>
    <w:basedOn w:val="P0"/>
    <w:next w:val="P23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4">
    <w:name w:val="Tabela-Zaglavlje"/>
    <w:basedOn w:val="P0"/>
    <w:next w:val="P24"/>
    <w:pPr>
      <w:jc w:val="center"/>
    </w:pPr>
    <w:rPr>
      <w:sz w:val="16"/>
    </w:rPr>
  </w:style>
  <w:style w:type="paragraph" w:styleId="P25">
    <w:name w:val="Tabela-Pretkolona"/>
    <w:basedOn w:val="P0"/>
    <w:next w:val="P25"/>
    <w:pPr/>
    <w:rPr>
      <w:sz w:val="16"/>
    </w:rPr>
  </w:style>
  <w:style w:type="paragraph" w:styleId="P26">
    <w:name w:val="Tabela-PretkolonaI"/>
    <w:basedOn w:val="P0"/>
    <w:next w:val="P26"/>
    <w:pPr/>
    <w:rPr>
      <w:i w:val="1"/>
      <w:sz w:val="16"/>
    </w:rPr>
  </w:style>
  <w:style w:type="paragraph" w:styleId="P27">
    <w:name w:val="Tabela-PretkolonaB"/>
    <w:basedOn w:val="P0"/>
    <w:next w:val="P27"/>
    <w:pPr/>
    <w:rPr>
      <w:b w:val="1"/>
      <w:sz w:val="16"/>
    </w:rPr>
  </w:style>
  <w:style w:type="paragraph" w:styleId="P28">
    <w:name w:val="Tabela-Brojevi"/>
    <w:basedOn w:val="P0"/>
    <w:next w:val="P28"/>
    <w:pPr>
      <w:jc w:val="right"/>
    </w:pPr>
    <w:rPr>
      <w:sz w:val="16"/>
    </w:rPr>
  </w:style>
  <w:style w:type="paragraph" w:styleId="P29">
    <w:name w:val="Footnote Text"/>
    <w:basedOn w:val="P0"/>
    <w:next w:val="P29"/>
    <w:link w:val="C19"/>
    <w:pPr/>
    <w:rPr/>
  </w:style>
  <w:style w:type="paragraph" w:styleId="P30">
    <w:name w:val="Tabela-BrojeviI"/>
    <w:basedOn w:val="P0"/>
    <w:next w:val="P30"/>
    <w:pPr>
      <w:jc w:val="right"/>
    </w:pPr>
    <w:rPr>
      <w:i w:val="1"/>
      <w:sz w:val="16"/>
    </w:rPr>
  </w:style>
  <w:style w:type="paragraph" w:styleId="P31">
    <w:name w:val="Tabela-BrojeviB"/>
    <w:basedOn w:val="P0"/>
    <w:next w:val="P31"/>
    <w:pPr>
      <w:jc w:val="right"/>
    </w:pPr>
    <w:rPr>
      <w:b w:val="1"/>
      <w:sz w:val="16"/>
    </w:rPr>
  </w:style>
  <w:style w:type="paragraph" w:styleId="P32">
    <w:name w:val="Fusnota-Broj1"/>
    <w:basedOn w:val="P0"/>
    <w:next w:val="P32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3">
    <w:name w:val="Fusnota-Tekst1"/>
    <w:basedOn w:val="P0"/>
    <w:next w:val="P33"/>
    <w:pPr/>
    <w:rPr>
      <w:sz w:val="14"/>
    </w:rPr>
  </w:style>
  <w:style w:type="paragraph" w:styleId="P34">
    <w:name w:val="Naslov grafikona"/>
    <w:basedOn w:val="P0"/>
    <w:next w:val="P0"/>
    <w:pPr>
      <w:framePr w:vAnchor="page" w:hAnchor="margin" w:x="-4" w:y="14176"/>
      <w:spacing w:before="120" w:after="120"/>
      <w:jc w:val="center"/>
    </w:pPr>
    <w:rPr>
      <w:b w:val="1"/>
    </w:rPr>
  </w:style>
  <w:style w:type="paragraph" w:styleId="P35">
    <w:name w:val="Footer"/>
    <w:basedOn w:val="P0"/>
    <w:next w:val="P35"/>
    <w:link w:val="C20"/>
    <w:pPr>
      <w:tabs>
        <w:tab w:val="center" w:pos="4320" w:leader="none"/>
        <w:tab w:val="right" w:pos="8640" w:leader="none"/>
      </w:tabs>
    </w:pPr>
    <w:rPr>
      <w:sz w:val="24"/>
    </w:rPr>
  </w:style>
  <w:style w:type="paragraph" w:styleId="P36">
    <w:name w:val="Header"/>
    <w:basedOn w:val="P0"/>
    <w:next w:val="P36"/>
    <w:link w:val="C21"/>
    <w:pPr>
      <w:tabs>
        <w:tab w:val="center" w:pos="4320" w:leader="none"/>
        <w:tab w:val="right" w:pos="8640" w:leader="none"/>
      </w:tabs>
    </w:pPr>
    <w:rPr/>
  </w:style>
  <w:style w:type="paragraph" w:styleId="P37">
    <w:name w:val="Car Car"/>
    <w:basedOn w:val="P0"/>
    <w:next w:val="P37"/>
    <w:pPr>
      <w:spacing w:lineRule="exact" w:line="240" w:after="160"/>
    </w:pPr>
    <w:rPr>
      <w:rFonts w:ascii="Verdana" w:hAnsi="Verdana"/>
      <w:i w:val="1"/>
    </w:rPr>
  </w:style>
  <w:style w:type="paragraph" w:styleId="P38">
    <w:name w:val="Naslov saopstenja"/>
    <w:basedOn w:val="P9"/>
    <w:next w:val="P10"/>
    <w:pPr>
      <w:spacing w:after="0"/>
    </w:pPr>
    <w:rPr>
      <w:sz w:val="24"/>
    </w:rPr>
  </w:style>
  <w:style w:type="paragraph" w:styleId="P39">
    <w:name w:val="Body Text First Indent"/>
    <w:basedOn w:val="P14"/>
    <w:next w:val="P39"/>
    <w:link w:val="C22"/>
    <w:pPr>
      <w:ind w:firstLine="210"/>
    </w:pPr>
    <w:rPr/>
  </w:style>
  <w:style w:type="paragraph" w:styleId="P40">
    <w:name w:val="Body Text First Indent 2"/>
    <w:basedOn w:val="P16"/>
    <w:next w:val="P40"/>
    <w:link w:val="C23"/>
    <w:pPr>
      <w:ind w:firstLine="210"/>
    </w:pPr>
    <w:rPr/>
  </w:style>
  <w:style w:type="paragraph" w:styleId="P41">
    <w:name w:val="Tekst Metodologija i Napomena"/>
    <w:basedOn w:val="P39"/>
    <w:next w:val="P14"/>
    <w:pPr>
      <w:spacing w:before="120" w:after="0"/>
      <w:ind w:firstLine="397"/>
      <w:jc w:val="both"/>
    </w:pPr>
    <w:rPr/>
  </w:style>
  <w:style w:type="paragraph" w:styleId="P42">
    <w:name w:val="Style Pasus + First line:  06 cm Before:  0 pt After:  0 pt"/>
    <w:basedOn w:val="P41"/>
    <w:next w:val="P42"/>
    <w:pPr>
      <w:spacing w:before="0"/>
      <w:ind w:firstLine="34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 Char Char20"/>
    <w:basedOn w:val="C0"/>
    <w:link w:val="P2"/>
    <w:rPr>
      <w:b w:val="1"/>
      <w:sz w:val="32"/>
    </w:rPr>
  </w:style>
  <w:style w:type="character" w:styleId="C4">
    <w:name w:val=" Char Char19"/>
    <w:basedOn w:val="C0"/>
    <w:link w:val="P3"/>
    <w:rPr>
      <w:b w:val="1"/>
      <w:i w:val="1"/>
      <w:sz w:val="28"/>
    </w:rPr>
  </w:style>
  <w:style w:type="character" w:styleId="C5">
    <w:name w:val=" Char Char18"/>
    <w:basedOn w:val="C0"/>
    <w:link w:val="P4"/>
    <w:rPr>
      <w:b w:val="1"/>
      <w:sz w:val="26"/>
    </w:rPr>
  </w:style>
  <w:style w:type="character" w:styleId="C6">
    <w:name w:val=" Char Char17"/>
    <w:basedOn w:val="C0"/>
    <w:link w:val="P5"/>
    <w:rPr>
      <w:b w:val="1"/>
      <w:i w:val="1"/>
      <w:sz w:val="26"/>
    </w:rPr>
  </w:style>
  <w:style w:type="character" w:styleId="C7">
    <w:name w:val=" Char Char16"/>
    <w:basedOn w:val="C0"/>
    <w:link w:val="P6"/>
    <w:rPr>
      <w:b w:val="1"/>
      <w:sz w:val="22"/>
    </w:rPr>
  </w:style>
  <w:style w:type="character" w:styleId="C8">
    <w:name w:val=" Char Char15"/>
    <w:basedOn w:val="C0"/>
    <w:link w:val="P7"/>
    <w:rPr/>
  </w:style>
  <w:style w:type="character" w:styleId="C9">
    <w:name w:val=" Char Char14"/>
    <w:basedOn w:val="C0"/>
    <w:link w:val="P8"/>
    <w:rPr>
      <w:b w:val="1"/>
      <w:sz w:val="26"/>
    </w:rPr>
  </w:style>
  <w:style w:type="character" w:styleId="C10">
    <w:name w:val=" Char Char13"/>
    <w:basedOn w:val="C0"/>
    <w:link w:val="P9"/>
    <w:rPr>
      <w:b w:val="1"/>
      <w:sz w:val="32"/>
    </w:rPr>
  </w:style>
  <w:style w:type="character" w:styleId="C11">
    <w:name w:val=" Char Char12"/>
    <w:basedOn w:val="C0"/>
    <w:link w:val="P12"/>
    <w:rPr/>
  </w:style>
  <w:style w:type="character" w:styleId="C12">
    <w:name w:val=" Char Char11"/>
    <w:basedOn w:val="C0"/>
    <w:link w:val="P14"/>
    <w:rPr/>
  </w:style>
  <w:style w:type="character" w:styleId="C13">
    <w:name w:val=" Char Char9"/>
    <w:basedOn w:val="C0"/>
    <w:link w:val="P16"/>
    <w:rPr/>
  </w:style>
  <w:style w:type="character" w:styleId="C14">
    <w:name w:val=" Char Char8"/>
    <w:basedOn w:val="C0"/>
    <w:link w:val="P17"/>
    <w:rPr/>
  </w:style>
  <w:style w:type="character" w:styleId="C15">
    <w:name w:val=" Char Char7"/>
    <w:basedOn w:val="C0"/>
    <w:link w:val="P18"/>
    <w:rPr>
      <w:sz w:val="16"/>
    </w:rPr>
  </w:style>
  <w:style w:type="character" w:styleId="C16">
    <w:name w:val=" Char Char5"/>
    <w:basedOn w:val="C0"/>
    <w:link w:val="P19"/>
    <w:rPr>
      <w:sz w:val="16"/>
    </w:rPr>
  </w:style>
  <w:style w:type="character" w:styleId="C17">
    <w:name w:val=" Char Char4"/>
    <w:basedOn w:val="C0"/>
    <w:link w:val="P20"/>
    <w:rPr>
      <w:rFonts w:ascii="Tahoma" w:hAnsi="Tahoma"/>
      <w:sz w:val="16"/>
    </w:rPr>
  </w:style>
  <w:style w:type="character" w:styleId="C18">
    <w:name w:val=" Char Char3"/>
    <w:basedOn w:val="C0"/>
    <w:link w:val="P21"/>
    <w:rPr/>
  </w:style>
  <w:style w:type="character" w:styleId="C19">
    <w:name w:val=" Char Char2"/>
    <w:basedOn w:val="C0"/>
    <w:link w:val="P29"/>
    <w:rPr/>
  </w:style>
  <w:style w:type="character" w:styleId="C20">
    <w:name w:val=" Char Char1"/>
    <w:basedOn w:val="C0"/>
    <w:link w:val="P35"/>
    <w:rPr>
      <w:sz w:val="24"/>
    </w:rPr>
  </w:style>
  <w:style w:type="character" w:styleId="C21">
    <w:name w:val=" Char Char"/>
    <w:basedOn w:val="C0"/>
    <w:link w:val="P36"/>
    <w:rPr/>
  </w:style>
  <w:style w:type="character" w:styleId="C22">
    <w:name w:val=" Char Char10"/>
    <w:basedOn w:val="C12"/>
    <w:link w:val="P39"/>
    <w:rPr/>
  </w:style>
  <w:style w:type="character" w:styleId="C23">
    <w:name w:val=" Char Char6"/>
    <w:basedOn w:val="C13"/>
    <w:link w:val="P4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rPr>
      <w:rFonts w:ascii="Arial" w:hAnsi="Arial"/>
      <w:sz w:val="20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rPr>
      <w:rFonts w:ascii="Arial" w:hAnsi="Arial"/>
      <w:sz w:val="20"/>
    </w:rPr>
    <w:tblPr/>
    <w:trPr/>
    <w:tcPr/>
  </w:style>
  <w:style w:type="table" w:styleId="T5">
    <w:name w:val="Table List 6"/>
    <w:basedOn w:val="T2"/>
    <w:rPr>
      <w:rFonts w:ascii="Arial" w:hAnsi="Arial"/>
      <w:sz w:val="20"/>
    </w:rPr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rPr>
      <w:rFonts w:ascii="Arial" w:hAnsi="Arial"/>
      <w:sz w:val="20"/>
    </w:rPr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rPr>
      <w:rFonts w:ascii="Arial" w:hAnsi="Arial"/>
      <w:sz w:val="20"/>
    </w:rPr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2013-02-27T07:57:00Z</dcterms:created>
  <cp:lastModifiedBy>Nikola Kapetanovic</cp:lastModifiedBy>
  <cp:lastPrinted>2013-02-27T08:03:00Z</cp:lastPrinted>
  <dcterms:modified xsi:type="dcterms:W3CDTF">2020-01-10T11:17:13Z</dcterms:modified>
  <cp:revision>4</cp:revision>
  <dc:title>                  </dc:title>
</cp:coreProperties>
</file>