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BA072F" Type="http://schemas.openxmlformats.org/officeDocument/2006/relationships/officeDocument" Target="/word/document.xml" /><Relationship Id="coreR44BA07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3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485"/>
        </w:trPr>
        <w:tc>
          <w:tcPr>
            <w:tcW w:w="1560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drawing>
                <wp:anchor xmlns:wp="http://schemas.openxmlformats.org/drawingml/2006/wordprocessingDrawing" simplePos="0" allowOverlap="0" behindDoc="1" layoutInCell="1" locked="0" relativeHeight="1" distL="114300" distR="11430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212090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Република Србија</w:t>
            </w:r>
          </w:p>
        </w:tc>
        <w:tc>
          <w:tcPr>
            <w:tcW w:w="268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257"/>
        </w:trPr>
        <w:tc>
          <w:tcPr>
            <w:tcW w:w="1560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left"/>
              <w:rPr>
                <w:b w:val="1"/>
              </w:rPr>
            </w:pPr>
            <w:r>
              <w:rPr>
                <w:sz w:val="20"/>
              </w:rPr>
              <w:t xml:space="preserve">  Републички завод за статистику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</w:p>
        </w:tc>
      </w:tr>
      <w:tr>
        <w:trPr>
          <w:wAfter w:w="0" w:type="dxa"/>
          <w:trHeight w:hRule="atLeast" w:val="7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atLeast" w:val="329"/>
        </w:trPr>
        <w:tc>
          <w:tcPr>
            <w:tcW w:w="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691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bookmarkStart w:id="0" w:name="broj"/>
            <w:bookmarkEnd w:id="0"/>
            <w:r>
              <w:rPr>
                <w:rFonts w:ascii="Arial" w:hAnsi="Arial"/>
                <w:sz w:val="20"/>
              </w:rPr>
              <w:t>број 029 - год. LXIII, 14.02.2013.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4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  <w:bookmarkStart w:id="1" w:name="datum"/>
            <w:bookmarkEnd w:id="1"/>
            <w:r>
              <w:rPr>
                <w:rFonts w:ascii="Arial" w:hAnsi="Arial"/>
                <w:sz w:val="20"/>
              </w:rPr>
              <w:t>СРБ029 ГР30 140213</w:t>
            </w:r>
          </w:p>
        </w:tc>
      </w:tr>
    </w:tbl>
    <w:p>
      <w:pPr>
        <w:pStyle w:val="P26"/>
        <w:spacing w:before="600"/>
      </w:pPr>
      <w:r>
        <w:t>Издате грађевинске дозволе у Републици Србији, децембар 2012.</w:t>
      </w:r>
    </w:p>
    <w:p>
      <w:pPr>
        <w:pStyle w:val="P20"/>
        <w:spacing w:before="160"/>
      </w:pPr>
      <w:r>
        <w:t>– Претходни резултати –</w:t>
      </w:r>
    </w:p>
    <w:p>
      <w:pPr>
        <w:tabs>
          <w:tab w:val="left" w:pos="1700" w:leader="none"/>
        </w:tabs>
        <w:rPr>
          <w:sz w:val="10"/>
        </w:rPr>
      </w:pPr>
      <w:r>
        <w:rPr>
          <w:sz w:val="10"/>
        </w:rPr>
        <w:tab/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>Према броју дозвола издатих у децембру 2012, пријављена је изградња 536 станова с просечном површином 70,4 m². Број станова, према издатим дозволама, мањи је за 41,2% него у децембру 2011. Од укупног броја станова у новим стамбеним зградама, 19,4% станова биће грађено у зградама с једним станом, с просечном површином 121,2 m², а 74,9% станова биће грађено у зградама с три стана и више станова, и њихова просечна површина биће знатно мања и износиће 55,5 m².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У децембру 2012. издато је 502 грађевинских дозвола, што је за 21,2% мање него у децембру претходне године. Индекс предвиђене вредности радова у децембру 2012. већи је за 96,4% у односу на децембар 2011. На повећање вредности утицала је дозвола издата за изградњу ветроелектране „Пландиште“. </w:t>
      </w:r>
    </w:p>
    <w:p>
      <w:pPr>
        <w:pStyle w:val="P27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децембру 2012. издато је 74,5% дозволa за зграде и 25,5% за остале грађевине. Ако се посматрају само зграде, 71,9% односи се на стамбене и 28,1% на нестамбене зграде, док се код осталих грађевина највећи део односи на цевоводе, комуникационе и електричне водове, 75,0%. 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Предвиђена вредност радова новоградње у децембру 2012. износи 95,2% од укупно предвиђене вредности радова. Највећа грађевинска активност, посматрано према областима, забележена је у Јужнобанатској области, 66,4% од предвиђене вредности новоградње. Следе Београдска област, 11,5%, Јужнобачка област, 8,2%, Сремска област, 2,4%, и Западнобачка област, 2,0%,  док се учешћа осталих области крећу до 1,1%.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Поред ових података корисницима стоје на располагању детаљни месечни подаци на нашем веб-сајту </w:t>
      </w:r>
      <w:r>
        <w:fldChar w:fldCharType="begin"/>
      </w:r>
      <w:r>
        <w:instrText xml:space="preserve"> HYPERLINK "http://www.stat.gov." </w:instrText>
      </w:r>
      <w:r>
        <w:fldChar w:fldCharType="separate"/>
      </w:r>
      <w:r>
        <w:rPr>
          <w:rStyle w:val="C2"/>
        </w:rPr>
        <w:t>www.stat.gov.rs</w:t>
      </w:r>
      <w:r>
        <w:rPr>
          <w:rStyle w:val="C2"/>
        </w:rPr>
        <w:fldChar w:fldCharType="end"/>
      </w:r>
      <w:r>
        <w:t>.</w:t>
      </w:r>
    </w:p>
    <w:p>
      <w:pPr>
        <w:pStyle w:val="P9"/>
      </w:pPr>
      <w:r>
        <w:drawing>
          <wp:inline xmlns:wp="http://schemas.openxmlformats.org/drawingml/2006/wordprocessingDrawing">
            <wp:extent cx="5847715" cy="35331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35331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I–XII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I–XII 2011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XI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XII 2011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79,1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141,7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196,4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73,5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115,1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61,3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67,4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63,6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58,6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64,7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68,8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88,4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557,4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330,2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38,7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58,8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47,1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64,3</w:t>
            </w:r>
          </w:p>
        </w:tc>
        <w:tc>
          <w:tcPr>
            <w:tcW w:w="1533" w:type="dxa"/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51,3</w:t>
            </w:r>
          </w:p>
        </w:tc>
      </w:tr>
    </w:tbl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 оквиру овог истраживања, појмом „грађевинска дозвола“ обједињују се три документа које издају надлежни органи: грађевинска дозвола за изградњу грађевинског објекта, пријава почетка радова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Грађевине</w:t>
      </w:r>
      <w:r>
        <w:rPr>
          <w:rFonts w:ascii="Arial" w:hAnsi="Arial"/>
          <w:sz w:val="19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 итд., тј. радови који служе у пољопривредне сврхе не спадају у грађевинске радове.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Зграде </w:t>
      </w:r>
      <w:r>
        <w:rPr>
          <w:rFonts w:ascii="Arial" w:hAnsi="Arial"/>
          <w:sz w:val="19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Зградама се сматрају и грађевине које имају кров,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Остале грађевине</w:t>
      </w:r>
      <w:r>
        <w:rPr>
          <w:rFonts w:ascii="Arial" w:hAnsi="Arial"/>
          <w:sz w:val="19"/>
        </w:rPr>
        <w:t xml:space="preserve"> јесу све грађевине које нису зграде: железнице, путеви, мостови, ауто-путеви, аеродромске стазе, базени итд.</w:t>
      </w:r>
    </w:p>
    <w:p>
      <w:pPr>
        <w:pStyle w:val="P14"/>
        <w:ind w:firstLine="397"/>
        <w:rPr>
          <w:sz w:val="19"/>
        </w:rPr>
      </w:pPr>
      <w:r>
        <w:rPr>
          <w:b w:val="1"/>
          <w:sz w:val="19"/>
        </w:rPr>
        <w:t>Бруто површина зграде (</w:t>
      </w:r>
      <w:r>
        <w:rPr>
          <w:b w:val="1"/>
          <w:sz w:val="19"/>
        </w:rPr>
        <w:t>m²</w:t>
      </w:r>
      <w:r>
        <w:rPr>
          <w:b w:val="1"/>
          <w:sz w:val="19"/>
        </w:rPr>
        <w:t xml:space="preserve">) </w:t>
      </w:r>
      <w:r>
        <w:rPr>
          <w:sz w:val="19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Корисна површина стана</w:t>
      </w:r>
      <w:r>
        <w:rPr>
          <w:rFonts w:ascii="Arial" w:hAnsi="Arial"/>
          <w:sz w:val="19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Предвиђена вредност радова </w:t>
      </w:r>
      <w:r>
        <w:rPr>
          <w:rFonts w:ascii="Arial" w:hAnsi="Arial"/>
          <w:sz w:val="19"/>
        </w:rPr>
        <w:t>представља планирану вредност радова на грађевини.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Детаљна методолошка објашњења овог истраживања налазе се у едицији РЗС-а „Методологије и стандарди“: Месечна истраживања о грађевинским дозволама, свеска број 22, и Класификација врста грађевина, свеска број 15.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134" w:right="1134" w:top="972" w:bottom="768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859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P13"/>
      <w:jc w:val="right"/>
    </w:pPr>
    <w:r>
      <w:rPr>
        <w:rFonts w:ascii="Arial" w:hAnsi="Arial"/>
        <w:sz w:val="16"/>
      </w:rPr>
      <w:t>СРБ029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ГР30 140213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002EA14B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C3D114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DA2B6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AF0C6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7D9B2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68F1B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E8AB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FC74C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A60F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5E11E1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0FAB4145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761CF64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5273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D367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786AF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7514C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E651C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5C7B74DD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002B19B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0493F1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DD5432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46AD2F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CBED60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C5E97A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93572E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A81B8C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33B4A9BD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30347C7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75A37F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A82792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D5438F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47A6DE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BA8318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A4CBD0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92FBF2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374E2ADD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A9944F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CC5472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833CF0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89853E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85E33B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A06AA3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6B4939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6A44CF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3B6DEC0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C864A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C9C86C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3A8FBB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EC6D53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CF2DF8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C6F582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E0A6F5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CB112A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3330F80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06079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C3CE5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7E3C3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7B94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799A8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DFBE25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DB447F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B42FE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62A23DC5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252396D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0BDA95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B30D35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A74C5C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D05B6E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EA3A8E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62A411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4DBD0C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77210A9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447A6C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792C5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7EB0C6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3CE98E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DB6405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61A890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0F0AB9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46D0F3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3DE53301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600BAE0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16DA73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A67587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E13210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F49C99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7C95B3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877397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9EC448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4D6BF0D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7CFEF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1DB02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4BAC9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37EDB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E40BE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AA04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646D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90FCC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35E6A4AB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703D18A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A539ED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F96D0E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50553C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89C952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8170FB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54E4D8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9C2C99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351E4DD6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1B45ECA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5C91E09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0D8E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63B43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8AE93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0C8B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016B05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A899F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4688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Body Text First Indent"/>
    <w:basedOn w:val="P12"/>
    <w:next w:val="P24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5">
    <w:name w:val="Comment Subject"/>
    <w:basedOn w:val="P19"/>
    <w:next w:val="P19"/>
    <w:pPr/>
    <w:rPr>
      <w:b w:val="1"/>
    </w:rPr>
  </w:style>
  <w:style w:type="paragraph" w:styleId="P26">
    <w:name w:val="Naslov saopstenja"/>
    <w:basedOn w:val="P22"/>
    <w:next w:val="P23"/>
    <w:pPr>
      <w:spacing w:after="0"/>
    </w:pPr>
    <w:rPr>
      <w:sz w:val="24"/>
    </w:rPr>
  </w:style>
  <w:style w:type="paragraph" w:styleId="P27">
    <w:name w:val="Tekst Metodologija i Napomena"/>
    <w:basedOn w:val="P24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2012-09-12T10:54:00Z</dcterms:created>
  <cp:lastModifiedBy>Nikola Kapetanovic</cp:lastModifiedBy>
  <cp:lastPrinted>2013-02-14T10:19:00Z</cp:lastPrinted>
  <dcterms:modified xsi:type="dcterms:W3CDTF">2020-01-10T11:17:13Z</dcterms:modified>
  <cp:revision>54</cp:revision>
  <dc:title>Република Србија</dc:title>
</cp:coreProperties>
</file>