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FD4C2A" Type="http://schemas.openxmlformats.org/officeDocument/2006/relationships/officeDocument" Target="/word/document.xml" /><Relationship Id="coreR7FD4C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866" w:type="dxa"/>
        <w:jc w:val="center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2506"/>
        </w:trPr>
        <w:tc>
          <w:tcPr>
            <w:tcW w:w="10108" w:type="dxa"/>
            <w:shd w:val="pct10" w:color="auto" w:fill="auto"/>
          </w:tcPr>
          <w:p>
            <w:pPr>
              <w:spacing w:before="40"/>
              <w:jc w:val="center"/>
              <w:rPr>
                <w:rFonts w:ascii="A Cirilica Helvetica" w:hAnsi="A Cirilica Helvetica"/>
                <w:sz w:val="28"/>
              </w:rPr>
            </w:pPr>
            <w:r>
              <w:rPr>
                <w:sz w:val="28"/>
              </w:rPr>
              <w:t>РЕПУБЛИКА СРБИЈА</w:t>
            </w:r>
            <w:r>
              <w:rPr>
                <w:rFonts w:ascii="A Cirilica Helvetica" w:hAnsi="A Cirilica Helvetica"/>
                <w:sz w:val="28"/>
              </w:rPr>
              <w:t xml:space="preserve"> </w:t>
            </w:r>
            <w:r>
              <w:rPr>
                <w:rFonts w:ascii="Arial Black" w:hAnsi="Arial Black"/>
                <w:sz w:val="28"/>
              </w:rPr>
              <w:t>─</w:t>
            </w:r>
            <w:r>
              <w:rPr>
                <w:rFonts w:ascii="A Cirilica Helvetica" w:hAnsi="A Cirilica Helvetica"/>
                <w:sz w:val="28"/>
              </w:rPr>
              <w:t xml:space="preserve"> </w:t>
            </w:r>
            <w:r>
              <w:rPr>
                <w:sz w:val="28"/>
              </w:rPr>
              <w:t>РЕПУБЛИЧКИ ЗАВОД ЗА СТАТИСТИКУ</w:t>
            </w:r>
          </w:p>
          <w:p>
            <w:pPr>
              <w:jc w:val="center"/>
              <w:rPr>
                <w:sz w:val="46"/>
              </w:rPr>
            </w:pPr>
          </w:p>
          <w:p>
            <w:pPr>
              <w:jc w:val="center"/>
              <w:rPr>
                <w:rFonts w:ascii="Times New Roman" w:hAnsi="Times New Roman"/>
                <w:sz w:val="76"/>
              </w:rPr>
            </w:pPr>
            <w:r>
              <w:rPr>
                <w:rFonts w:ascii="BroadwayCirilica" w:hAnsi="BroadwayCirilica"/>
                <w:sz w:val="76"/>
              </w:rPr>
              <w:t>RADNI DOKUMENT</w:t>
            </w:r>
          </w:p>
          <w:p>
            <w:pPr>
              <w:jc w:val="center"/>
              <w:rPr>
                <w:b w:val="1"/>
                <w:sz w:val="40"/>
              </w:rPr>
            </w:pPr>
            <w:r>
              <w:rPr>
                <w:sz w:val="40"/>
              </w:rPr>
              <w:t xml:space="preserve"> 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T2"/>
        <w:tblW w:w="0" w:type="auto"/>
        <w:jc w:val="right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969" w:type="dxa"/>
          </w:tcPr>
          <w:p>
            <w:pPr>
              <w:rPr>
                <w:rFonts w:ascii="TimesRomanBold" w:hAnsi="TimesRomanBold"/>
                <w:sz w:val="22"/>
              </w:rPr>
            </w:pPr>
          </w:p>
        </w:tc>
        <w:tc>
          <w:tcPr>
            <w:tcW w:w="5670" w:type="dxa"/>
          </w:tcPr>
          <w:p>
            <w:pPr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ISSN 1820 </w:t>
            </w:r>
            <w:r>
              <w:rPr>
                <w:b w:val="1"/>
                <w:sz w:val="22"/>
              </w:rPr>
              <w:t>–</w:t>
            </w:r>
            <w:r>
              <w:rPr>
                <w:b w:val="1"/>
                <w:sz w:val="22"/>
              </w:rPr>
              <w:t xml:space="preserve"> 0141</w:t>
            </w:r>
            <w:r>
              <w:rPr>
                <w:b w:val="1"/>
                <w:sz w:val="22"/>
              </w:rPr>
              <w:t xml:space="preserve"> </w:t>
            </w:r>
          </w:p>
        </w:tc>
      </w:tr>
    </w:tbl>
    <w:p>
      <w:pPr>
        <w:jc w:val="right"/>
        <w:rPr>
          <w:rFonts w:ascii="TimesRomanBold" w:hAnsi="TimesRomanBold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rFonts w:ascii="Times New Roman" w:hAnsi="Times New Roman"/>
          <w:i w:val="1"/>
        </w:rPr>
      </w:pPr>
    </w:p>
    <w:p>
      <w:pPr>
        <w:rPr>
          <w:b w:val="1"/>
        </w:rPr>
      </w:pPr>
    </w:p>
    <w:p>
      <w:pPr>
        <w:pStyle w:val="P11"/>
        <w:rPr>
          <w:sz w:val="22"/>
        </w:rPr>
      </w:pPr>
    </w:p>
    <w:p>
      <w:pPr>
        <w:pStyle w:val="P11"/>
        <w:rPr>
          <w:rFonts w:ascii="Arial" w:hAnsi="Arial"/>
          <w:sz w:val="50"/>
        </w:rPr>
      </w:pPr>
      <w:r>
        <w:rPr>
          <w:rFonts w:ascii="Arial" w:hAnsi="Arial"/>
          <w:sz w:val="50"/>
        </w:rPr>
        <w:t>Предузећа у Републици Србији,</w:t>
      </w:r>
    </w:p>
    <w:p>
      <w:pPr>
        <w:pStyle w:val="P11"/>
        <w:rPr>
          <w:rFonts w:ascii="Arial" w:hAnsi="Arial"/>
          <w:sz w:val="50"/>
        </w:rPr>
      </w:pPr>
      <w:r>
        <w:rPr>
          <w:rFonts w:ascii="Arial" w:hAnsi="Arial"/>
          <w:sz w:val="50"/>
        </w:rPr>
        <w:t xml:space="preserve">према величини, 2012. </w:t>
      </w:r>
    </w:p>
    <w:p>
      <w:pPr>
        <w:pStyle w:val="P11"/>
        <w:rPr>
          <w:sz w:val="22"/>
        </w:rPr>
      </w:pPr>
    </w:p>
    <w:p>
      <w:pPr>
        <w:pStyle w:val="P11"/>
        <w:rPr>
          <w:rFonts w:ascii="Arial" w:hAnsi="Arial"/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rFonts w:ascii="Times New Roman" w:hAnsi="Times New Roman"/>
          <w:sz w:val="22"/>
        </w:rPr>
      </w:pPr>
    </w:p>
    <w:p>
      <w:pPr>
        <w:pStyle w:val="P11"/>
        <w:rPr>
          <w:sz w:val="22"/>
        </w:rPr>
      </w:pPr>
    </w:p>
    <w:p>
      <w:pPr>
        <w:pStyle w:val="P11"/>
        <w:rPr>
          <w:sz w:val="22"/>
        </w:rPr>
      </w:pPr>
    </w:p>
    <w:tbl>
      <w:tblPr>
        <w:tblStyle w:val="T2"/>
        <w:tblW w:w="0" w:type="auto"/>
        <w:jc w:val="center"/>
        <w:tblInd w:w="108" w:type="dxa"/>
        <w:shd w:val="clear" w:fill="E0E0E0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1683" w:type="dxa"/>
            <w:shd w:val="clear" w:color="auto" w:fill="E0E0E0"/>
            <w:vAlign w:val="center"/>
          </w:tcPr>
          <w:p>
            <w:pPr>
              <w:pStyle w:val="P11"/>
              <w:spacing w:before="60" w:after="80"/>
              <w:rPr>
                <w:rFonts w:ascii="A Cirilica Helvetica" w:hAnsi="A Cirilica Helvetica"/>
                <w:sz w:val="22"/>
              </w:rPr>
            </w:pPr>
            <w:r>
              <w:rPr>
                <w:rFonts w:ascii="Arial" w:hAnsi="Arial"/>
                <w:sz w:val="22"/>
              </w:rPr>
              <w:t>Год.</w:t>
            </w:r>
            <w:r>
              <w:rPr>
                <w:rFonts w:ascii="A Cirilica Helvetica" w:hAnsi="A Cirilica Helvetica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─</w:t>
            </w:r>
            <w:r>
              <w:rPr>
                <w:rFonts w:ascii="A Cirilica Helvetica" w:hAnsi="A Cirilica Helvetica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XLIX</w:t>
            </w:r>
          </w:p>
        </w:tc>
        <w:tc>
          <w:tcPr>
            <w:tcW w:w="6581" w:type="dxa"/>
            <w:shd w:val="clear" w:color="auto" w:fill="E0E0E0"/>
            <w:vAlign w:val="center"/>
          </w:tcPr>
          <w:p>
            <w:pPr>
              <w:pStyle w:val="P11"/>
              <w:spacing w:before="6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Београд, август 2013. </w:t>
            </w:r>
          </w:p>
        </w:tc>
        <w:tc>
          <w:tcPr>
            <w:tcW w:w="1767" w:type="dxa"/>
            <w:shd w:val="clear" w:color="auto" w:fill="E0E0E0"/>
            <w:vAlign w:val="center"/>
          </w:tcPr>
          <w:p>
            <w:pPr>
              <w:pStyle w:val="P11"/>
              <w:spacing w:before="6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Број 82</w:t>
            </w:r>
          </w:p>
        </w:tc>
      </w:tr>
    </w:tbl>
    <w:p>
      <w:pPr>
        <w:rPr>
          <w:rFonts w:ascii="CHelvPlain" w:hAnsi="CHelvPlain"/>
          <w:i w:val="1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9"/>
        <w:spacing w:before="0"/>
        <w:rPr>
          <w:rFonts w:ascii="Arial" w:hAnsi="Arial"/>
          <w:b w:val="1"/>
        </w:rPr>
      </w:pPr>
      <w:r>
        <w:rPr>
          <w:rFonts w:ascii="Arial" w:hAnsi="Arial"/>
          <w:b w:val="1"/>
        </w:rPr>
        <w:t>Издавач:</w:t>
      </w:r>
    </w:p>
    <w:p>
      <w:pPr>
        <w:pStyle w:val="P19"/>
        <w:spacing w:before="0"/>
        <w:rPr>
          <w:rFonts w:ascii="Arial" w:hAnsi="Arial"/>
        </w:rPr>
      </w:pPr>
      <w:r>
        <w:rPr>
          <w:rFonts w:ascii="Arial" w:hAnsi="Arial"/>
        </w:rPr>
        <w:t xml:space="preserve">Републички завод за статистику </w:t>
      </w:r>
    </w:p>
    <w:p>
      <w:pPr>
        <w:pStyle w:val="P19"/>
        <w:spacing w:before="0"/>
        <w:rPr>
          <w:rFonts w:ascii="Arial" w:hAnsi="Arial"/>
        </w:rPr>
      </w:pPr>
      <w:r>
        <w:rPr>
          <w:rFonts w:ascii="Arial" w:hAnsi="Arial"/>
        </w:rPr>
        <w:t>Београд, Милана Ракића бр. 5</w:t>
      </w:r>
    </w:p>
    <w:p>
      <w:pPr>
        <w:pStyle w:val="P19"/>
        <w:spacing w:before="0"/>
        <w:rPr>
          <w:rFonts w:ascii="Arial" w:hAnsi="Arial"/>
        </w:rPr>
      </w:pPr>
    </w:p>
    <w:p>
      <w:pPr>
        <w:pStyle w:val="P19"/>
        <w:spacing w:before="0"/>
        <w:rPr>
          <w:rFonts w:ascii="Arial" w:hAnsi="Arial"/>
          <w:b w:val="1"/>
        </w:rPr>
      </w:pPr>
      <w:r>
        <w:rPr>
          <w:rFonts w:ascii="Arial" w:hAnsi="Arial"/>
          <w:b w:val="1"/>
        </w:rPr>
        <w:t>За издавача:</w:t>
      </w:r>
    </w:p>
    <w:p>
      <w:pPr>
        <w:pStyle w:val="P19"/>
        <w:spacing w:before="0"/>
        <w:rPr>
          <w:rFonts w:ascii="Arial" w:hAnsi="Arial"/>
        </w:rPr>
      </w:pPr>
      <w:r>
        <w:rPr>
          <w:rFonts w:ascii="Arial" w:hAnsi="Arial"/>
        </w:rPr>
        <w:t>Проф. др Драган Вукмировић, директор</w:t>
      </w: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9"/>
        <w:rPr>
          <w:rFonts w:ascii="Arial" w:hAnsi="Arial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tbl>
      <w:tblPr>
        <w:tblStyle w:val="T3"/>
        <w:tblW w:w="0" w:type="auto"/>
        <w:jc w:val="center"/>
        <w:tblLayout w:type="autofit"/>
      </w:tblPr>
      <w:tblGrid/>
      <w:tr>
        <w:tc>
          <w:tcPr>
            <w:tcW w:w="6804" w:type="dxa"/>
            <w:vAlign w:val="center"/>
          </w:tcPr>
          <w:p>
            <w:pPr>
              <w:spacing w:before="120" w:after="120"/>
              <w:jc w:val="center"/>
            </w:pPr>
            <w:r>
              <w:t>Приликом коришћења података објављених у овој публикацији обавезно је навођење извора.</w:t>
            </w:r>
          </w:p>
        </w:tc>
      </w:tr>
    </w:tbl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  <w:r>
        <w:rPr>
          <w:b w:val="1"/>
          <w:sz w:val="22"/>
        </w:rPr>
        <w:t>Садржај</w:t>
      </w:r>
    </w:p>
    <w:p>
      <w:pPr>
        <w:jc w:val="center"/>
        <w:rPr>
          <w:b w:val="1"/>
          <w:sz w:val="22"/>
        </w:rPr>
      </w:pPr>
    </w:p>
    <w:p>
      <w:pPr>
        <w:jc w:val="center"/>
        <w:rPr>
          <w:b w:val="1"/>
          <w:sz w:val="22"/>
        </w:rPr>
      </w:pPr>
    </w:p>
    <w:p>
      <w:pPr>
        <w:pStyle w:val="P1"/>
        <w:tabs>
          <w:tab w:val="right" w:pos="9639" w:leader="dot"/>
        </w:tabs>
        <w:spacing w:before="0" w:after="0"/>
        <w:rPr>
          <w:b w:val="1"/>
          <w:sz w:val="20"/>
        </w:rPr>
      </w:pPr>
    </w:p>
    <w:p>
      <w:pPr>
        <w:tabs>
          <w:tab w:val="right" w:pos="9639" w:leader="dot"/>
        </w:tabs>
        <w:spacing w:before="60"/>
      </w:pPr>
    </w:p>
    <w:p>
      <w:pPr>
        <w:tabs>
          <w:tab w:val="right" w:pos="9639" w:leader="dot"/>
        </w:tabs>
        <w:spacing w:before="60"/>
      </w:pPr>
      <w:r>
        <w:t xml:space="preserve">Методолошка објашњења </w:t>
        <w:tab/>
        <w:t xml:space="preserve"> 5</w:t>
      </w:r>
    </w:p>
    <w:p>
      <w:pPr>
        <w:tabs>
          <w:tab w:val="right" w:pos="9639" w:leader="dot"/>
        </w:tabs>
        <w:spacing w:before="60"/>
      </w:pPr>
    </w:p>
    <w:p>
      <w:pPr>
        <w:tabs>
          <w:tab w:val="right" w:pos="9639" w:leader="dot"/>
        </w:tabs>
        <w:spacing w:before="60"/>
      </w:pPr>
      <w:r>
        <w:t xml:space="preserve">(1) Број предузећа према њиховој величини </w:t>
        <w:tab/>
        <w:t xml:space="preserve"> 14</w:t>
      </w:r>
    </w:p>
    <w:p>
      <w:pPr>
        <w:tabs>
          <w:tab w:val="right" w:pos="9639" w:leader="dot"/>
        </w:tabs>
        <w:spacing w:before="60"/>
      </w:pPr>
      <w:r>
        <w:t xml:space="preserve">(2) Број запослених према величини предузећа </w:t>
        <w:tab/>
        <w:t xml:space="preserve"> 14</w:t>
      </w:r>
    </w:p>
    <w:p>
      <w:pPr>
        <w:tabs>
          <w:tab w:val="right" w:pos="9639" w:leader="dot"/>
        </w:tabs>
        <w:spacing w:before="60"/>
      </w:pPr>
      <w:r>
        <w:t xml:space="preserve">(3) Остварени промет према величини предузећа </w:t>
        <w:tab/>
        <w:t xml:space="preserve"> 14</w:t>
      </w:r>
    </w:p>
    <w:p>
      <w:pPr>
        <w:tabs>
          <w:tab w:val="right" w:pos="9639" w:leader="dot"/>
        </w:tabs>
        <w:spacing w:before="60"/>
      </w:pPr>
      <w:r>
        <w:t xml:space="preserve">(4) Бруто додата вредност према величини предузећа </w:t>
        <w:tab/>
        <w:t xml:space="preserve"> 15</w:t>
      </w:r>
    </w:p>
    <w:p>
      <w:pPr>
        <w:tabs>
          <w:tab w:val="right" w:pos="9639" w:leader="dot"/>
        </w:tabs>
      </w:pPr>
    </w:p>
    <w:p>
      <w:pPr>
        <w:tabs>
          <w:tab w:val="right" w:pos="9639" w:leader="dot"/>
        </w:tabs>
      </w:pPr>
      <w:r>
        <w:t xml:space="preserve">Закључак </w:t>
        <w:tab/>
        <w:t xml:space="preserve"> 15</w:t>
      </w:r>
    </w:p>
    <w:p/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64" w:after="120"/>
        <w:rPr>
          <w:b w:val="1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spacing w:lineRule="auto" w:line="228"/>
        <w:jc w:val="center"/>
        <w:rPr>
          <w:b w:val="1"/>
          <w:sz w:val="28"/>
        </w:rPr>
      </w:pPr>
    </w:p>
    <w:p>
      <w:pPr>
        <w:jc w:val="center"/>
        <w:rPr>
          <w:b w:val="1"/>
          <w:sz w:val="28"/>
        </w:rPr>
      </w:pP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  <w:r>
        <w:rPr>
          <w:b w:val="1"/>
          <w:sz w:val="24"/>
        </w:rPr>
        <w:t>Предузећа у Републици Србији,</w:t>
      </w:r>
      <w:r>
        <w:rPr>
          <w:b w:val="1"/>
          <w:sz w:val="24"/>
        </w:rPr>
        <w:t xml:space="preserve"> </w:t>
      </w:r>
    </w:p>
    <w:p>
      <w:pPr>
        <w:jc w:val="center"/>
        <w:rPr>
          <w:b w:val="1"/>
          <w:sz w:val="24"/>
        </w:rPr>
      </w:pPr>
      <w:r>
        <w:rPr>
          <w:b w:val="1"/>
          <w:sz w:val="24"/>
        </w:rPr>
        <w:t>према величини</w:t>
      </w:r>
      <w:r>
        <w:rPr>
          <w:b w:val="1"/>
          <w:sz w:val="24"/>
        </w:rPr>
        <w:t xml:space="preserve">, </w:t>
      </w:r>
      <w:r>
        <w:rPr>
          <w:b w:val="1"/>
          <w:sz w:val="24"/>
        </w:rPr>
        <w:t>2012</w:t>
      </w:r>
      <w:r>
        <w:rPr>
          <w:b w:val="1"/>
          <w:sz w:val="24"/>
        </w:rPr>
        <w:t>.</w:t>
      </w:r>
    </w:p>
    <w:p>
      <w:pPr>
        <w:pStyle w:val="P1"/>
        <w:spacing w:before="480"/>
        <w:jc w:val="center"/>
        <w:rPr>
          <w:sz w:val="22"/>
        </w:rPr>
      </w:pPr>
      <w:r>
        <w:rPr>
          <w:sz w:val="22"/>
        </w:rPr>
        <w:t>Методолошка објашњења</w:t>
      </w:r>
    </w:p>
    <w:p>
      <w:pPr>
        <w:rPr>
          <w:b w:val="1"/>
          <w:sz w:val="22"/>
        </w:rPr>
      </w:pPr>
    </w:p>
    <w:p>
      <w:pPr>
        <w:spacing w:before="120" w:after="120"/>
        <w:ind w:firstLine="397"/>
        <w:jc w:val="both"/>
      </w:pPr>
      <w:r>
        <w:t>Уважавајући захтеве све већег броја корисника, а у настојању да свој рад прилагоди међународним препорукама и стандардима, Републички завод за статистику Србије наставља да објављује изабране макроекономске показатеље за предузећа, према њиховој величини. Праћењем је обухваћен нефинансијски институционални сектор по методологији SNA, а на бази административног извора података – завршних рачуна предузећа (обрађених, почев од 2009. године, од стране Агенције за привредне регистре).</w:t>
      </w:r>
    </w:p>
    <w:p>
      <w:pPr>
        <w:spacing w:before="120" w:after="120"/>
        <w:ind w:firstLine="397"/>
        <w:jc w:val="both"/>
      </w:pPr>
      <w:r>
        <w:t xml:space="preserve">Резултати обраде индивидуалних годишњих финансијских извештаја (завршних рачуна) за привредна друштва и задруге с територије Републике Србије овде су дати </w:t>
      </w:r>
      <w:r>
        <w:rPr>
          <w:b w:val="1"/>
        </w:rPr>
        <w:t>са становишта поделе на микро, мала, средња и велика предузећа</w:t>
      </w:r>
      <w:r>
        <w:t xml:space="preserve">. Упоредо се сагледавају: (1) </w:t>
      </w:r>
      <w:r>
        <w:rPr>
          <w:b w:val="1"/>
        </w:rPr>
        <w:t>број предузећа</w:t>
      </w:r>
      <w:r>
        <w:t xml:space="preserve">, (2) </w:t>
      </w:r>
      <w:r>
        <w:rPr>
          <w:b w:val="1"/>
        </w:rPr>
        <w:t>број запослених</w:t>
      </w:r>
      <w:r>
        <w:t xml:space="preserve">, (3) </w:t>
      </w:r>
      <w:r>
        <w:rPr>
          <w:b w:val="1"/>
        </w:rPr>
        <w:t xml:space="preserve">остварени промет </w:t>
      </w:r>
      <w:r>
        <w:t xml:space="preserve">и (4) </w:t>
      </w:r>
      <w:r>
        <w:rPr>
          <w:b w:val="1"/>
        </w:rPr>
        <w:t>бруто додата вредност</w:t>
      </w:r>
      <w:r>
        <w:t xml:space="preserve">. Наведена обележја приказана су према величини предузећа одређеној – у складу с међународним препорукама – само  на основу броја запослених, и то на следећи начин: 0–9 (микро), 10–49 (мала), 50–249 (средња), 250 и више (велика). Напомињемо да су, с друге стране, у публикацијама институција овлашћених за прикупљање и обраду финансијских извештаја (раније Народне банке Србије, сада Агенције за привредне регистре) у примени три критеријума за разврставање, односно утврђивање величине предузећа – у складу са Законом о рачуноводству и ревизији. </w:t>
      </w:r>
    </w:p>
    <w:p>
      <w:pPr>
        <w:spacing w:before="120" w:after="120"/>
        <w:ind w:firstLine="397"/>
        <w:jc w:val="both"/>
      </w:pPr>
      <w:r>
        <w:t xml:space="preserve">У складу са новом територијалном поделом и Класификацијом делатности (2010), подаци се са становишта територије исказују до нивоа региона – НСТЈ 2 Номенклатуре статистичких територијалних јединица, а по делатностима на нивоу сектора Класификације делатности (2010): </w:t>
      </w:r>
    </w:p>
    <w:p>
      <w:pPr>
        <w:rPr>
          <w:sz w:val="10"/>
        </w:rPr>
      </w:pPr>
    </w:p>
    <w:tbl>
      <w:tblPr>
        <w:tblStyle w:val="T3"/>
        <w:tblW w:w="8533" w:type="dxa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Пољопривреда, шумарство и рибарство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Рударство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Прерађивачка индустрија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Снaбдeвaње електричном енергијом, гасом и паром 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Снабдевање водом и управљање отпадним водама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Грађевинарство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 xml:space="preserve">Трговина на велико и мало и поправка моторних возила 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Саобраћај и складиштење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Услуге смештаја и исхране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color w:val="000000"/>
                <w:sz w:val="18"/>
              </w:rPr>
              <w:t>Информисање и комуникације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K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Финансијске делатности и делатност осигурања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Пословање некретнинама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Стручне, научне, иновационе и техничке делатности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Административне и помоћне услужне делатности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Државна управа и обавезно социјално осигурање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Образовање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Q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Здравствена и социјална заштита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Уметност, забава и рекреација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7918" w:type="dxa"/>
          </w:tcPr>
          <w:p>
            <w:pPr>
              <w:jc w:val="both"/>
              <w:rPr>
                <w:sz w:val="18"/>
              </w:rPr>
            </w:pPr>
            <w:r>
              <w:rPr>
                <w:sz w:val="18"/>
              </w:rPr>
              <w:t>Остале услужне делатности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Делатност домаћинства као послодавца</w:t>
            </w:r>
          </w:p>
        </w:tc>
      </w:tr>
      <w:tr>
        <w:trPr>
          <w:wAfter w:w="0" w:type="dxa"/>
        </w:trPr>
        <w:tc>
          <w:tcPr>
            <w:tcW w:w="615" w:type="dxa"/>
            <w:vAlign w:val="bottom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7918" w:type="dxa"/>
          </w:tcPr>
          <w:p>
            <w:pPr>
              <w:rPr>
                <w:sz w:val="18"/>
              </w:rPr>
            </w:pPr>
            <w:r>
              <w:rPr>
                <w:sz w:val="18"/>
              </w:rPr>
              <w:t>Делатност екстериторијалних организација и тела</w:t>
            </w:r>
          </w:p>
        </w:tc>
      </w:tr>
    </w:tbl>
    <w:p>
      <w:pPr>
        <w:ind w:firstLine="720"/>
        <w:jc w:val="both"/>
      </w:pPr>
    </w:p>
    <w:p>
      <w:pPr>
        <w:jc w:val="both"/>
      </w:pPr>
      <w:r>
        <w:t>Обележја су дефинисана на следећи начин:</w:t>
      </w:r>
    </w:p>
    <w:p>
      <w:pPr>
        <w:numPr>
          <w:ilvl w:val="0"/>
          <w:numId w:val="16"/>
        </w:numPr>
        <w:jc w:val="both"/>
      </w:pPr>
      <w:r>
        <w:rPr>
          <w:i w:val="1"/>
        </w:rPr>
        <w:t>број запослених</w:t>
      </w:r>
      <w:r>
        <w:t xml:space="preserve"> као просек израчунат на основу стања крајем сваког месеца у извештајној години;</w:t>
      </w:r>
    </w:p>
    <w:p>
      <w:pPr>
        <w:numPr>
          <w:ilvl w:val="0"/>
          <w:numId w:val="16"/>
        </w:numPr>
        <w:jc w:val="both"/>
      </w:pPr>
      <w:r>
        <w:rPr>
          <w:i w:val="1"/>
        </w:rPr>
        <w:t>остварени промет</w:t>
      </w:r>
      <w:r>
        <w:t xml:space="preserve"> као приходи од продаје (како робе, тако и производа и услуга);</w:t>
      </w:r>
    </w:p>
    <w:p>
      <w:pPr>
        <w:numPr>
          <w:ilvl w:val="0"/>
          <w:numId w:val="16"/>
        </w:numPr>
        <w:jc w:val="both"/>
      </w:pPr>
      <w:r>
        <w:rPr>
          <w:i w:val="1"/>
        </w:rPr>
        <w:t>бруто додата вредност</w:t>
      </w:r>
      <w:r>
        <w:t xml:space="preserve"> (у базним ценама) као разлика између аутпута и међуфазне потрошње.</w:t>
      </w:r>
    </w:p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  <w:r>
        <w:rPr>
          <w:b w:val="1"/>
        </w:rPr>
        <w:t xml:space="preserve">1. Број предузећа </w:t>
      </w:r>
      <w:r>
        <w:rPr>
          <w:b w:val="1"/>
        </w:rPr>
        <w:t>према њиховој велични</w:t>
      </w:r>
      <w:r>
        <w:rPr>
          <w:b w:val="1"/>
        </w:rPr>
        <w:t xml:space="preserve">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0–9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10–49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  <w:trHeight w:hRule="atLeast" w:val="20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91536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79189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9699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32663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29505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9771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 xml:space="preserve">СЕВЕР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63505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55586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6287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23396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39645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35042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23860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20544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40"/>
      </w:pPr>
      <w:r>
        <w:rPr>
          <w:b w:val="1"/>
        </w:rPr>
        <w:t xml:space="preserve">1. Број предузећа </w:t>
      </w:r>
      <w:r>
        <w:rPr>
          <w:b w:val="1"/>
        </w:rPr>
        <w:t xml:space="preserve">према њиховој велични,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0–9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10–49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  <w:trHeight w:hRule="atLeast" w:val="20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>ЈУГ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28031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23603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17256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14488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10775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  <w:r>
        <w:rPr>
          <w:b w:val="1"/>
        </w:rPr>
        <w:t>2</w:t>
      </w:r>
      <w:r>
        <w:rPr>
          <w:b w:val="1"/>
        </w:rPr>
        <w:t xml:space="preserve">. Број </w:t>
      </w:r>
      <w:r>
        <w:rPr>
          <w:b w:val="1"/>
        </w:rPr>
        <w:t>запослених</w:t>
      </w:r>
      <w:r>
        <w:rPr>
          <w:b w:val="1"/>
        </w:rPr>
        <w:t xml:space="preserve"> </w:t>
      </w:r>
      <w:r>
        <w:rPr>
          <w:b w:val="1"/>
        </w:rPr>
        <w:t>према величини предузећа</w:t>
      </w:r>
      <w:r>
        <w:rPr>
          <w:b w:val="1"/>
        </w:rPr>
        <w:t xml:space="preserve">, </w:t>
      </w:r>
      <w:r>
        <w:rPr>
          <w:b w:val="1"/>
        </w:rPr>
        <w:t>2012</w:t>
      </w:r>
      <w:r>
        <w:rPr>
          <w:b w:val="1"/>
        </w:rPr>
        <w:t>.</w:t>
      </w:r>
    </w:p>
    <w:tbl>
      <w:tblPr>
        <w:tblStyle w:val="T2"/>
        <w:tblW w:w="0" w:type="auto"/>
        <w:jc w:val="center"/>
        <w:tblInd w:w="-25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0–9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10–49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994479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153745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196492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224223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420019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36207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13248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29756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316157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57846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88390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143208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23639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36379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15995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76419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193601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56062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51037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35277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51225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94770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12011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60996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16953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51405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7101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42722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26300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 xml:space="preserve">СЕВЕР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661422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105304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127142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135969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293007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19402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18574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155386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30970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45699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63511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11692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9964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52051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19175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145662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34923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25721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45523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77478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56123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35418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16634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42425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7101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37836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424426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65823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72879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77202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208522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9923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68568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26742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5948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36648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15130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100418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24951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33872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63222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52298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30300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16080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31458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21760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2836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236996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39481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54263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58767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84485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6889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8651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86818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26994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36769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3368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4045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45244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11651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3825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40"/>
      </w:pPr>
      <w:r>
        <w:rPr>
          <w:b w:val="1"/>
        </w:rPr>
        <w:t>2</w:t>
      </w:r>
      <w:r>
        <w:rPr>
          <w:b w:val="1"/>
        </w:rPr>
        <w:t xml:space="preserve">. Број </w:t>
      </w:r>
      <w:r>
        <w:rPr>
          <w:b w:val="1"/>
        </w:rPr>
        <w:t>запослених</w:t>
      </w:r>
      <w:r>
        <w:rPr>
          <w:b w:val="1"/>
        </w:rPr>
        <w:t xml:space="preserve"> </w:t>
      </w:r>
      <w:r>
        <w:rPr>
          <w:b w:val="1"/>
        </w:rPr>
        <w:t xml:space="preserve">према величини предузећа,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tbl>
      <w:tblPr>
        <w:tblStyle w:val="T2"/>
        <w:tblW w:w="0" w:type="auto"/>
        <w:jc w:val="center"/>
        <w:tblInd w:w="-25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0–9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10–49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2826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>ЈУГ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333057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48441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69350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88254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127012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160771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26876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42691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79697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11947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24368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47939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5702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4873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199310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29914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43329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53343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72724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4784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99349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46216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5476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5589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28949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3680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133747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18527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26021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34911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54288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3452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61422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33481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6471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2107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2900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23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p>
      <w:pPr>
        <w:spacing w:lineRule="auto" w:line="264" w:after="120"/>
        <w:rPr>
          <w:rFonts w:ascii="Arial Narrow" w:hAnsi="Arial Narrow"/>
        </w:rPr>
      </w:pPr>
    </w:p>
    <w:p>
      <w:pPr>
        <w:jc w:val="center"/>
        <w:rPr>
          <w:sz w:val="2"/>
        </w:rPr>
      </w:pPr>
    </w:p>
    <w:p>
      <w:pPr>
        <w:spacing w:after="40"/>
        <w:rPr>
          <w:b w:val="1"/>
        </w:rPr>
      </w:pPr>
      <w:r>
        <w:rPr>
          <w:b w:val="1"/>
        </w:rPr>
        <w:t xml:space="preserve">3. Остварени промет </w:t>
      </w:r>
      <w:r>
        <w:rPr>
          <w:b w:val="1"/>
        </w:rPr>
        <w:t xml:space="preserve">према величини предузећа, </w:t>
      </w:r>
      <w:r>
        <w:rPr>
          <w:b w:val="1"/>
        </w:rPr>
        <w:t>2012</w:t>
      </w:r>
      <w:r>
        <w:rPr>
          <w:b w:val="1"/>
        </w:rPr>
        <w:t>.</w:t>
      </w:r>
    </w:p>
    <w:p>
      <w:pPr>
        <w:spacing w:lineRule="auto" w:line="276"/>
        <w:jc w:val="right"/>
        <w:rPr>
          <w:sz w:val="18"/>
        </w:rPr>
      </w:pPr>
      <w:r>
        <w:rPr>
          <w:sz w:val="18"/>
        </w:rPr>
        <w:t>мил.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0–9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10–49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7818180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1355027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1769859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1681829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3011466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313741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85175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109482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80429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38655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315157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8958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298144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1989028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160136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327965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623873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877054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510821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42573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442162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115446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25516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41281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436219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87379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97138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139231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112471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2928531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738462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886553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563688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739828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446736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59470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114556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64011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208699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47201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16431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283463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26587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37037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38119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181719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46984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34261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4990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250818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86146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102863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49991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11818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65782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19940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22638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36227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24471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 xml:space="preserve">СЕВЕР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5981832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1017818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1321193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1262582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2380240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266601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71661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93917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67317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272619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269086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1243860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95980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192457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436054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519370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391154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42216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332730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73797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34589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328089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69415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68622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107688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82365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2356826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545018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684839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464273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662696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380415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39589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87182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55465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198179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37188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276858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33631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37501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181719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228018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74911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93456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47833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11818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57775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21164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33574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24471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9701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2209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3682150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598948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844225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769938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1469039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26437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12390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41015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38652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533334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55964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99243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172046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206081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315844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41962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272151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36135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23271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246996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49626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43504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87250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66616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1683951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310332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482988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363565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527066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206849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21015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63209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37872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84753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30719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5099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262744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28536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34041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180447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195876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59045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80225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46288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10319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46474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18885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20734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2299681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418870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476967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492643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911201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240164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88143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63519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21316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231604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230434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710526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40015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93214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264007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313289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75310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60579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37662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11318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81093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25118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15748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672875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234685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201851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100708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135630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173566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23973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17593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113426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>
      <w:pPr>
        <w:spacing w:after="40"/>
      </w:pPr>
      <w:r>
        <w:rPr>
          <w:b w:val="1"/>
        </w:rPr>
        <w:t xml:space="preserve">3. Остварени промет </w:t>
      </w:r>
      <w:r>
        <w:rPr>
          <w:b w:val="1"/>
        </w:rPr>
        <w:t xml:space="preserve">према величини предузећа,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p>
      <w:pPr>
        <w:spacing w:lineRule="auto" w:line="276"/>
        <w:jc w:val="right"/>
        <w:rPr>
          <w:sz w:val="18"/>
        </w:rPr>
      </w:pPr>
      <w:r>
        <w:rPr>
          <w:sz w:val="18"/>
        </w:rPr>
        <w:t>мил.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0–9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10–49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18" w:before="60" w:after="60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14114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32141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2279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3737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>ЈУГ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1836348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337209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448666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419247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631226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47141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4949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42538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29058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745168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64156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135507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187820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357684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119667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109432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21483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6692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108130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17964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28517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31543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30106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571705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193444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201714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99415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77132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66320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19881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27373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10520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37658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33088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4179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1138092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212930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311304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261052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352806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32287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4949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4220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483800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47673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93438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138536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204153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63175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57643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4137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71345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25938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367396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114327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139721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65913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47435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43934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3898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698256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124279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137362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158195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278420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26335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24838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261368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16483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42069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49284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153531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56492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51789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2555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204309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79117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61993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33502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29697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22386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6622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3746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p>
      <w:pPr>
        <w:spacing w:after="40"/>
        <w:rPr>
          <w:b w:val="1"/>
        </w:rPr>
      </w:pPr>
    </w:p>
    <w:p>
      <w:pPr>
        <w:spacing w:after="40"/>
        <w:rPr>
          <w:b w:val="1"/>
        </w:rPr>
      </w:pPr>
      <w:r>
        <w:rPr>
          <w:b w:val="1"/>
        </w:rPr>
        <w:t>4</w:t>
      </w:r>
      <w:r>
        <w:rPr>
          <w:b w:val="1"/>
        </w:rPr>
        <w:t xml:space="preserve">. </w:t>
      </w:r>
      <w:r>
        <w:rPr>
          <w:b w:val="1"/>
        </w:rPr>
        <w:t>Бруто додата вредност</w:t>
      </w:r>
      <w:r>
        <w:rPr>
          <w:b w:val="1"/>
        </w:rPr>
        <w:t xml:space="preserve"> </w:t>
      </w:r>
      <w:r>
        <w:rPr>
          <w:b w:val="1"/>
        </w:rPr>
        <w:t xml:space="preserve">према величини предузећа, </w:t>
      </w:r>
      <w:r>
        <w:rPr>
          <w:b w:val="1"/>
        </w:rPr>
        <w:t>2012</w:t>
      </w:r>
      <w:r>
        <w:rPr>
          <w:b w:val="1"/>
        </w:rPr>
        <w:t>.</w:t>
      </w:r>
    </w:p>
    <w:p>
      <w:pPr>
        <w:spacing w:lineRule="auto" w:line="276"/>
        <w:jc w:val="right"/>
        <w:rPr>
          <w:sz w:val="18"/>
        </w:rPr>
      </w:pPr>
      <w:r>
        <w:rPr>
          <w:sz w:val="18"/>
        </w:rPr>
        <w:t>мил.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0–9 </w:t>
            </w:r>
          </w:p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–49 </w:t>
            </w:r>
          </w:p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1539684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163426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280026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321980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774252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54873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17072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14813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144670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-2257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144224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415936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22450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60666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124853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207967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96054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90287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40009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106341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29870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39934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279142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62506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86192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60513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69931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107863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22052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17137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58686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15892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134310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7193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17239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95600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70790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22192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16337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6847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40231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13617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16769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 xml:space="preserve">СЕВЕР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1185344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126844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211089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238297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609113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49185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16107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14328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122465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-3116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125306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266723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36220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84054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132044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51127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15634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77328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11874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20623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29589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225396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47991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67470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50253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59682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91170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55212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131789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12944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16885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95599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13292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7234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63329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19422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6847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37285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13093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15630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4816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996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Београдски регион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757108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83718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135924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142403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395063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7484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-3138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27282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115805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9122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36507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51433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41510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40709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9694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58051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25410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167959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28745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49011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40717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49486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80842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60498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10812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4704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124701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94096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12007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55090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17113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8164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32826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3724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13963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Делатност домаћинства као послодавца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Војводине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428236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43126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75165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95894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214050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39674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15792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6844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98379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98024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150918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47547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80611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10418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11900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5940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57438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18459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9536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10196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2958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-5286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7089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1503</w:t>
            </w:r>
          </w:p>
        </w:tc>
      </w:tr>
    </w:tbl>
    <w:p>
      <w:pPr>
        <w:spacing w:after="40"/>
        <w:rPr>
          <w:b w:val="1"/>
        </w:rPr>
      </w:pPr>
      <w:r>
        <w:rPr>
          <w:b w:val="1"/>
        </w:rPr>
        <w:t>4</w:t>
      </w:r>
      <w:r>
        <w:rPr>
          <w:b w:val="1"/>
        </w:rPr>
        <w:t xml:space="preserve">. </w:t>
      </w:r>
      <w:r>
        <w:rPr>
          <w:b w:val="1"/>
        </w:rPr>
        <w:t>Бруто додата вредност</w:t>
      </w:r>
      <w:r>
        <w:rPr>
          <w:b w:val="1"/>
        </w:rPr>
        <w:t xml:space="preserve"> </w:t>
      </w:r>
      <w:r>
        <w:rPr>
          <w:b w:val="1"/>
        </w:rPr>
        <w:t xml:space="preserve">према величини предузећа, </w:t>
      </w:r>
      <w:r>
        <w:rPr>
          <w:b w:val="1"/>
        </w:rPr>
        <w:t>2012</w:t>
      </w:r>
      <w:r>
        <w:rPr>
          <w:b w:val="1"/>
        </w:rPr>
        <w:t>.</w:t>
      </w:r>
      <w:r>
        <w:rPr>
          <w:b w:val="1"/>
        </w:rPr>
        <w:t xml:space="preserve">  </w:t>
      </w:r>
      <w:r>
        <w:t>(наставак)</w:t>
      </w:r>
    </w:p>
    <w:p>
      <w:pPr>
        <w:spacing w:lineRule="auto" w:line="276"/>
        <w:jc w:val="right"/>
        <w:rPr>
          <w:sz w:val="18"/>
        </w:rPr>
      </w:pPr>
      <w:r>
        <w:rPr>
          <w:sz w:val="18"/>
        </w:rPr>
        <w:t>мил. РСД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706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Микро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Мала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Средња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>Велика</w:t>
            </w:r>
          </w:p>
        </w:tc>
      </w:tr>
      <w:tr>
        <w:trPr>
          <w:wAfter w:w="0" w:type="dxa"/>
        </w:trPr>
        <w:tc>
          <w:tcPr>
            <w:tcW w:w="4706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vMerge w:val="continue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 w:before="80" w:after="80"/>
              <w:jc w:val="center"/>
              <w:rPr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0–9 </w:t>
            </w:r>
          </w:p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 –49 </w:t>
            </w:r>
          </w:p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50–249 запослених</w:t>
            </w: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23"/>
              <w:jc w:val="center"/>
              <w:rPr>
                <w:sz w:val="16"/>
              </w:rPr>
            </w:pPr>
            <w:r>
              <w:rPr>
                <w:sz w:val="16"/>
              </w:rPr>
              <w:t>250 и више запослених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223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23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-1317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869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СРБИЈА </w:t>
            </w:r>
            <w:r>
              <w:rPr>
                <w:b w:val="1"/>
                <w:sz w:val="16"/>
              </w:rPr>
              <w:t xml:space="preserve">– </w:t>
            </w:r>
            <w:r>
              <w:rPr>
                <w:b w:val="1"/>
                <w:sz w:val="16"/>
              </w:rPr>
              <w:t>ЈУГ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354340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36582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68937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83684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165138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22205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18917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149213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8045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24447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40798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75923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41142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39160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15560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8202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4952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29012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10344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53746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18722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10260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16693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3265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3475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3177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7461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17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Шумадије и Западне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217183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24215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45952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54880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92136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879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9383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6695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103721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5971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17406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30166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50178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15146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14256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8550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1433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2976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19431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4816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9004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35350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9241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12147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7650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10327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2339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2335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983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-101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-91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591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1484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Јужне и Источне Србије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137157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12367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22985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28803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73002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Пољопривреда, шумарство и рибарство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2137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778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12821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12222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45492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2074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7041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10632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25745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Снaбдeвaње електричном енергијом, гасом и паром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25996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24904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Снабдевање водом и управљање отпадним водама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7009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4362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Грађевинарство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9581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2534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4431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1340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18396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5273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6575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3947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2600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Саобраћај и складиштење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6366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1238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2492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Услуге смештаја и исхране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885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Информисање и комуникације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1382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Финансијске делатности и делатност осигурања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-16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584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Пословање некретнинама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Стручне, научне, иновационе и техничке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3276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2098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Административне и помоћне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1888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1139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Државна управа и обавезно социјално осигурање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Образовање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Здравствена и социјална заштита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Уметност, забава и рекреација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sz w:val="16"/>
              </w:rPr>
            </w:pPr>
            <w:r>
              <w:rPr>
                <w:sz w:val="16"/>
              </w:rPr>
              <w:t>Остале услужне делатности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8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47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lineRule="auto" w:line="218"/>
              <w:ind w:left="34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Регион Косово и Метохија</w:t>
            </w:r>
          </w:p>
        </w:tc>
        <w:tc>
          <w:tcPr>
            <w:tcW w:w="102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  <w:tc>
          <w:tcPr>
            <w:tcW w:w="10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lineRule="auto" w:line="216"/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…</w:t>
            </w:r>
          </w:p>
        </w:tc>
      </w:tr>
    </w:tbl>
    <w:p>
      <w:pPr>
        <w:spacing w:lineRule="auto" w:line="264" w:before="480" w:after="240"/>
        <w:rPr>
          <w:b w:val="1"/>
          <w:sz w:val="22"/>
        </w:rPr>
      </w:pPr>
      <w:r>
        <w:rPr>
          <w:b w:val="1"/>
          <w:sz w:val="22"/>
        </w:rPr>
        <w:t xml:space="preserve">(1)  </w:t>
      </w:r>
      <w:r>
        <w:rPr>
          <w:b w:val="1"/>
          <w:sz w:val="22"/>
        </w:rPr>
        <w:t xml:space="preserve">Број предузећа према </w:t>
      </w:r>
      <w:r>
        <w:rPr>
          <w:b w:val="1"/>
          <w:sz w:val="22"/>
        </w:rPr>
        <w:t xml:space="preserve">њиховој </w:t>
      </w:r>
      <w:r>
        <w:rPr>
          <w:b w:val="1"/>
          <w:sz w:val="22"/>
        </w:rPr>
        <w:t>величини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 xml:space="preserve">На основу расположивих података, можемо констатовати да је обрачуном макроекономских агрегата обухваћено 91 536 предузећа у Републици Србији. Од тог укупног броја предузећа у  Србији – север, 2012. године пословало је 63 505 предузећа – што чини (69,4%), а у Србији – југ 28 031 – што чини (30,6%).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Од укупно 91 536 предузећа у Републици Србији у 2012. години било је: 79 189 микро (86,5%), 9 699 малих (10,6%), 2 142 средњих (2,3%) и 506 великих (0,6%).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Од укупно 63 505 предузећа лоцираних на територији Србије – север у 2012. години било је: 55 586 микро (87,5%), 6 287 малих (9,9%), 1 301 средњих (2,1%) и 331 великих (0,5%). На територији Србије – југ било је 28 031 предузећа у 2012. години, од чега: микро 23 603 (84,2%), малих 3 412 (12,2%), средњих 841 (3,0%) и великих 175 (0,6%).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Посматрано по секторима КД (2010), на нивоу Републике Србије, највеће учешће у укупном броју предузећа имале су: трговина на велико и мало и поправка моторних возила (35,7%), прерађивачка индустрија (18,5%), стручне, научне, иновационе и техничке делатности (11,7%), грађевинарство (8,0%), саобраћај и складиштење (5,4%) итд.</w:t>
      </w:r>
    </w:p>
    <w:p>
      <w:pPr>
        <w:spacing w:lineRule="auto" w:line="264" w:before="480" w:after="240"/>
        <w:rPr>
          <w:b w:val="1"/>
          <w:sz w:val="22"/>
        </w:rPr>
      </w:pPr>
      <w:r>
        <w:rPr>
          <w:b w:val="1"/>
          <w:sz w:val="22"/>
        </w:rPr>
        <w:t>(2) Број запослених према величини предузећа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 xml:space="preserve">Предузећа у Републици Србији у 2012. години запошљавала су 994 479 лица. У                 Србији – север било је 661 422, тј. (66,5%), а у Србији – југ 333 057, тј. (33,5%).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 xml:space="preserve">Учешће броја запослених у микро предузећима, посматрано по територијама, врло је  уједначено: на нивоу Републике Србије (15,5%), на територији Србија – север (15,9%) и на територији Србија – југ (14,5%). Мала предузећа у броју запослених у Републици Србији учествују са (19,7%), у Србији – север учешће је (19,2%), док је то учешће у Србији – југ (20,9%).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 xml:space="preserve">Код средњих и великих предузећа учешће броја запослених по територијама је неуједначено и креће се за средња предузећа, на нивоу Републике Србије, (22,6%), у                   Србији – север (20,6%), у Србији – југ (26,5%), а за велика предузећа на нивоу Републике Србије (42,2%), у Србији – север (44,3%), а у Србији – југ (38,1%).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Посматрано по секторима КД (2010), највеће учешће у укупном броју запослених у Републици Србији 2012. године имале су: прерађивачка индустрија – са 316 157 запослених лица, трговина на велико и мало и оправка моторних возила – са 193 601 запослених лица, саобраћај и складиштење – са 94 770 запослених лица итд.</w:t>
      </w:r>
    </w:p>
    <w:p>
      <w:pPr>
        <w:spacing w:lineRule="auto" w:line="264" w:before="480" w:after="240"/>
        <w:rPr>
          <w:b w:val="1"/>
          <w:sz w:val="22"/>
        </w:rPr>
      </w:pPr>
      <w:r>
        <w:rPr>
          <w:b w:val="1"/>
          <w:sz w:val="22"/>
        </w:rPr>
        <w:t>(3) Остварени промет према величини предузећа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Када се посматра територијални размештај оствареног промета предузећа, уочава се да су предузећа са територије Србија – север остварила (76,5%), а предузећа са територије Србија – југ (23,5%).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Према величини предузећа, остварени промет у Републици Србији дистрибуиран је на следећи начин: микро (17,3%), мала (22,7%), средња (21,5%) и велика (38,5%).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 xml:space="preserve">У предузећима из Србије – север распоред оствареног промета јесте следећи: микро  (17,0%), мала (22,1%), средња (21,1%) и велика (39,8%).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За предузећа из Србије – југ учешћа у оствареном промету су следећа: микро (18,4%), мала (24,4%), средња (22,8%) и велика (34,4%).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Посматрано по делатностима (секторима КД 2010), највеће учешће на нивоу Републике Србије у оствареном промету остварила су предузећа из трговине на велико и мало и оправке моторних возила (37,5%), прерађивачке индустрије (25,4%), снабдевање електричном енергијом, гасом и паром (6,5%), саобраћај и складиштење (5,7%) итд.</w:t>
      </w:r>
    </w:p>
    <w:p>
      <w:pPr>
        <w:spacing w:lineRule="auto" w:line="264" w:before="480" w:after="240"/>
        <w:rPr>
          <w:b w:val="1"/>
          <w:sz w:val="22"/>
        </w:rPr>
      </w:pPr>
      <w:r>
        <w:rPr>
          <w:b w:val="1"/>
          <w:sz w:val="22"/>
        </w:rPr>
        <w:t>(4) Бруто додата вредност према величини предузећа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Бруто додата вредност према величини предузећа у Републици Србији за 2012. годину дистрибуирана је на следећи начин: микро (10,6%), мала (18,2%), средња (20,9%) и велика (50,3%).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У предузећима из Србије – север распоред бруто додате вредности јесте следећи: микро (10,7%), мала (17,8%), средња (20,1%) и велика (51,4%).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Код предузећа из Србије – југ распоред бруто додате вредности јесте следећи: микро (10,3%), мала (19,5%), средња (23,6%) и велика (46,6%).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Посматрано по делатностима (секторима КД 2010), најзначајније учешће у бруто додатој вредности на нивоу Републике Србије остварила су предузећа из прерађивачке индустрије (27,0%), трговине на велико и мало и оправке моторних возила (18,1%), рударства (9,4%), информисања и комуникација (8,7%), саобраћај и складиштење (7,0%), грађевинарства (6,9%) итд.</w:t>
      </w:r>
    </w:p>
    <w:p>
      <w:pPr>
        <w:spacing w:lineRule="auto" w:line="264" w:before="480" w:after="240"/>
        <w:rPr>
          <w:b w:val="1"/>
          <w:sz w:val="22"/>
        </w:rPr>
      </w:pPr>
      <w:r>
        <w:rPr>
          <w:b w:val="1"/>
          <w:sz w:val="22"/>
        </w:rPr>
        <w:t>Закључак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Стратегија развоја малих и средњих предузећа и предузетништва темељи се на квалификованој анализи постојећег стања, која треба да омогући адекватно средњорочно планирање будућег развоја овог сектора у Србији. Свакако, треба имати у виду искуства у промоцији малих и средњих предузећа и предузетништва у земљама у транзицији.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Мала и средња предузећа сматрају се једном од водећих снага економског развоја. Она стимулишу приватну иницијативу и предузетничке способности, флексибилна су и могу се брзо прилагођавати променама на тржишту, генеришу запосленост, утичу на све разноврснију економску активност, доприносе извозу и трговини и основни су чинилац развоја конкурентске економије.</w:t>
      </w:r>
    </w:p>
    <w:p>
      <w:pPr>
        <w:spacing w:lineRule="auto" w:line="264" w:before="120" w:after="120"/>
        <w:ind w:firstLine="397"/>
        <w:jc w:val="both"/>
        <w:rPr>
          <w:sz w:val="22"/>
        </w:rPr>
      </w:pPr>
      <w:r>
        <w:rPr>
          <w:sz w:val="22"/>
        </w:rPr>
        <w:t>На основу свеобухватне анализе нивоа развијености МСП сектора (Сектор малих и средњих предузећа) у Републици Србији у 2012. години, уочљиво је да он постаје све значајнији сегмент економије у спровођењу структурних реформи, посебно у функцији оживљавања укупног раста и отварања нових радних места.</w:t>
      </w: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jc w:val="center"/>
        <w:rPr>
          <w:b w:val="1"/>
          <w:sz w:val="18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</w:p>
    <w:p>
      <w:pPr>
        <w:pStyle w:val="P20"/>
        <w:ind w:firstLine="0" w:left="510"/>
        <w:jc w:val="left"/>
        <w:rPr>
          <w:rFonts w:ascii="Arial" w:hAnsi="Arial"/>
        </w:rPr>
      </w:pPr>
      <w:r>
        <w:rPr>
          <w:rFonts w:ascii="Arial" w:hAnsi="Arial"/>
        </w:rPr>
        <w:t xml:space="preserve">РУКОПИС ПРИПРЕМИЛИ: </w:t>
      </w:r>
      <w:r>
        <w:rPr>
          <w:rFonts w:ascii="Arial" w:hAnsi="Arial"/>
          <w:b w:val="1"/>
        </w:rPr>
        <w:t>Милан Бурзановић, Драган Поповић</w:t>
      </w:r>
      <w:r>
        <w:rPr>
          <w:rFonts w:ascii="Arial" w:hAnsi="Arial"/>
        </w:rPr>
        <w:tab/>
        <w:tab/>
        <w:t xml:space="preserve">               </w:t>
      </w:r>
    </w:p>
    <w:p>
      <w:pPr>
        <w:pStyle w:val="P20"/>
        <w:jc w:val="left"/>
        <w:rPr>
          <w:rFonts w:ascii="Arial" w:hAnsi="Arial"/>
          <w:b w:val="1"/>
        </w:rPr>
      </w:pPr>
      <w:r>
        <w:rPr>
          <w:rFonts w:ascii="Arial" w:hAnsi="Arial"/>
          <w:b w:val="1"/>
        </w:rPr>
        <w:tab/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  <w:b w:val="1"/>
        </w:rPr>
      </w:pPr>
      <w:r>
        <w:rPr>
          <w:rFonts w:ascii="Arial" w:hAnsi="Arial"/>
          <w:b w:val="1"/>
        </w:rPr>
        <w:t>РЕДАКЦИЈА</w:t>
      </w:r>
      <w:r>
        <w:rPr>
          <w:rFonts w:ascii="Arial" w:hAnsi="Arial"/>
          <w:b w:val="1"/>
        </w:rPr>
        <w:t xml:space="preserve"> </w:t>
      </w:r>
    </w:p>
    <w:p>
      <w:pPr>
        <w:pStyle w:val="P20"/>
        <w:rPr>
          <w:rFonts w:ascii="Arial" w:hAnsi="Arial"/>
          <w:sz w:val="6"/>
        </w:rPr>
      </w:pPr>
    </w:p>
    <w:p>
      <w:pPr>
        <w:pStyle w:val="P20"/>
        <w:rPr>
          <w:rFonts w:ascii="Arial" w:hAnsi="Arial"/>
        </w:rPr>
      </w:pPr>
      <w:r>
        <w:rPr>
          <w:rFonts w:ascii="Arial" w:hAnsi="Arial"/>
        </w:rPr>
        <w:t>Руководилац: Зоран Јанчић</w:t>
      </w:r>
    </w:p>
    <w:p>
      <w:pPr>
        <w:pStyle w:val="P21"/>
        <w:spacing w:before="0"/>
        <w:ind w:hanging="936" w:left="1446"/>
        <w:jc w:val="left"/>
        <w:rPr>
          <w:rFonts w:ascii="Arial" w:hAnsi="Arial"/>
        </w:rPr>
      </w:pPr>
      <w:r>
        <w:rPr>
          <w:rFonts w:ascii="Arial" w:hAnsi="Arial"/>
        </w:rPr>
        <w:t xml:space="preserve">Чланови: Снежана Лакчевић, Сунчица Шестић, Олга Меловски Трпинац, мр Љиљана Ђорђевић, Љиљана Секулић, Драган Поповић </w:t>
        <w:tab/>
        <w:t xml:space="preserve"> </w:t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  <w:b w:val="1"/>
        </w:rPr>
      </w:pPr>
      <w:r>
        <w:rPr>
          <w:rFonts w:ascii="Arial" w:hAnsi="Arial"/>
        </w:rPr>
        <w:t>Лектура:</w:t>
      </w:r>
      <w:r>
        <w:rPr>
          <w:rFonts w:ascii="Arial" w:hAnsi="Arial"/>
          <w:b w:val="1"/>
        </w:rPr>
        <w:t xml:space="preserve"> </w:t>
      </w:r>
      <w:r>
        <w:rPr>
          <w:rFonts w:ascii="Arial" w:hAnsi="Arial"/>
        </w:rPr>
        <w:t>Богдана Милошевић</w:t>
      </w:r>
    </w:p>
    <w:p>
      <w:pPr>
        <w:pStyle w:val="P20"/>
        <w:rPr>
          <w:rFonts w:ascii="Arial" w:hAnsi="Arial"/>
        </w:rPr>
      </w:pPr>
    </w:p>
    <w:p>
      <w:pPr>
        <w:pStyle w:val="P20"/>
        <w:rPr>
          <w:rFonts w:ascii="Arial" w:hAnsi="Arial"/>
        </w:rPr>
      </w:pPr>
      <w:r>
        <w:rPr>
          <w:rFonts w:ascii="Arial" w:hAnsi="Arial"/>
        </w:rPr>
        <w:t>Технички уредник: Ирена Димић</w:t>
      </w:r>
    </w:p>
    <w:p>
      <w:pPr>
        <w:pStyle w:val="P19"/>
        <w:jc w:val="left"/>
        <w:rPr>
          <w:rFonts w:ascii="Arial" w:hAnsi="Arial"/>
        </w:rPr>
      </w:pPr>
    </w:p>
    <w:p>
      <w:pPr>
        <w:pStyle w:val="P11"/>
        <w:jc w:val="left"/>
        <w:rPr>
          <w:rFonts w:ascii="Times New Roman" w:hAnsi="Times New Roman"/>
          <w:sz w:val="22"/>
        </w:rPr>
      </w:pPr>
    </w:p>
    <w:tbl>
      <w:tblPr>
        <w:tblStyle w:val="T3"/>
        <w:tblW w:w="0" w:type="auto"/>
        <w:tblInd w:w="397" w:type="dxa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4536" w:type="dxa"/>
            <w:vAlign w:val="center"/>
          </w:tcPr>
          <w:p>
            <w:pPr>
              <w:spacing w:before="240"/>
              <w:ind w:left="284"/>
            </w:pPr>
            <w:r>
              <w:t>CIP - Каталогизација у публикацији</w:t>
            </w:r>
          </w:p>
          <w:p>
            <w:pPr>
              <w:ind w:left="284"/>
            </w:pPr>
            <w:r>
              <w:t>Народна библиотека Србије, Београд</w:t>
            </w:r>
          </w:p>
          <w:p>
            <w:pPr>
              <w:ind w:left="284"/>
            </w:pPr>
            <w:r>
              <w:t>311 (497.11)</w:t>
            </w:r>
          </w:p>
          <w:p>
            <w:pPr>
              <w:ind w:left="284"/>
            </w:pPr>
          </w:p>
          <w:p>
            <w:pPr>
              <w:ind w:left="284"/>
            </w:pPr>
            <w:r>
              <w:t xml:space="preserve">         РАДНИ документ / Република Србија -</w:t>
            </w:r>
          </w:p>
          <w:p>
            <w:pPr>
              <w:ind w:left="284"/>
            </w:pPr>
            <w:r>
              <w:t>Републички завод за статистику = Working</w:t>
            </w:r>
          </w:p>
          <w:p>
            <w:pPr>
              <w:ind w:left="284"/>
            </w:pPr>
            <w:r>
              <w:t>Document / Republic of Serbia – Republic</w:t>
            </w:r>
          </w:p>
          <w:p>
            <w:pPr>
              <w:ind w:left="284"/>
            </w:pPr>
            <w:r>
              <w:t>Statistical Office ; одговара Драган Вукмировић.</w:t>
            </w:r>
          </w:p>
          <w:p>
            <w:pPr>
              <w:ind w:left="284"/>
            </w:pPr>
            <w:r>
              <w:t xml:space="preserve"> - 1965, бр. 1-               . - Београд (Милана</w:t>
            </w:r>
          </w:p>
          <w:p>
            <w:pPr>
              <w:ind w:left="284"/>
            </w:pPr>
            <w:r>
              <w:t xml:space="preserve">Ракића 5) :  Републички завод за статистику </w:t>
            </w:r>
          </w:p>
          <w:p>
            <w:pPr>
              <w:ind w:left="284"/>
            </w:pPr>
            <w:r>
              <w:t xml:space="preserve">Србије, 1965- (Београд : Републички завод </w:t>
            </w:r>
          </w:p>
          <w:p>
            <w:pPr>
              <w:ind w:left="284"/>
            </w:pPr>
            <w:r>
              <w:t>за статистику Србије). - 27 cm</w:t>
            </w:r>
          </w:p>
          <w:p>
            <w:pPr>
              <w:ind w:left="284"/>
            </w:pPr>
          </w:p>
          <w:p>
            <w:pPr>
              <w:ind w:left="284"/>
            </w:pPr>
            <w:r>
              <w:t>ISSN 1820-0141 = Радни документ -</w:t>
            </w:r>
          </w:p>
          <w:p>
            <w:pPr>
              <w:ind w:left="284"/>
            </w:pPr>
            <w:r>
              <w:t>Република Србија. Републички завод за</w:t>
            </w:r>
          </w:p>
          <w:p>
            <w:pPr>
              <w:ind w:left="284"/>
            </w:pPr>
            <w:r>
              <w:t>статистику</w:t>
            </w:r>
          </w:p>
          <w:p>
            <w:pPr>
              <w:ind w:left="284"/>
            </w:pPr>
          </w:p>
          <w:p>
            <w:pPr>
              <w:ind w:left="284"/>
            </w:pPr>
            <w:r>
              <w:t>COBISS.SR-ID 59835916</w:t>
            </w:r>
          </w:p>
          <w:p>
            <w:pPr>
              <w:ind w:left="284"/>
              <w:rPr>
                <w:b w:val="1"/>
                <w:sz w:val="22"/>
              </w:rPr>
            </w:pPr>
          </w:p>
        </w:tc>
      </w:tr>
    </w:tbl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pStyle w:val="P20"/>
        <w:rPr>
          <w:rFonts w:ascii="Times New Roman" w:hAnsi="Times New Roman"/>
        </w:rPr>
      </w:pPr>
    </w:p>
    <w:p>
      <w:pPr>
        <w:jc w:val="center"/>
      </w:pPr>
      <w:r>
        <w:t>www.stat.gov.rs</w:t>
      </w:r>
    </w:p>
    <w:p>
      <w:pPr>
        <w:pStyle w:val="P20"/>
        <w:pBdr>
          <w:top w:val="single" w:sz="6" w:space="0" w:shadow="0" w:frame="0"/>
        </w:pBdr>
        <w:spacing w:before="120"/>
        <w:ind w:firstLine="0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Издаје и штампа</w:t>
      </w:r>
    </w:p>
    <w:p>
      <w:pPr>
        <w:pStyle w:val="P20"/>
        <w:ind w:firstLine="0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Републички завод за статистику, Београд, Милана Ракића 5</w:t>
      </w:r>
    </w:p>
    <w:p>
      <w:pPr>
        <w:pStyle w:val="P20"/>
        <w:ind w:firstLine="0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Телефон: 011 2412-922; Телефакс: 011 2411-260</w:t>
      </w:r>
    </w:p>
    <w:p>
      <w:pPr>
        <w:pStyle w:val="P20"/>
        <w:ind w:firstLine="0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Број страна: 16 ● Тираж: 20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851" w:footer="851" w:gutter="0"/>
      <w:pgNumType w:start="1"/>
      <w:cols w:equalWidth="1" w:space="567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spacing w:before="120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10"/>
      <w:pBdr>
        <w:top w:val="single" w:sz="4" w:space="0" w:shadow="0" w:frame="0"/>
      </w:pBdr>
      <w:spacing w:before="120"/>
      <w:rPr>
        <w:sz w:val="16"/>
      </w:rPr>
    </w:pPr>
    <w:r>
      <w:rPr>
        <w:sz w:val="16"/>
      </w:rPr>
      <w:t xml:space="preserve">Републички завод за статистику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16" w:y="1"/>
      <w:spacing w:before="120"/>
      <w:rPr>
        <w:rStyle w:val="C3"/>
        <w:sz w:val="18"/>
      </w:rPr>
    </w:pPr>
    <w:r>
      <w:fldChar w:fldCharType="begin"/>
    </w:r>
    <w:r>
      <w:rPr>
        <w:rStyle w:val="C3"/>
        <w:sz w:val="18"/>
      </w:rPr>
      <w:instrText xml:space="preserve">PAGE  </w:instrText>
    </w:r>
    <w:r>
      <w:rPr>
        <w:rStyle w:val="C3"/>
        <w:sz w:val="18"/>
      </w:rPr>
      <w:fldChar w:fldCharType="separate"/>
    </w:r>
    <w:r>
      <w:rPr>
        <w:rStyle w:val="C3"/>
        <w:sz w:val="18"/>
      </w:rPr>
      <w:t>#</w:t>
    </w:r>
    <w:r>
      <w:rPr>
        <w:rStyle w:val="C3"/>
        <w:sz w:val="18"/>
      </w:rPr>
      <w:fldChar w:fldCharType="end"/>
    </w:r>
  </w:p>
  <w:p>
    <w:pPr>
      <w:pStyle w:val="P10"/>
      <w:pBdr>
        <w:top w:val="single" w:sz="4" w:space="0" w:shadow="0" w:frame="0"/>
      </w:pBdr>
      <w:spacing w:before="120"/>
      <w:jc w:val="right"/>
      <w:rPr>
        <w:sz w:val="16"/>
      </w:rPr>
    </w:pPr>
    <w:r>
      <w:rPr>
        <w:sz w:val="16"/>
      </w:rPr>
      <w:t xml:space="preserve">Републички завод за статистику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pBdr>
        <w:bottom w:val="single" w:sz="4" w:space="0" w:shadow="0" w:frame="0"/>
      </w:pBdr>
      <w:jc w:val="center"/>
      <w:rPr>
        <w:rFonts w:ascii="Arial IS" w:hAnsi="Arial IS"/>
        <w:i w:val="1"/>
        <w:sz w:val="16"/>
      </w:rPr>
    </w:pPr>
    <w:r>
      <w:rPr>
        <w:rFonts w:ascii="Arial IS" w:hAnsi="Arial IS"/>
        <w:i w:val="1"/>
        <w:sz w:val="16"/>
      </w:rPr>
      <w:t>Радни документ</w:t>
    </w:r>
  </w:p>
  <w:p>
    <w:pPr>
      <w:pStyle w:val="P17"/>
      <w:jc w:val="center"/>
      <w:rPr>
        <w:rFonts w:ascii="Arial IS" w:hAnsi="Arial IS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7"/>
      <w:pBdr>
        <w:bottom w:val="single" w:sz="4" w:space="0" w:shadow="0" w:frame="0"/>
      </w:pBdr>
      <w:jc w:val="center"/>
      <w:rPr>
        <w:rFonts w:ascii="Arial IS" w:hAnsi="Arial IS"/>
        <w:i w:val="1"/>
        <w:sz w:val="18"/>
      </w:rPr>
    </w:pPr>
    <w:r>
      <w:rPr>
        <w:rFonts w:ascii="Arial IS" w:hAnsi="Arial IS"/>
        <w:i w:val="1"/>
        <w:sz w:val="18"/>
      </w:rPr>
      <w:t>Радни документ</w:t>
    </w:r>
  </w:p>
  <w:p>
    <w:pPr>
      <w:pStyle w:val="P17"/>
      <w:jc w:val="center"/>
      <w:rPr>
        <w:rFonts w:ascii="Arial IS" w:hAnsi="Arial IS"/>
      </w:rPr>
    </w:pPr>
  </w:p>
</w:hdr>
</file>

<file path=word/numbering.xml><?xml version="1.0" encoding="utf-8"?>
<w:numbering xmlns:w="http://schemas.openxmlformats.org/wordprocessingml/2006/main">
  <w:abstractNum w:abstractNumId="0">
    <w:nsid w:val="0A5B6E7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16E052A8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104475A"/>
    <w:multiLevelType w:val="multilevel"/>
    <w:lvl w:ilvl="0">
      <w:start w:val="1"/>
      <w:numFmt w:val="decimal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3">
    <w:nsid w:val="2E2D3AD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3A0E7D4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3A4108EB"/>
    <w:multiLevelType w:val="hybridMultilevel"/>
    <w:lvl w:ilvl="0" w:tplc="6983B8D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EDB520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E691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6DED7C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0A65C0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91115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2E1B5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5ED69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5F25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226652D"/>
    <w:multiLevelType w:val="hybridMultilevel"/>
    <w:lvl w:ilvl="0" w:tplc="3C9DB39C">
      <w:start w:val="1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F797E18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0B599D3C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64D8B8ED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55051F91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62DFB3D2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5BA18176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5A18BD70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6B404630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7">
    <w:nsid w:val="4A206920"/>
    <w:multiLevelType w:val="hybridMultilevel"/>
    <w:lvl w:ilvl="0" w:tplc="32DDD1ED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36E1E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BFC9A1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F9141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D9B8B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6E995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B0F20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B323D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D97E06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4B6B15B3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51101B2E"/>
    <w:multiLevelType w:val="hybridMultilevel"/>
    <w:lvl w:ilvl="0" w:tplc="03193757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6A1974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934238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CBC94E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A5214B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444B39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E610EA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FBFDFD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F1204E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0">
    <w:nsid w:val="560E10DA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58114722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6D0107AC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3">
    <w:nsid w:val="795A3FB2"/>
    <w:multiLevelType w:val="multilevel"/>
    <w:lvl w:ilvl="0">
      <w:start w:val="4"/>
      <w:numFmt w:val="decimal"/>
      <w:suff w:val="tab"/>
      <w:lvlText w:val="(%1)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14">
    <w:nsid w:val="7DE35464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7EEA2BC5"/>
    <w:multiLevelType w:val="multilevel"/>
    <w:lvl w:ilvl="0">
      <w:start w:val="1"/>
      <w:numFmt w:val="decimal"/>
      <w:suff w:val="tab"/>
      <w:lvlText w:val="(%1)"/>
      <w:lvlJc w:val="lef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6">
    <w:nsid w:val="7F826340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 w:tplc="6892FE66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9"/>
  </w:num>
  <w:num w:numId="16">
    <w:abstractNumId w:val="5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Heading 1"/>
    <w:basedOn w:val="P0"/>
    <w:next w:val="P0"/>
    <w:pPr>
      <w:keepNext w:val="1"/>
      <w:spacing w:before="240" w:after="60"/>
      <w:outlineLvl w:val="0"/>
    </w:pPr>
    <w:rPr>
      <w:b w:val="1"/>
      <w:sz w:val="28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CTimesRoman" w:hAnsi="CTimesRoman"/>
      <w:b w:val="1"/>
      <w:color w:val="000000"/>
      <w:sz w:val="14"/>
    </w:rPr>
  </w:style>
  <w:style w:type="paragraph" w:styleId="P3">
    <w:name w:val="Heading 3"/>
    <w:basedOn w:val="P0"/>
    <w:next w:val="P0"/>
    <w:pPr>
      <w:keepNext w:val="1"/>
      <w:spacing w:before="240" w:after="60"/>
      <w:outlineLvl w:val="2"/>
    </w:pPr>
    <w:rPr>
      <w:b w:val="1"/>
      <w:sz w:val="26"/>
    </w:rPr>
  </w:style>
  <w:style w:type="paragraph" w:styleId="P4">
    <w:name w:val="Heading 4"/>
    <w:basedOn w:val="P0"/>
    <w:next w:val="P0"/>
    <w:pPr>
      <w:keepNext w:val="1"/>
      <w:outlineLvl w:val="3"/>
    </w:pPr>
    <w:rPr>
      <w:b w:val="1"/>
      <w:sz w:val="1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keepNext w:val="1"/>
      <w:tabs>
        <w:tab w:val="left" w:pos="9923" w:leader="none"/>
      </w:tabs>
      <w:jc w:val="center"/>
      <w:outlineLvl w:val="6"/>
    </w:pPr>
    <w:rPr>
      <w:b w:val="1"/>
    </w:rPr>
  </w:style>
  <w:style w:type="paragraph" w:styleId="P8">
    <w:name w:val="Heading 8"/>
    <w:basedOn w:val="P0"/>
    <w:next w:val="P0"/>
    <w:pPr>
      <w:keepNext w:val="1"/>
      <w:tabs>
        <w:tab w:val="left" w:pos="-2694" w:leader="none"/>
      </w:tabs>
      <w:ind w:left="-142" w:right="-123"/>
      <w:jc w:val="center"/>
      <w:outlineLvl w:val="7"/>
    </w:pPr>
    <w:rPr>
      <w:rFonts w:ascii="C_TimesRoman" w:hAnsi="C_TimesRoman"/>
      <w:b w:val="1"/>
    </w:rPr>
  </w:style>
  <w:style w:type="paragraph" w:styleId="P9">
    <w:name w:val="Heading 9"/>
    <w:basedOn w:val="P0"/>
    <w:next w:val="P0"/>
    <w:pPr>
      <w:keepNext w:val="1"/>
      <w:tabs>
        <w:tab w:val="left" w:pos="9923" w:leader="none"/>
      </w:tabs>
      <w:ind w:left="-142"/>
      <w:jc w:val="center"/>
      <w:outlineLvl w:val="8"/>
    </w:pPr>
    <w:rPr>
      <w:rFonts w:ascii="C_TimesRoman" w:hAnsi="C_TimesRoman"/>
      <w:b w:val="1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Title"/>
    <w:basedOn w:val="P0"/>
    <w:next w:val="P11"/>
    <w:pPr>
      <w:tabs>
        <w:tab w:val="left" w:pos="9923" w:leader="none"/>
      </w:tabs>
      <w:jc w:val="center"/>
    </w:pPr>
    <w:rPr>
      <w:rFonts w:ascii="C_TimesRoman" w:hAnsi="C_TimesRoman"/>
      <w:b w:val="1"/>
      <w:sz w:val="24"/>
    </w:rPr>
  </w:style>
  <w:style w:type="paragraph" w:styleId="P12">
    <w:name w:val="Body Text"/>
    <w:basedOn w:val="P0"/>
    <w:next w:val="P12"/>
    <w:pPr>
      <w:tabs>
        <w:tab w:val="left" w:pos="9923" w:leader="none"/>
      </w:tabs>
      <w:jc w:val="both"/>
    </w:pPr>
    <w:rPr>
      <w:rFonts w:ascii="C_TimesRoman" w:hAnsi="C_TimesRoman"/>
    </w:rPr>
  </w:style>
  <w:style w:type="paragraph" w:styleId="P13">
    <w:name w:val="Body Text Indent 3"/>
    <w:basedOn w:val="P0"/>
    <w:next w:val="P13"/>
    <w:pPr>
      <w:tabs>
        <w:tab w:val="left" w:pos="9923" w:leader="none"/>
      </w:tabs>
      <w:ind w:firstLine="567"/>
      <w:jc w:val="both"/>
    </w:pPr>
    <w:rPr>
      <w:rFonts w:ascii="C_TimesRoman" w:hAnsi="C_TimesRoman"/>
    </w:rPr>
  </w:style>
  <w:style w:type="paragraph" w:styleId="P14">
    <w:name w:val="Body Text Indent"/>
    <w:basedOn w:val="P0"/>
    <w:next w:val="P14"/>
    <w:pPr>
      <w:spacing w:after="120"/>
      <w:ind w:left="283"/>
    </w:pPr>
    <w:rPr/>
  </w:style>
  <w:style w:type="paragraph" w:styleId="P15">
    <w:name w:val="Block Text"/>
    <w:basedOn w:val="P0"/>
    <w:next w:val="P15"/>
    <w:pPr>
      <w:tabs>
        <w:tab w:val="left" w:pos="9923" w:leader="none"/>
      </w:tabs>
      <w:ind w:firstLine="709" w:left="-142" w:right="-123"/>
      <w:jc w:val="both"/>
    </w:pPr>
    <w:rPr>
      <w:rFonts w:ascii="C_TimesRoman" w:hAnsi="C_TimesRoman"/>
    </w:rPr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Header"/>
    <w:basedOn w:val="P0"/>
    <w:next w:val="P17"/>
    <w:pPr>
      <w:tabs>
        <w:tab w:val="center" w:pos="4320" w:leader="none"/>
        <w:tab w:val="right" w:pos="8640" w:leader="none"/>
      </w:tabs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cpp"/>
    <w:basedOn w:val="P0"/>
    <w:next w:val="P19"/>
    <w:pPr>
      <w:spacing w:before="120"/>
      <w:ind w:firstLine="510"/>
      <w:jc w:val="both"/>
    </w:pPr>
    <w:rPr>
      <w:rFonts w:ascii="CHelvPlain" w:hAnsi="CHelvPlain"/>
    </w:rPr>
  </w:style>
  <w:style w:type="paragraph" w:styleId="P20">
    <w:name w:val="cp"/>
    <w:basedOn w:val="P0"/>
    <w:next w:val="P20"/>
    <w:pPr>
      <w:ind w:firstLine="510"/>
      <w:jc w:val="both"/>
    </w:pPr>
    <w:rPr>
      <w:rFonts w:ascii="CHelvPlain" w:hAnsi="CHelvPlain"/>
    </w:rPr>
  </w:style>
  <w:style w:type="paragraph" w:styleId="P21">
    <w:name w:val="paramica"/>
    <w:basedOn w:val="P0"/>
    <w:next w:val="P21"/>
    <w:pPr>
      <w:spacing w:before="120"/>
      <w:ind w:firstLine="851"/>
      <w:jc w:val="both"/>
    </w:pPr>
    <w:rPr>
      <w:rFonts w:ascii="CTimesRoman" w:hAnsi="CTimesRoman"/>
    </w:rPr>
  </w:style>
  <w:style w:type="paragraph" w:styleId="P22">
    <w:name w:val="Balloon Text"/>
    <w:basedOn w:val="P0"/>
    <w:next w:val="P22"/>
    <w:pPr/>
    <w:rPr>
      <w:rFonts w:ascii="Tahoma" w:hAnsi="Tahoma"/>
      <w:sz w:val="16"/>
    </w:rPr>
  </w:style>
  <w:style w:type="paragraph" w:styleId="P23">
    <w:name w:val="Footnote Text"/>
    <w:basedOn w:val="P0"/>
    <w:next w:val="P23"/>
    <w:pPr/>
    <w:rPr>
      <w:rFonts w:ascii="Times New Roman" w:hAnsi="Times New Roman"/>
    </w:rPr>
  </w:style>
  <w:style w:type="paragraph" w:styleId="P24">
    <w:name w:val="Body Text 2"/>
    <w:basedOn w:val="P0"/>
    <w:next w:val="P24"/>
    <w:pPr>
      <w:jc w:val="both"/>
    </w:pPr>
    <w:rPr>
      <w:rFonts w:ascii="Times New Roman" w:hAnsi="Times New Roman"/>
      <w:sz w:val="22"/>
    </w:rPr>
  </w:style>
  <w:style w:type="paragraph" w:styleId="P25">
    <w:name w:val="Document Map"/>
    <w:basedOn w:val="P0"/>
    <w:next w:val="P25"/>
    <w:pPr>
      <w:shd w:val="clear" w:fill="000080"/>
    </w:pPr>
    <w:rPr>
      <w:rFonts w:ascii="Tahoma" w:hAnsi="Tahoma"/>
    </w:rPr>
  </w:style>
  <w:style w:type="paragraph" w:styleId="P26">
    <w:name w:val="Caption"/>
    <w:basedOn w:val="P0"/>
    <w:next w:val="P0"/>
    <w:pPr>
      <w:jc w:val="center"/>
    </w:pPr>
    <w:rPr>
      <w:rFonts w:ascii="Times New Roman" w:hAnsi="Times New Roman"/>
      <w:b w:val="1"/>
      <w:sz w:val="24"/>
    </w:rPr>
  </w:style>
  <w:style w:type="paragraph" w:styleId="P27">
    <w:name w:val="Plain Text"/>
    <w:basedOn w:val="P0"/>
    <w:next w:val="P27"/>
    <w:pPr/>
    <w:rPr>
      <w:rFonts w:ascii="Courier New" w:hAnsi="Courier New"/>
    </w:rPr>
  </w:style>
  <w:style w:type="paragraph" w:styleId="P28">
    <w:name w:val="Blockquote"/>
    <w:basedOn w:val="P0"/>
    <w:next w:val="P28"/>
    <w:pPr>
      <w:spacing w:before="100" w:after="100"/>
      <w:ind w:left="360" w:right="360"/>
    </w:pPr>
    <w:rPr>
      <w:rFonts w:ascii="Times New Roman" w:hAnsi="Times New Roman"/>
      <w:sz w:val="24"/>
    </w:rPr>
  </w:style>
  <w:style w:type="paragraph" w:styleId="P29">
    <w:name w:val="Nace Section St"/>
    <w:basedOn w:val="P0"/>
    <w:next w:val="P29"/>
    <w:pPr>
      <w:keepNext w:val="1"/>
      <w:keepLines w:val="1"/>
      <w:spacing w:before="120"/>
    </w:pPr>
    <w:rPr>
      <w:rFonts w:ascii="Times" w:hAnsi="Times"/>
      <w:b w:val="1"/>
    </w:rPr>
  </w:style>
  <w:style w:type="paragraph" w:styleId="P30">
    <w:name w:val="Nace Division St"/>
    <w:basedOn w:val="P0"/>
    <w:next w:val="P30"/>
    <w:pPr>
      <w:keepNext w:val="1"/>
      <w:keepLines w:val="1"/>
      <w:spacing w:before="120"/>
    </w:pPr>
    <w:rPr>
      <w:rFonts w:ascii="Times" w:hAnsi="Times"/>
    </w:rPr>
  </w:style>
  <w:style w:type="paragraph" w:styleId="P31">
    <w:name w:val="Comment Text"/>
    <w:basedOn w:val="P0"/>
    <w:next w:val="P31"/>
    <w:pPr>
      <w:spacing w:before="120" w:after="120"/>
      <w:jc w:val="both"/>
    </w:pPr>
    <w:rPr>
      <w:rFonts w:ascii="Times New Roman" w:hAnsi="Times New Roman"/>
    </w:rPr>
  </w:style>
  <w:style w:type="paragraph" w:styleId="P32">
    <w:name w:val="xl24"/>
    <w:basedOn w:val="P0"/>
    <w:next w:val="P32"/>
    <w:pPr>
      <w:spacing w:before="100" w:after="100" w:beforeAutospacing="1" w:afterAutospacing="1"/>
    </w:pPr>
    <w:rPr>
      <w:b w:val="1"/>
      <w:sz w:val="24"/>
    </w:rPr>
  </w:style>
  <w:style w:type="paragraph" w:styleId="P33">
    <w:name w:val="xl25"/>
    <w:basedOn w:val="P0"/>
    <w:next w:val="P33"/>
    <w:pPr>
      <w:spacing w:before="100" w:after="100" w:beforeAutospacing="1" w:afterAutospacing="1"/>
    </w:pPr>
    <w:rPr>
      <w:b w:val="1"/>
      <w:sz w:val="24"/>
    </w:rPr>
  </w:style>
  <w:style w:type="paragraph" w:styleId="P34">
    <w:name w:val="xl26"/>
    <w:basedOn w:val="P0"/>
    <w:next w:val="P34"/>
    <w:pPr>
      <w:spacing w:before="100" w:after="100" w:beforeAutospacing="1" w:afterAutospacing="1"/>
      <w:jc w:val="right"/>
    </w:pPr>
    <w:rPr>
      <w:b w:val="1"/>
      <w:sz w:val="24"/>
    </w:rPr>
  </w:style>
  <w:style w:type="paragraph" w:styleId="P35">
    <w:name w:val="Nace Sous Section St"/>
    <w:basedOn w:val="P29"/>
    <w:next w:val="P35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character" w:styleId="C4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2011-07-20T11:31:00Z</dcterms:created>
  <cp:lastModifiedBy>Nikola Kapetanovic</cp:lastModifiedBy>
  <cp:lastPrinted>2012-08-13T06:16:00Z</cp:lastPrinted>
  <dcterms:modified xsi:type="dcterms:W3CDTF">2020-01-10T11:17:12Z</dcterms:modified>
  <cp:revision>46</cp:revision>
  <dc:title>REPUBLI^KI ZAVOD ZA STATISTIKU</dc:title>
</cp:coreProperties>
</file>