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56E66F3" Type="http://schemas.openxmlformats.org/officeDocument/2006/relationships/officeDocument" Target="/word/document.xml" /><Relationship Id="coreR156E66F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10167" w:type="dxa"/>
        <w:jc w:val="center"/>
        <w:tblInd w:w="-617" w:type="dxa"/>
        <w:tblBorders>
          <w:top w:val="single" w:sz="12" w:space="0" w:shadow="0" w:frame="0"/>
          <w:left w:val="none" w:sz="0" w:space="0" w:shadow="0" w:frame="0"/>
          <w:bottom w:val="single" w:sz="4" w:space="0" w:shadow="0" w:frame="0"/>
          <w:right w:val="none" w:sz="0" w:space="0" w:shadow="0" w:frame="0"/>
          <w:insideH w:val="single" w:sz="4" w:space="0" w:shadow="0" w:frame="0"/>
          <w:insideV w:val="single" w:sz="4" w:space="0" w:shadow="0" w:frame="0"/>
        </w:tblBorders>
        <w:tblLayout w:type="autofit"/>
        <w:tblCellMar>
          <w:left w:w="28" w:type="dxa"/>
          <w:right w:w="28" w:type="dxa"/>
        </w:tblCellMar>
      </w:tblPr>
      <w:tblGrid/>
      <w:tr>
        <w:trPr>
          <w:wAfter w:w="0" w:type="dxa"/>
        </w:trPr>
        <w:tc>
          <w:tcPr>
            <w:tcW w:w="7150" w:type="dxa"/>
            <w:vMerge w:val="restart"/>
            <w:tcBorders>
              <w:top w:val="single" w:sz="12" w:space="0" w:shadow="0" w:frame="0"/>
              <w:right w:val="none" w:sz="0" w:space="0" w:shadow="0" w:frame="0"/>
            </w:tcBorders>
          </w:tcPr>
          <w:p>
            <w:pPr>
              <w:rPr>
                <w:rFonts w:ascii="Arial" w:hAnsi="Arial"/>
              </w:rPr>
            </w:pPr>
            <w:r>
              <w:rPr>
                <w:rFonts w:ascii="Arial" w:hAnsi="Arial"/>
              </w:rPr>
              <w:t xml:space="preserve">Republic of Serbia </w:t>
            </w:r>
          </w:p>
          <w:p>
            <w:pPr>
              <w:rPr>
                <w:rFonts w:ascii="Arial" w:hAnsi="Arial"/>
                <w:b w:val="1"/>
                <w:sz w:val="6"/>
              </w:rPr>
            </w:pPr>
            <w:r>
              <w:rPr>
                <w:rFonts w:ascii="Arial" w:hAnsi="Arial"/>
              </w:rPr>
              <w:t>Statistical Office of the Republic of Serbia</w:t>
            </w:r>
          </w:p>
        </w:tc>
        <w:tc>
          <w:tcPr>
            <w:tcW w:w="3017" w:type="dxa"/>
            <w:tcBorders>
              <w:top w:val="single" w:sz="12" w:space="0" w:shadow="0" w:frame="0"/>
              <w:left w:val="none" w:sz="0" w:space="0" w:shadow="0" w:frame="0"/>
              <w:bottom w:val="single" w:sz="4" w:space="0" w:shadow="0" w:frame="0"/>
              <w:right w:val="none" w:sz="0" w:space="0" w:shadow="0" w:frame="0"/>
            </w:tcBorders>
          </w:tcPr>
          <w:p>
            <w:pPr>
              <w:rPr>
                <w:rFonts w:ascii="Arial" w:hAnsi="Arial"/>
                <w:b w:val="1"/>
                <w:sz w:val="12"/>
              </w:rPr>
            </w:pPr>
          </w:p>
        </w:tc>
      </w:tr>
      <w:tr>
        <w:trPr>
          <w:wAfter w:w="0" w:type="dxa"/>
        </w:trPr>
        <w:tc>
          <w:tcPr>
            <w:tcW w:w="7150" w:type="dxa"/>
            <w:vMerge w:val="continue"/>
          </w:tcPr>
          <w:p>
            <w:pPr>
              <w:rPr>
                <w:rFonts w:ascii="Arial" w:hAnsi="Arial"/>
                <w:b w:val="1"/>
              </w:rPr>
            </w:pPr>
          </w:p>
        </w:tc>
        <w:tc>
          <w:tcPr>
            <w:tcW w:w="3017" w:type="dxa"/>
            <w:tcBorders>
              <w:top w:val="single" w:sz="4" w:space="0" w:shadow="0" w:frame="0"/>
              <w:right w:val="single" w:sz="4" w:space="0" w:shadow="0" w:frame="0"/>
            </w:tcBorders>
          </w:tcPr>
          <w:p>
            <w:pPr>
              <w:spacing w:before="60"/>
              <w:jc w:val="center"/>
              <w:rPr>
                <w:rFonts w:ascii="Arial" w:hAnsi="Arial"/>
                <w:b w:val="1"/>
              </w:rPr>
            </w:pPr>
            <w:r>
              <w:rPr>
                <w:rFonts w:ascii="Arial" w:hAnsi="Arial"/>
                <w:b w:val="1"/>
                <w:sz w:val="20"/>
              </w:rPr>
              <w:t>ISSN 0353-9555</w:t>
            </w:r>
          </w:p>
        </w:tc>
      </w:tr>
      <w:tr>
        <w:trPr>
          <w:wAfter w:w="0" w:type="dxa"/>
        </w:trPr>
        <w:tc>
          <w:tcPr>
            <w:tcW w:w="7150" w:type="dxa"/>
            <w:vMerge w:val="continue"/>
            <w:tcBorders>
              <w:bottom w:val="none" w:sz="0" w:space="0" w:shadow="0" w:frame="0"/>
              <w:right w:val="none" w:sz="0" w:space="0" w:shadow="0" w:frame="0"/>
            </w:tcBorders>
          </w:tcPr>
          <w:p>
            <w:pPr>
              <w:jc w:val="center"/>
              <w:rPr>
                <w:rFonts w:ascii="Arial" w:hAnsi="Arial"/>
                <w:b w:val="1"/>
                <w:sz w:val="6"/>
              </w:rPr>
            </w:pPr>
          </w:p>
        </w:tc>
        <w:tc>
          <w:tcPr>
            <w:tcW w:w="3017" w:type="dxa"/>
            <w:tcBorders>
              <w:left w:val="none" w:sz="0" w:space="0" w:shadow="0" w:frame="0"/>
              <w:bottom w:val="single" w:sz="4" w:space="0" w:shadow="0" w:frame="0"/>
              <w:right w:val="none" w:sz="0" w:space="0" w:shadow="0" w:frame="0"/>
            </w:tcBorders>
          </w:tcPr>
          <w:p>
            <w:pPr>
              <w:jc w:val="center"/>
              <w:rPr>
                <w:rFonts w:ascii="Arial" w:hAnsi="Arial"/>
                <w:b w:val="1"/>
                <w:sz w:val="6"/>
              </w:rPr>
            </w:pPr>
          </w:p>
        </w:tc>
      </w:tr>
      <w:tr>
        <w:trPr>
          <w:wAfter w:w="0" w:type="dxa"/>
          <w:trHeight w:hRule="atLeast" w:val="828"/>
        </w:trPr>
        <w:tc>
          <w:tcPr>
            <w:tcW w:w="7150" w:type="dxa"/>
            <w:vMerge w:val="restart"/>
            <w:tcBorders>
              <w:top w:val="none" w:sz="0" w:space="0" w:shadow="0" w:frame="0"/>
            </w:tcBorders>
          </w:tcPr>
          <w:p>
            <w:pPr>
              <w:rPr>
                <w:rFonts w:ascii="Arial" w:hAnsi="Arial"/>
                <w:b w:val="1"/>
                <w:sz w:val="72"/>
              </w:rPr>
            </w:pPr>
            <w:r>
              <w:rPr>
                <w:rFonts w:ascii="Arial" w:hAnsi="Arial"/>
                <w:b w:val="1"/>
                <w:sz w:val="72"/>
              </w:rPr>
              <w:t>СOMMUNICATION</w:t>
            </w:r>
          </w:p>
          <w:p>
            <w:pPr>
              <w:rPr>
                <w:rFonts w:ascii="Arial" w:hAnsi="Arial"/>
                <w:b w:val="1"/>
              </w:rPr>
            </w:pPr>
            <w:r>
              <w:rPr>
                <w:rFonts w:ascii="Arial" w:hAnsi="Arial"/>
                <w:sz w:val="22"/>
              </w:rPr>
              <w:t>Number 346 • year LVIII, 15/12/2008</w:t>
            </w:r>
          </w:p>
        </w:tc>
        <w:tc>
          <w:tcPr>
            <w:tcW w:w="3017" w:type="dxa"/>
            <w:tcBorders>
              <w:top w:val="single" w:sz="4" w:space="0" w:shadow="0" w:frame="0"/>
              <w:right w:val="single" w:sz="4" w:space="0" w:shadow="0" w:frame="0"/>
            </w:tcBorders>
            <w:vAlign w:val="center"/>
          </w:tcPr>
          <w:p>
            <w:pPr>
              <w:jc w:val="center"/>
              <w:rPr>
                <w:rFonts w:ascii="Arial" w:hAnsi="Arial"/>
                <w:b w:val="1"/>
              </w:rPr>
            </w:pPr>
            <w:r>
              <w:rPr>
                <w:rFonts w:ascii="Arial" w:hAnsi="Arial"/>
                <w:b w:val="1"/>
                <w:sz w:val="72"/>
              </w:rPr>
              <w:t>LP1</w:t>
            </w:r>
            <w:r>
              <w:rPr>
                <w:rFonts w:ascii="Arial" w:hAnsi="Arial"/>
                <w:b w:val="1"/>
                <w:sz w:val="72"/>
              </w:rPr>
              <w:t>2</w:t>
            </w:r>
          </w:p>
        </w:tc>
      </w:tr>
      <w:tr>
        <w:trPr>
          <w:wAfter w:w="0" w:type="dxa"/>
        </w:trPr>
        <w:tc>
          <w:tcPr>
            <w:tcW w:w="7150" w:type="dxa"/>
            <w:vMerge w:val="continue"/>
            <w:tcBorders>
              <w:bottom w:val="none" w:sz="0" w:space="0" w:shadow="0" w:frame="0"/>
            </w:tcBorders>
          </w:tcPr>
          <w:p>
            <w:pPr>
              <w:jc w:val="center"/>
              <w:rPr>
                <w:rFonts w:ascii="Arial" w:hAnsi="Arial"/>
                <w:b w:val="1"/>
              </w:rPr>
            </w:pPr>
          </w:p>
        </w:tc>
        <w:tc>
          <w:tcPr>
            <w:tcW w:w="3017" w:type="dxa"/>
            <w:tcBorders>
              <w:top w:val="single" w:sz="4" w:space="0" w:shadow="0" w:frame="0"/>
              <w:right w:val="single" w:sz="4" w:space="0" w:shadow="0" w:frame="0"/>
            </w:tcBorders>
            <w:vAlign w:val="center"/>
          </w:tcPr>
          <w:p>
            <w:pPr>
              <w:jc w:val="center"/>
              <w:rPr>
                <w:rFonts w:ascii="Arial" w:hAnsi="Arial"/>
                <w:b w:val="1"/>
              </w:rPr>
            </w:pPr>
            <w:r>
              <w:rPr>
                <w:rFonts w:ascii="Arial" w:hAnsi="Arial"/>
                <w:b w:val="1"/>
                <w:sz w:val="20"/>
              </w:rPr>
              <w:t xml:space="preserve">SERB </w:t>
            </w:r>
            <w:r>
              <w:rPr>
                <w:rFonts w:ascii="Arial" w:hAnsi="Arial"/>
                <w:b w:val="1"/>
                <w:sz w:val="20"/>
              </w:rPr>
              <w:t>3</w:t>
            </w:r>
            <w:r>
              <w:rPr>
                <w:rFonts w:ascii="Arial" w:hAnsi="Arial"/>
                <w:b w:val="1"/>
                <w:sz w:val="20"/>
              </w:rPr>
              <w:t>4</w:t>
            </w:r>
            <w:r>
              <w:rPr>
                <w:rFonts w:ascii="Arial" w:hAnsi="Arial"/>
                <w:b w:val="1"/>
                <w:sz w:val="20"/>
              </w:rPr>
              <w:t>6</w:t>
            </w:r>
            <w:r>
              <w:rPr>
                <w:rFonts w:ascii="Arial" w:hAnsi="Arial"/>
                <w:b w:val="1"/>
                <w:sz w:val="20"/>
              </w:rPr>
              <w:t xml:space="preserve"> LP</w:t>
            </w:r>
            <w:r>
              <w:rPr>
                <w:rFonts w:ascii="Arial" w:hAnsi="Arial"/>
                <w:b w:val="1"/>
                <w:sz w:val="20"/>
              </w:rPr>
              <w:t>1</w:t>
            </w:r>
            <w:r>
              <w:rPr>
                <w:rFonts w:ascii="Arial" w:hAnsi="Arial"/>
                <w:b w:val="1"/>
                <w:sz w:val="20"/>
              </w:rPr>
              <w:t xml:space="preserve">2 </w:t>
            </w:r>
            <w:r>
              <w:rPr>
                <w:rFonts w:ascii="Arial" w:hAnsi="Arial"/>
                <w:b w:val="1"/>
                <w:sz w:val="20"/>
              </w:rPr>
              <w:t>1</w:t>
            </w:r>
            <w:r>
              <w:rPr>
                <w:rFonts w:ascii="Arial" w:hAnsi="Arial"/>
                <w:b w:val="1"/>
                <w:sz w:val="20"/>
              </w:rPr>
              <w:t>5</w:t>
            </w:r>
            <w:r>
              <w:rPr>
                <w:rFonts w:ascii="Arial" w:hAnsi="Arial"/>
                <w:b w:val="1"/>
                <w:sz w:val="20"/>
              </w:rPr>
              <w:t>12</w:t>
            </w:r>
            <w:r>
              <w:rPr>
                <w:rFonts w:ascii="Arial" w:hAnsi="Arial"/>
                <w:b w:val="1"/>
                <w:sz w:val="20"/>
              </w:rPr>
              <w:t>0</w:t>
            </w:r>
            <w:r>
              <w:rPr>
                <w:rFonts w:ascii="Arial" w:hAnsi="Arial"/>
                <w:b w:val="1"/>
                <w:sz w:val="20"/>
              </w:rPr>
              <w:t>8</w:t>
            </w:r>
          </w:p>
        </w:tc>
      </w:tr>
      <w:tr>
        <w:trPr>
          <w:wAfter w:w="0" w:type="dxa"/>
        </w:trPr>
        <w:tc>
          <w:tcPr>
            <w:tcW w:w="7150" w:type="dxa"/>
            <w:tcBorders>
              <w:top w:val="none" w:sz="0" w:space="0" w:shadow="0" w:frame="0"/>
              <w:bottom w:val="single" w:sz="12" w:space="0" w:shadow="0" w:frame="0"/>
              <w:right w:val="none" w:sz="0" w:space="0" w:shadow="0" w:frame="0"/>
            </w:tcBorders>
          </w:tcPr>
          <w:p>
            <w:pPr>
              <w:rPr>
                <w:rFonts w:ascii="Arial" w:hAnsi="Arial"/>
                <w:b w:val="1"/>
              </w:rPr>
            </w:pPr>
            <w:r>
              <w:rPr>
                <w:rFonts w:ascii="Arial" w:hAnsi="Arial"/>
                <w:b w:val="1"/>
              </w:rPr>
              <w:t>National accounts statistics</w:t>
            </w:r>
          </w:p>
        </w:tc>
        <w:tc>
          <w:tcPr>
            <w:tcW w:w="3017" w:type="dxa"/>
            <w:tcBorders>
              <w:left w:val="none" w:sz="0" w:space="0" w:shadow="0" w:frame="0"/>
              <w:bottom w:val="single" w:sz="12" w:space="0" w:shadow="0" w:frame="0"/>
              <w:right w:val="none" w:sz="0" w:space="0" w:shadow="0" w:frame="0"/>
            </w:tcBorders>
          </w:tcPr>
          <w:p>
            <w:pPr>
              <w:jc w:val="center"/>
              <w:rPr>
                <w:rFonts w:ascii="Arial" w:hAnsi="Arial"/>
                <w:b w:val="1"/>
              </w:rPr>
            </w:pPr>
          </w:p>
        </w:tc>
      </w:tr>
    </w:tbl>
    <w:p>
      <w:pPr>
        <w:jc w:val="center"/>
        <w:rPr>
          <w:rFonts w:ascii="Arial" w:hAnsi="Arial"/>
          <w:b w:val="1"/>
          <w:sz w:val="28"/>
        </w:rPr>
      </w:pPr>
    </w:p>
    <w:p>
      <w:pPr>
        <w:jc w:val="center"/>
        <w:rPr>
          <w:rFonts w:ascii="Arial" w:hAnsi="Arial"/>
          <w:b w:val="1"/>
          <w:sz w:val="28"/>
        </w:rPr>
      </w:pPr>
      <w:r>
        <w:rPr>
          <w:rFonts w:ascii="Arial" w:hAnsi="Arial"/>
          <w:b w:val="1"/>
          <w:sz w:val="28"/>
        </w:rPr>
        <w:t xml:space="preserve">HOUSEHOLD BUDGET SURVEY IN </w:t>
      </w:r>
      <w:r>
        <w:rPr>
          <w:rFonts w:ascii="Arial" w:hAnsi="Arial"/>
          <w:b w:val="1"/>
          <w:sz w:val="28"/>
        </w:rPr>
        <w:t>3</w:t>
      </w:r>
      <w:r>
        <w:rPr>
          <w:rFonts w:ascii="Arial" w:hAnsi="Arial"/>
          <w:b w:val="1"/>
          <w:sz w:val="28"/>
          <w:vertAlign w:val="superscript"/>
        </w:rPr>
        <w:t>rd</w:t>
      </w:r>
      <w:r>
        <w:rPr>
          <w:rFonts w:ascii="Arial" w:hAnsi="Arial"/>
          <w:b w:val="1"/>
          <w:sz w:val="28"/>
        </w:rPr>
        <w:t xml:space="preserve"> </w:t>
      </w:r>
      <w:r>
        <w:rPr>
          <w:rFonts w:ascii="Arial" w:hAnsi="Arial"/>
          <w:b w:val="1"/>
          <w:sz w:val="28"/>
        </w:rPr>
        <w:t>QUARTER 200</w:t>
      </w:r>
      <w:r>
        <w:rPr>
          <w:rFonts w:ascii="Arial" w:hAnsi="Arial"/>
          <w:b w:val="1"/>
          <w:sz w:val="28"/>
        </w:rPr>
        <w:t>8</w:t>
      </w:r>
    </w:p>
    <w:p>
      <w:pPr>
        <w:ind w:left="360"/>
        <w:jc w:val="center"/>
        <w:rPr>
          <w:rFonts w:ascii="Arial" w:hAnsi="Arial"/>
          <w:b w:val="1"/>
          <w:sz w:val="22"/>
        </w:rPr>
      </w:pPr>
      <w:r>
        <w:rPr>
          <w:rFonts w:ascii="Arial" w:hAnsi="Arial"/>
          <w:b w:val="1"/>
          <w:sz w:val="22"/>
        </w:rPr>
        <w:t xml:space="preserve">- </w:t>
      </w:r>
      <w:r>
        <w:rPr>
          <w:rFonts w:ascii="Arial" w:hAnsi="Arial"/>
          <w:b w:val="1"/>
          <w:sz w:val="20"/>
        </w:rPr>
        <w:t>Prelim</w:t>
      </w:r>
      <w:r>
        <w:rPr>
          <w:rFonts w:ascii="Arial" w:hAnsi="Arial"/>
          <w:b w:val="1"/>
          <w:sz w:val="20"/>
        </w:rPr>
        <w:t xml:space="preserve">inary results </w:t>
      </w:r>
      <w:r>
        <w:rPr>
          <w:rFonts w:ascii="Arial" w:hAnsi="Arial"/>
          <w:b w:val="1"/>
          <w:sz w:val="22"/>
        </w:rPr>
        <w:t>-</w:t>
      </w:r>
    </w:p>
    <w:p>
      <w:pPr>
        <w:ind w:firstLine="720"/>
        <w:jc w:val="both"/>
        <w:rPr>
          <w:rFonts w:ascii="Arial" w:hAnsi="Arial"/>
          <w:sz w:val="18"/>
        </w:rPr>
      </w:pPr>
    </w:p>
    <w:p>
      <w:pPr>
        <w:ind w:firstLine="720"/>
        <w:jc w:val="both"/>
        <w:rPr>
          <w:rFonts w:ascii="Arial" w:hAnsi="Arial"/>
          <w:sz w:val="18"/>
        </w:rPr>
      </w:pPr>
      <w:r>
        <w:rPr>
          <w:rFonts w:ascii="Arial" w:hAnsi="Arial"/>
          <w:sz w:val="18"/>
        </w:rPr>
        <w:t>The data were obtained through Household Budget Survey, which has been conducted since 2003 according to international standards and recommendations of Eurostat, ILO and UN, thus providing international data comparability. The survey collects the data on income, expenditure and household consumption, i.e. the data on basic elements of individual consumption. Besides, the survey compiles also the data on some important living standard indicators (dwelling conditions, supply with durable consumer goods, etc.), as well as some basic data related to demographic, economic and social features of households.</w:t>
      </w:r>
    </w:p>
    <w:p>
      <w:pPr>
        <w:ind w:firstLine="720"/>
        <w:jc w:val="both"/>
        <w:rPr>
          <w:rFonts w:ascii="Arial" w:hAnsi="Arial"/>
          <w:sz w:val="18"/>
        </w:rPr>
      </w:pPr>
      <w:r>
        <w:rPr>
          <w:rFonts w:ascii="Arial" w:hAnsi="Arial"/>
          <w:sz w:val="18"/>
        </w:rPr>
        <w:t xml:space="preserve">In this survey, a two-stage stratified sample is applied, with enumeration districts as primary and households as secondary selection units. The basic geographic stratums are the territory of Central Serbia and Vojvodina. Every fifteen days, 200 households are interviewed, i.e. 4800 households annually. </w:t>
      </w:r>
    </w:p>
    <w:p>
      <w:pPr>
        <w:spacing w:lineRule="auto" w:line="232"/>
        <w:ind w:firstLine="720"/>
        <w:jc w:val="both"/>
        <w:rPr>
          <w:rFonts w:ascii="Arial" w:hAnsi="Arial"/>
          <w:sz w:val="18"/>
        </w:rPr>
      </w:pPr>
      <w:r>
        <w:rPr>
          <w:rFonts w:ascii="Arial" w:hAnsi="Arial"/>
          <w:sz w:val="18"/>
        </w:rPr>
        <w:t>Of the total number of households envisaged for interview in the third quarter (1200 for the Republic of Serbia), the number of 1141 households (95%) was interviewed.</w:t>
      </w:r>
    </w:p>
    <w:tbl>
      <w:tblPr>
        <w:tblStyle w:val="T2"/>
        <w:tblW w:w="10342" w:type="dxa"/>
        <w:tblLayout w:type="autofit"/>
        <w:tblCellMar>
          <w:left w:w="0" w:type="dxa"/>
          <w:right w:w="0" w:type="dxa"/>
        </w:tblCellMar>
      </w:tblPr>
      <w:tblGrid/>
      <w:tr>
        <w:tc>
          <w:tcPr>
            <w:tcW w:w="5041" w:type="dxa"/>
          </w:tcPr>
          <w:p>
            <w:pPr>
              <w:tabs>
                <w:tab w:val="left" w:pos="690" w:leader="none"/>
              </w:tabs>
              <w:jc w:val="both"/>
            </w:pPr>
            <w:r>
              <w:drawing>
                <wp:inline xmlns:wp="http://schemas.openxmlformats.org/drawingml/2006/wordprocessingDrawing">
                  <wp:extent cx="3352165" cy="60674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352165" cy="6067425"/>
                          </a:xfrm>
                          <a:prstGeom prst="rect"/>
                          <a:noFill/>
                        </pic:spPr>
                      </pic:pic>
                    </a:graphicData>
                  </a:graphic>
                </wp:inline>
              </w:drawing>
            </w:r>
          </w:p>
        </w:tc>
        <w:tc>
          <w:tcPr>
            <w:tcW w:w="5301" w:type="dxa"/>
          </w:tcPr>
          <w:p>
            <w:pPr>
              <w:tabs>
                <w:tab w:val="left" w:pos="690" w:leader="none"/>
              </w:tabs>
              <w:jc w:val="right"/>
            </w:pPr>
            <w:r>
              <w:drawing>
                <wp:inline xmlns:wp="http://schemas.openxmlformats.org/drawingml/2006/wordprocessingDrawing">
                  <wp:extent cx="3323590" cy="595249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323590" cy="5952490"/>
                          </a:xfrm>
                          <a:prstGeom prst="rect"/>
                          <a:noFill/>
                        </pic:spPr>
                      </pic:pic>
                    </a:graphicData>
                  </a:graphic>
                </wp:inline>
              </w:drawing>
            </w:r>
          </w:p>
        </w:tc>
      </w:tr>
    </w:tbl>
    <w:p>
      <w:pPr>
        <w:pStyle w:val="P17"/>
        <w:rPr>
          <w:sz w:val="22"/>
        </w:rPr>
      </w:pPr>
    </w:p>
    <w:p>
      <w:pPr>
        <w:pStyle w:val="P17"/>
        <w:rPr>
          <w:sz w:val="22"/>
        </w:rPr>
      </w:pPr>
    </w:p>
    <w:p>
      <w:pPr>
        <w:pStyle w:val="P17"/>
        <w:rPr>
          <w:sz w:val="22"/>
        </w:rPr>
      </w:pPr>
      <w:r>
        <w:rPr>
          <w:sz w:val="22"/>
        </w:rPr>
        <w:t>Available budget and and individual consumption in 3</w:t>
      </w:r>
      <w:r>
        <w:rPr>
          <w:sz w:val="22"/>
          <w:vertAlign w:val="superscript"/>
        </w:rPr>
        <w:t xml:space="preserve">rd </w:t>
      </w:r>
      <w:r>
        <w:rPr>
          <w:sz w:val="22"/>
        </w:rPr>
        <w:t>quarter 2008</w:t>
      </w:r>
    </w:p>
    <w:p>
      <w:pPr>
        <w:pStyle w:val="P17"/>
      </w:pPr>
      <w:r>
        <w:t>- Household average -</w:t>
      </w:r>
    </w:p>
    <w:p>
      <w:pPr>
        <w:jc w:val="center"/>
        <w:rPr>
          <w:rFonts w:ascii="Arial" w:hAnsi="Arial"/>
          <w:b w:val="1"/>
          <w:sz w:val="18"/>
        </w:rPr>
      </w:pPr>
      <w:r>
        <w:rPr>
          <w:rFonts w:ascii="Arial" w:hAnsi="Arial"/>
          <w:b w:val="1"/>
          <w:sz w:val="18"/>
        </w:rPr>
        <w:t xml:space="preserve">- </w:t>
      </w:r>
      <w:r>
        <w:rPr>
          <w:rFonts w:ascii="Arial" w:hAnsi="Arial"/>
          <w:b w:val="1"/>
          <w:sz w:val="18"/>
        </w:rPr>
        <w:t>All households</w:t>
      </w:r>
      <w:r>
        <w:rPr>
          <w:rFonts w:ascii="Arial" w:hAnsi="Arial"/>
          <w:b w:val="1"/>
          <w:sz w:val="18"/>
        </w:rPr>
        <w:t xml:space="preserve"> -</w:t>
      </w:r>
    </w:p>
    <w:p>
      <w:pPr>
        <w:jc w:val="center"/>
        <w:rPr>
          <w:rFonts w:ascii="Arial" w:hAnsi="Arial"/>
          <w:b w:val="1"/>
          <w:sz w:val="20"/>
        </w:rPr>
      </w:pPr>
    </w:p>
    <w:p>
      <w:pPr>
        <w:jc w:val="right"/>
        <w:rPr>
          <w:rFonts w:ascii="Arial" w:hAnsi="Arial"/>
          <w:b w:val="1"/>
          <w:sz w:val="18"/>
        </w:rPr>
      </w:pPr>
      <w:r>
        <w:rPr>
          <w:rFonts w:ascii="Arial" w:hAnsi="Arial"/>
          <w:b w:val="1"/>
          <w:sz w:val="18"/>
        </w:rPr>
        <w:t>RSD</w:t>
      </w:r>
      <w:r>
        <w:rPr>
          <w:rFonts w:ascii="Arial" w:hAnsi="Arial"/>
          <w:b w:val="1"/>
          <w:sz w:val="18"/>
        </w:rPr>
        <w:t xml:space="preserve"> </w:t>
      </w:r>
    </w:p>
    <w:tbl>
      <w:tblPr>
        <w:tblStyle w:val="T2"/>
        <w:tblW w:w="10316" w:type="dxa"/>
        <w:jc w:val="center"/>
        <w:tblInd w:w="-677" w:type="dxa"/>
        <w:tblBorders>
          <w:top w:val="single" w:sz="8" w:space="0" w:shadow="0" w:frame="0"/>
          <w:left w:val="none" w:sz="0" w:space="0" w:shadow="0" w:frame="0"/>
          <w:bottom w:val="single" w:sz="4" w:space="0" w:shadow="0" w:frame="0"/>
          <w:right w:val="none" w:sz="0" w:space="0" w:shadow="0" w:frame="0"/>
          <w:insideH w:val="single" w:sz="4" w:space="0" w:shadow="0" w:frame="0"/>
          <w:insideV w:val="single" w:sz="4" w:space="0" w:shadow="0" w:frame="0"/>
        </w:tblBorders>
        <w:tblLayout w:type="fixed"/>
      </w:tblPr>
      <w:tblGrid/>
      <w:tr>
        <w:trPr>
          <w:wAfter w:w="0" w:type="dxa"/>
        </w:trPr>
        <w:tc>
          <w:tcPr>
            <w:tcW w:w="4563" w:type="dxa"/>
            <w:vMerge w:val="restart"/>
            <w:tcBorders>
              <w:top w:val="single" w:sz="8" w:space="0" w:shadow="0" w:frame="0"/>
            </w:tcBorders>
            <w:tcMar>
              <w:left w:w="28" w:type="dxa"/>
              <w:right w:w="28" w:type="dxa"/>
            </w:tcMar>
            <w:vAlign w:val="center"/>
          </w:tcPr>
          <w:p>
            <w:pPr>
              <w:spacing w:lineRule="auto" w:line="288" w:before="40" w:after="40"/>
              <w:ind w:hanging="284" w:left="284"/>
              <w:jc w:val="center"/>
              <w:rPr>
                <w:rFonts w:ascii="Arial" w:hAnsi="Arial"/>
                <w:b w:val="1"/>
                <w:sz w:val="18"/>
              </w:rPr>
            </w:pPr>
          </w:p>
        </w:tc>
        <w:tc>
          <w:tcPr>
            <w:tcW w:w="5753" w:type="dxa"/>
            <w:gridSpan w:val="5"/>
            <w:tcMar>
              <w:left w:w="28" w:type="dxa"/>
              <w:right w:w="28" w:type="dxa"/>
            </w:tcMar>
            <w:vAlign w:val="center"/>
          </w:tcPr>
          <w:p>
            <w:pPr>
              <w:spacing w:lineRule="auto" w:line="288" w:before="40" w:after="40"/>
              <w:jc w:val="center"/>
              <w:rPr>
                <w:rFonts w:ascii="Arial" w:hAnsi="Arial"/>
                <w:color w:val="000000"/>
                <w:sz w:val="18"/>
                <w:vertAlign w:val="superscript"/>
              </w:rPr>
            </w:pPr>
            <w:r>
              <w:rPr>
                <w:rFonts w:ascii="Arial" w:hAnsi="Arial"/>
                <w:color w:val="000000"/>
                <w:sz w:val="18"/>
              </w:rPr>
              <w:t>Republic of Serbia</w:t>
            </w:r>
          </w:p>
        </w:tc>
      </w:tr>
      <w:tr>
        <w:trPr>
          <w:wAfter w:w="0" w:type="dxa"/>
        </w:trPr>
        <w:tc>
          <w:tcPr>
            <w:tcW w:w="4563" w:type="dxa"/>
            <w:vMerge w:val="continue"/>
            <w:tcMar>
              <w:left w:w="28" w:type="dxa"/>
              <w:right w:w="28" w:type="dxa"/>
            </w:tcMar>
            <w:vAlign w:val="center"/>
          </w:tcPr>
          <w:p>
            <w:pPr>
              <w:spacing w:lineRule="auto" w:line="288" w:before="40" w:after="40"/>
              <w:ind w:hanging="284" w:left="284"/>
              <w:jc w:val="center"/>
              <w:rPr>
                <w:rFonts w:ascii="Arial" w:hAnsi="Arial"/>
                <w:b w:val="1"/>
                <w:sz w:val="18"/>
              </w:rPr>
            </w:pPr>
          </w:p>
        </w:tc>
        <w:tc>
          <w:tcPr>
            <w:tcW w:w="1133" w:type="dxa"/>
            <w:vMerge w:val="restart"/>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All</w:t>
            </w:r>
          </w:p>
        </w:tc>
        <w:tc>
          <w:tcPr>
            <w:tcW w:w="3465" w:type="dxa"/>
            <w:gridSpan w:val="3"/>
            <w:vAlign w:val="center"/>
          </w:tcPr>
          <w:p>
            <w:pPr>
              <w:spacing w:lineRule="auto" w:line="288" w:before="40" w:after="40"/>
              <w:jc w:val="center"/>
              <w:rPr>
                <w:rFonts w:ascii="Arial" w:hAnsi="Arial"/>
                <w:color w:val="000000"/>
                <w:sz w:val="18"/>
              </w:rPr>
            </w:pPr>
            <w:r>
              <w:rPr>
                <w:rFonts w:ascii="Arial" w:hAnsi="Arial"/>
                <w:color w:val="000000"/>
                <w:sz w:val="18"/>
              </w:rPr>
              <w:t>Central Serbia</w:t>
            </w:r>
          </w:p>
        </w:tc>
        <w:tc>
          <w:tcPr>
            <w:tcW w:w="1155" w:type="dxa"/>
            <w:vMerge w:val="restart"/>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Vojvodina</w:t>
            </w:r>
          </w:p>
        </w:tc>
      </w:tr>
      <w:tr>
        <w:trPr>
          <w:wAfter w:w="0" w:type="dxa"/>
        </w:trPr>
        <w:tc>
          <w:tcPr>
            <w:tcW w:w="4563" w:type="dxa"/>
            <w:vMerge w:val="continue"/>
            <w:tcBorders>
              <w:bottom w:val="single" w:sz="4" w:space="0" w:shadow="0" w:frame="0"/>
            </w:tcBorders>
            <w:tcMar>
              <w:left w:w="28" w:type="dxa"/>
              <w:right w:w="28" w:type="dxa"/>
            </w:tcMar>
            <w:vAlign w:val="center"/>
          </w:tcPr>
          <w:p>
            <w:pPr>
              <w:spacing w:lineRule="auto" w:line="288" w:before="40" w:after="40"/>
              <w:ind w:hanging="284" w:left="284"/>
              <w:jc w:val="center"/>
              <w:rPr>
                <w:rFonts w:ascii="Arial" w:hAnsi="Arial"/>
                <w:b w:val="1"/>
                <w:sz w:val="18"/>
              </w:rPr>
            </w:pPr>
          </w:p>
        </w:tc>
        <w:tc>
          <w:tcPr>
            <w:tcW w:w="1133" w:type="dxa"/>
            <w:vMerge w:val="continue"/>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p>
        </w:tc>
        <w:tc>
          <w:tcPr>
            <w:tcW w:w="1155" w:type="dxa"/>
            <w:tcBorders>
              <w:bottom w:val="single" w:sz="4" w:space="0" w:shadow="0" w:frame="0"/>
            </w:tcBorders>
            <w:vAlign w:val="center"/>
          </w:tcPr>
          <w:p>
            <w:pPr>
              <w:spacing w:lineRule="auto" w:line="288" w:before="40" w:after="40"/>
              <w:jc w:val="center"/>
              <w:rPr>
                <w:rFonts w:ascii="Arial" w:hAnsi="Arial"/>
                <w:color w:val="000000"/>
                <w:sz w:val="18"/>
              </w:rPr>
            </w:pPr>
            <w:r>
              <w:rPr>
                <w:rFonts w:ascii="Arial" w:hAnsi="Arial"/>
                <w:color w:val="000000"/>
                <w:sz w:val="18"/>
              </w:rPr>
              <w:t>Total</w:t>
            </w:r>
          </w:p>
        </w:tc>
        <w:tc>
          <w:tcPr>
            <w:tcW w:w="1155" w:type="dxa"/>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Without City of Belgrade</w:t>
            </w:r>
          </w:p>
        </w:tc>
        <w:tc>
          <w:tcPr>
            <w:tcW w:w="1155" w:type="dxa"/>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City of Belgrade</w:t>
            </w:r>
          </w:p>
        </w:tc>
        <w:tc>
          <w:tcPr>
            <w:tcW w:w="1155" w:type="dxa"/>
            <w:vMerge w:val="continue"/>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p>
        </w:tc>
      </w:tr>
      <w:tr>
        <w:trPr>
          <w:wAfter w:w="0" w:type="dxa"/>
          <w:trHeight w:hRule="atLeast" w:val="586"/>
        </w:trPr>
        <w:tc>
          <w:tcPr>
            <w:tcW w:w="10316" w:type="dxa"/>
            <w:gridSpan w:val="6"/>
            <w:tcBorders>
              <w:top w:val="single" w:sz="4" w:space="0" w:shadow="0" w:frame="0"/>
              <w:bottom w:val="none" w:sz="0" w:space="0" w:shadow="0" w:frame="0"/>
            </w:tcBorders>
            <w:tcMar>
              <w:left w:w="28" w:type="dxa"/>
              <w:right w:w="28" w:type="dxa"/>
            </w:tcMar>
          </w:tcPr>
          <w:p>
            <w:pPr>
              <w:spacing w:lineRule="auto" w:line="288" w:before="240" w:after="240"/>
              <w:jc w:val="center"/>
              <w:rPr>
                <w:rFonts w:ascii="Arial" w:hAnsi="Arial"/>
                <w:b w:val="1"/>
                <w:sz w:val="18"/>
              </w:rPr>
            </w:pPr>
            <w:r>
              <w:rPr>
                <w:rFonts w:ascii="Arial" w:hAnsi="Arial"/>
                <w:b w:val="1"/>
                <w:sz w:val="18"/>
              </w:rPr>
              <w:t>Monthly average</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Number of households surveyed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1141</w:t>
            </w:r>
          </w:p>
        </w:tc>
        <w:tc>
          <w:tcPr>
            <w:tcW w:w="1155" w:type="dxa"/>
            <w:tcBorders>
              <w:top w:val="none" w:sz="0" w:space="0" w:shadow="0" w:frame="0"/>
              <w:left w:val="none" w:sz="0" w:space="0" w:shadow="0" w:frame="0"/>
              <w:bottom w:val="none" w:sz="0" w:space="0" w:shadow="0" w:frame="0"/>
              <w:right w:val="none" w:sz="0" w:space="0" w:shadow="0" w:frame="0"/>
            </w:tcBorders>
          </w:tcPr>
          <w:p>
            <w:pPr>
              <w:jc w:val="right"/>
              <w:rPr>
                <w:rFonts w:ascii="Arial" w:hAnsi="Arial"/>
                <w:sz w:val="18"/>
              </w:rPr>
            </w:pPr>
            <w:r>
              <w:rPr>
                <w:rFonts w:ascii="Arial" w:hAnsi="Arial"/>
                <w:sz w:val="18"/>
              </w:rPr>
              <w:t>852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587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265</w:t>
            </w:r>
          </w:p>
        </w:tc>
        <w:tc>
          <w:tcPr>
            <w:tcW w:w="1155" w:type="dxa"/>
            <w:tcBorders>
              <w:top w:val="none" w:sz="0" w:space="0" w:shadow="0" w:frame="0"/>
              <w:left w:val="none" w:sz="0" w:space="0" w:shadow="0" w:frame="0"/>
              <w:bottom w:val="none" w:sz="0" w:space="0" w:shadow="0" w:frame="0"/>
            </w:tcBorders>
            <w:tcMar>
              <w:left w:w="28" w:type="dxa"/>
              <w:right w:w="28" w:type="dxa"/>
            </w:tcMar>
          </w:tcPr>
          <w:p>
            <w:pPr>
              <w:jc w:val="right"/>
              <w:rPr>
                <w:rFonts w:ascii="Arial" w:hAnsi="Arial"/>
                <w:sz w:val="18"/>
              </w:rPr>
            </w:pPr>
            <w:r>
              <w:rPr>
                <w:rFonts w:ascii="Arial" w:hAnsi="Arial"/>
                <w:sz w:val="18"/>
              </w:rPr>
              <w:t>289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Number of households assessed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2536714</w:t>
            </w:r>
          </w:p>
        </w:tc>
        <w:tc>
          <w:tcPr>
            <w:tcW w:w="1155" w:type="dxa"/>
            <w:tcBorders>
              <w:top w:val="none" w:sz="0" w:space="0" w:shadow="0" w:frame="0"/>
              <w:left w:val="none" w:sz="0" w:space="0" w:shadow="0" w:frame="0"/>
              <w:bottom w:val="none" w:sz="0" w:space="0" w:shadow="0" w:frame="0"/>
              <w:right w:val="none" w:sz="0" w:space="0" w:shadow="0" w:frame="0"/>
            </w:tcBorders>
          </w:tcPr>
          <w:p>
            <w:pPr>
              <w:jc w:val="right"/>
              <w:rPr>
                <w:rFonts w:ascii="Arial" w:hAnsi="Arial"/>
                <w:sz w:val="18"/>
              </w:rPr>
            </w:pPr>
            <w:r>
              <w:rPr>
                <w:rFonts w:ascii="Arial" w:hAnsi="Arial"/>
                <w:sz w:val="18"/>
              </w:rPr>
              <w:t>1832482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1257375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575107</w:t>
            </w:r>
          </w:p>
        </w:tc>
        <w:tc>
          <w:tcPr>
            <w:tcW w:w="1155" w:type="dxa"/>
            <w:tcBorders>
              <w:top w:val="none" w:sz="0" w:space="0" w:shadow="0" w:frame="0"/>
              <w:left w:val="none" w:sz="0" w:space="0" w:shadow="0" w:frame="0"/>
              <w:bottom w:val="none" w:sz="0" w:space="0" w:shadow="0" w:frame="0"/>
            </w:tcBorders>
            <w:tcMar>
              <w:left w:w="28" w:type="dxa"/>
              <w:right w:w="28" w:type="dxa"/>
            </w:tcMar>
          </w:tcPr>
          <w:p>
            <w:pPr>
              <w:jc w:val="right"/>
              <w:rPr>
                <w:rFonts w:ascii="Arial" w:hAnsi="Arial"/>
                <w:sz w:val="18"/>
              </w:rPr>
            </w:pPr>
            <w:r>
              <w:rPr>
                <w:rFonts w:ascii="Arial" w:hAnsi="Arial"/>
                <w:sz w:val="18"/>
              </w:rPr>
              <w:t>704232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Members, average number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2,80</w:t>
            </w:r>
          </w:p>
        </w:tc>
        <w:tc>
          <w:tcPr>
            <w:tcW w:w="1155" w:type="dxa"/>
            <w:tcBorders>
              <w:top w:val="none" w:sz="0" w:space="0" w:shadow="0" w:frame="0"/>
              <w:left w:val="none" w:sz="0" w:space="0" w:shadow="0" w:frame="0"/>
              <w:bottom w:val="none" w:sz="0" w:space="0" w:shadow="0" w:frame="0"/>
              <w:right w:val="none" w:sz="0" w:space="0" w:shadow="0" w:frame="0"/>
            </w:tcBorders>
          </w:tcPr>
          <w:p>
            <w:pPr>
              <w:jc w:val="right"/>
              <w:rPr>
                <w:rFonts w:ascii="Arial" w:hAnsi="Arial"/>
                <w:sz w:val="18"/>
              </w:rPr>
            </w:pPr>
            <w:r>
              <w:rPr>
                <w:rFonts w:ascii="Arial" w:hAnsi="Arial"/>
                <w:sz w:val="18"/>
              </w:rPr>
              <w:t>2,79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2,82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2,71</w:t>
            </w:r>
          </w:p>
        </w:tc>
        <w:tc>
          <w:tcPr>
            <w:tcW w:w="1155" w:type="dxa"/>
            <w:tcBorders>
              <w:top w:val="none" w:sz="0" w:space="0" w:shadow="0" w:frame="0"/>
              <w:left w:val="none" w:sz="0" w:space="0" w:shadow="0" w:frame="0"/>
              <w:bottom w:val="none" w:sz="0" w:space="0" w:shadow="0" w:frame="0"/>
            </w:tcBorders>
            <w:tcMar>
              <w:left w:w="28" w:type="dxa"/>
              <w:right w:w="28" w:type="dxa"/>
            </w:tcMar>
          </w:tcPr>
          <w:p>
            <w:pPr>
              <w:jc w:val="right"/>
              <w:rPr>
                <w:rFonts w:ascii="Arial" w:hAnsi="Arial"/>
                <w:sz w:val="18"/>
              </w:rPr>
            </w:pPr>
            <w:r>
              <w:rPr>
                <w:rFonts w:ascii="Arial" w:hAnsi="Arial"/>
                <w:sz w:val="18"/>
              </w:rPr>
              <w:t>2,84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after="120"/>
              <w:ind w:hanging="284" w:left="284"/>
              <w:rPr>
                <w:rFonts w:ascii="Arial" w:hAnsi="Arial"/>
                <w:sz w:val="18"/>
              </w:rPr>
            </w:pPr>
            <w:r>
              <w:rPr>
                <w:rFonts w:ascii="Arial" w:hAnsi="Arial"/>
                <w:sz w:val="18"/>
              </w:rPr>
              <w:t xml:space="preserve">Consumption units, average number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2,20</w:t>
            </w:r>
          </w:p>
        </w:tc>
        <w:tc>
          <w:tcPr>
            <w:tcW w:w="1155" w:type="dxa"/>
            <w:tcBorders>
              <w:top w:val="none" w:sz="0" w:space="0" w:shadow="0" w:frame="0"/>
              <w:left w:val="none" w:sz="0" w:space="0" w:shadow="0" w:frame="0"/>
              <w:bottom w:val="none" w:sz="0" w:space="0" w:shadow="0" w:frame="0"/>
              <w:right w:val="none" w:sz="0" w:space="0" w:shadow="0" w:frame="0"/>
            </w:tcBorders>
          </w:tcPr>
          <w:p>
            <w:pPr>
              <w:jc w:val="right"/>
              <w:rPr>
                <w:rFonts w:ascii="Arial" w:hAnsi="Arial"/>
                <w:sz w:val="18"/>
              </w:rPr>
            </w:pPr>
            <w:r>
              <w:rPr>
                <w:rFonts w:ascii="Arial" w:hAnsi="Arial"/>
                <w:sz w:val="18"/>
              </w:rPr>
              <w:t>2,18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2,20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2,14</w:t>
            </w:r>
          </w:p>
        </w:tc>
        <w:tc>
          <w:tcPr>
            <w:tcW w:w="1155" w:type="dxa"/>
            <w:tcBorders>
              <w:top w:val="none" w:sz="0" w:space="0" w:shadow="0" w:frame="0"/>
              <w:left w:val="none" w:sz="0" w:space="0" w:shadow="0" w:frame="0"/>
              <w:bottom w:val="none" w:sz="0" w:space="0" w:shadow="0" w:frame="0"/>
            </w:tcBorders>
            <w:tcMar>
              <w:left w:w="28" w:type="dxa"/>
              <w:right w:w="28" w:type="dxa"/>
            </w:tcMar>
          </w:tcPr>
          <w:p>
            <w:pPr>
              <w:jc w:val="right"/>
              <w:rPr>
                <w:rFonts w:ascii="Arial" w:hAnsi="Arial"/>
                <w:sz w:val="18"/>
              </w:rPr>
            </w:pPr>
            <w:r>
              <w:rPr>
                <w:rFonts w:ascii="Arial" w:hAnsi="Arial"/>
                <w:sz w:val="18"/>
              </w:rPr>
              <w:t>2,24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after="120"/>
              <w:ind w:hanging="284" w:left="284"/>
              <w:rPr>
                <w:rFonts w:ascii="Arial" w:hAnsi="Arial"/>
                <w:sz w:val="18"/>
              </w:rPr>
            </w:pP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after="120"/>
              <w:ind w:right="57"/>
              <w:jc w:val="right"/>
              <w:rPr>
                <w:rFonts w:ascii="Arial" w:hAnsi="Arial"/>
                <w:sz w:val="18"/>
              </w:rPr>
            </w:pPr>
          </w:p>
        </w:tc>
      </w:tr>
      <w:tr>
        <w:trPr>
          <w:wAfter w:w="0" w:type="dxa"/>
        </w:trPr>
        <w:tc>
          <w:tcPr>
            <w:tcW w:w="4563" w:type="dxa"/>
            <w:tcBorders>
              <w:top w:val="none" w:sz="0" w:space="0" w:shadow="0" w:frame="0"/>
              <w:left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b w:val="1"/>
                <w:sz w:val="18"/>
              </w:rPr>
            </w:pPr>
            <w:r>
              <w:rPr>
                <w:rFonts w:ascii="Arial" w:hAnsi="Arial"/>
                <w:b w:val="1"/>
                <w:sz w:val="18"/>
              </w:rPr>
              <w:t xml:space="preserve">Available budget </w:t>
            </w:r>
            <w:r>
              <w:rPr>
                <w:rFonts w:ascii="Arial" w:hAnsi="Arial"/>
                <w:sz w:val="18"/>
              </w:rPr>
              <w:t>–</w:t>
            </w:r>
            <w:r>
              <w:rPr>
                <w:rFonts w:ascii="Arial" w:hAnsi="Arial"/>
                <w:b w:val="1"/>
                <w:sz w:val="18"/>
              </w:rPr>
              <w:t xml:space="preserve"> total</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center"/>
          </w:tcPr>
          <w:p>
            <w:pPr>
              <w:jc w:val="right"/>
              <w:rPr>
                <w:rFonts w:ascii="Arial" w:hAnsi="Arial"/>
                <w:b w:val="1"/>
                <w:sz w:val="18"/>
              </w:rPr>
            </w:pPr>
            <w:r>
              <w:rPr>
                <w:rFonts w:ascii="Arial" w:hAnsi="Arial"/>
                <w:b w:val="1"/>
                <w:sz w:val="18"/>
              </w:rPr>
              <w:t>44835</w:t>
            </w:r>
          </w:p>
        </w:tc>
        <w:tc>
          <w:tcPr>
            <w:tcW w:w="115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b w:val="1"/>
                <w:sz w:val="18"/>
              </w:rPr>
            </w:pPr>
            <w:r>
              <w:rPr>
                <w:rFonts w:ascii="Arial" w:hAnsi="Arial"/>
                <w:b w:val="1"/>
                <w:sz w:val="18"/>
              </w:rPr>
              <w:t>44527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center"/>
          </w:tcPr>
          <w:p>
            <w:pPr>
              <w:jc w:val="right"/>
              <w:rPr>
                <w:rFonts w:ascii="Arial" w:hAnsi="Arial"/>
                <w:b w:val="1"/>
                <w:sz w:val="18"/>
              </w:rPr>
            </w:pPr>
            <w:r>
              <w:rPr>
                <w:rFonts w:ascii="Arial" w:hAnsi="Arial"/>
                <w:b w:val="1"/>
                <w:sz w:val="18"/>
              </w:rPr>
              <w:t>41706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center"/>
          </w:tcPr>
          <w:p>
            <w:pPr>
              <w:jc w:val="right"/>
              <w:rPr>
                <w:rFonts w:ascii="Arial" w:hAnsi="Arial"/>
                <w:b w:val="1"/>
                <w:sz w:val="18"/>
              </w:rPr>
            </w:pPr>
            <w:r>
              <w:rPr>
                <w:rFonts w:ascii="Arial" w:hAnsi="Arial"/>
                <w:b w:val="1"/>
                <w:sz w:val="18"/>
              </w:rPr>
              <w:t>50693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center"/>
          </w:tcPr>
          <w:p>
            <w:pPr>
              <w:jc w:val="right"/>
              <w:rPr>
                <w:rFonts w:ascii="Arial" w:hAnsi="Arial"/>
                <w:b w:val="1"/>
                <w:sz w:val="18"/>
              </w:rPr>
            </w:pPr>
            <w:r>
              <w:rPr>
                <w:rFonts w:ascii="Arial" w:hAnsi="Arial"/>
                <w:b w:val="1"/>
                <w:sz w:val="18"/>
              </w:rPr>
              <w:t>45642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b w:val="1"/>
                <w:sz w:val="18"/>
              </w:rPr>
            </w:pP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center"/>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vAlign w:val="center"/>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center"/>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center"/>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center"/>
          </w:tcPr>
          <w:p>
            <w:pPr>
              <w:spacing w:lineRule="auto" w:line="288"/>
              <w:ind w:right="57"/>
              <w:jc w:val="right"/>
              <w:rPr>
                <w:rFonts w:ascii="Arial" w:hAnsi="Arial"/>
                <w:b w:val="1"/>
                <w:color w:val="000000"/>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b w:val="1"/>
                <w:sz w:val="18"/>
              </w:rPr>
            </w:pPr>
            <w:r>
              <w:rPr>
                <w:rFonts w:ascii="Arial" w:hAnsi="Arial"/>
                <w:b w:val="1"/>
                <w:sz w:val="18"/>
              </w:rPr>
              <w:t>Household income in money</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center"/>
          </w:tcPr>
          <w:p>
            <w:pPr>
              <w:jc w:val="right"/>
              <w:rPr>
                <w:rFonts w:ascii="Arial" w:hAnsi="Arial"/>
                <w:b w:val="1"/>
                <w:sz w:val="18"/>
              </w:rPr>
            </w:pPr>
            <w:r>
              <w:rPr>
                <w:rFonts w:ascii="Arial" w:hAnsi="Arial"/>
                <w:b w:val="1"/>
                <w:sz w:val="18"/>
              </w:rPr>
              <w:t>42473</w:t>
            </w:r>
          </w:p>
        </w:tc>
        <w:tc>
          <w:tcPr>
            <w:tcW w:w="115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b w:val="1"/>
                <w:sz w:val="18"/>
              </w:rPr>
            </w:pPr>
            <w:r>
              <w:rPr>
                <w:rFonts w:ascii="Arial" w:hAnsi="Arial"/>
                <w:b w:val="1"/>
                <w:sz w:val="18"/>
              </w:rPr>
              <w:t>41972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center"/>
          </w:tcPr>
          <w:p>
            <w:pPr>
              <w:jc w:val="right"/>
              <w:rPr>
                <w:rFonts w:ascii="Arial" w:hAnsi="Arial"/>
                <w:b w:val="1"/>
                <w:sz w:val="18"/>
              </w:rPr>
            </w:pPr>
            <w:r>
              <w:rPr>
                <w:rFonts w:ascii="Arial" w:hAnsi="Arial"/>
                <w:b w:val="1"/>
                <w:sz w:val="18"/>
              </w:rPr>
              <w:t>38210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center"/>
          </w:tcPr>
          <w:p>
            <w:pPr>
              <w:jc w:val="right"/>
              <w:rPr>
                <w:rFonts w:ascii="Arial" w:hAnsi="Arial"/>
                <w:b w:val="1"/>
                <w:sz w:val="18"/>
              </w:rPr>
            </w:pPr>
            <w:r>
              <w:rPr>
                <w:rFonts w:ascii="Arial" w:hAnsi="Arial"/>
                <w:b w:val="1"/>
                <w:sz w:val="18"/>
              </w:rPr>
              <w:t>50195</w:t>
            </w:r>
          </w:p>
        </w:tc>
        <w:tc>
          <w:tcPr>
            <w:tcW w:w="1155" w:type="dxa"/>
            <w:tcBorders>
              <w:top w:val="none" w:sz="0" w:space="0" w:shadow="0" w:frame="0"/>
              <w:left w:val="none" w:sz="0" w:space="0" w:shadow="0" w:frame="0"/>
              <w:bottom w:val="none" w:sz="0" w:space="0" w:shadow="0" w:frame="0"/>
            </w:tcBorders>
            <w:tcMar>
              <w:left w:w="28" w:type="dxa"/>
              <w:right w:w="28" w:type="dxa"/>
            </w:tcMar>
            <w:vAlign w:val="center"/>
          </w:tcPr>
          <w:p>
            <w:pPr>
              <w:jc w:val="right"/>
              <w:rPr>
                <w:rFonts w:ascii="Arial" w:hAnsi="Arial"/>
                <w:b w:val="1"/>
                <w:sz w:val="18"/>
              </w:rPr>
            </w:pPr>
            <w:r>
              <w:rPr>
                <w:rFonts w:ascii="Arial" w:hAnsi="Arial"/>
                <w:b w:val="1"/>
                <w:sz w:val="18"/>
              </w:rPr>
              <w:t>43781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before="120"/>
              <w:ind w:hanging="284" w:left="568"/>
              <w:rPr>
                <w:rFonts w:ascii="Arial" w:hAnsi="Arial"/>
                <w:sz w:val="18"/>
              </w:rPr>
            </w:pPr>
            <w:r>
              <w:rPr>
                <w:rFonts w:ascii="Arial" w:hAnsi="Arial"/>
                <w:sz w:val="18"/>
              </w:rPr>
              <w:t xml:space="preserve">Regular salaries and wages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22104</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21799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19166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27554</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22898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Other income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1809</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1678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1877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1243</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2149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left="284"/>
              <w:rPr>
                <w:rFonts w:ascii="Arial" w:hAnsi="Arial"/>
                <w:sz w:val="18"/>
              </w:rPr>
            </w:pPr>
            <w:r>
              <w:rPr>
                <w:rFonts w:ascii="Arial" w:hAnsi="Arial"/>
                <w:sz w:val="18"/>
              </w:rPr>
              <w:t xml:space="preserve">Pensions (old-age, family, disablement and other)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12118</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12644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10933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16385</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10750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Other social insurance receipts</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726</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642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697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522</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951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Income from agriculture, hunting and fishing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2082</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1525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1679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1187</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3530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External receipts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547</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525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578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410</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602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Real estate related income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351</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286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397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40</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523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Donations and awards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328</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298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299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297</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406</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Customer and investment credits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670</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431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391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518</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1292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Other receipts</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1738</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2144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2193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2039</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680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Pr>
          <w:p>
            <w:pPr>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p>
        </w:tc>
        <w:tc>
          <w:tcPr>
            <w:tcW w:w="1155" w:type="dxa"/>
            <w:tcBorders>
              <w:top w:val="none" w:sz="0" w:space="0" w:shadow="0" w:frame="0"/>
              <w:left w:val="none" w:sz="0" w:space="0" w:shadow="0" w:frame="0"/>
              <w:bottom w:val="none" w:sz="0" w:space="0" w:shadow="0" w:frame="0"/>
            </w:tcBorders>
            <w:tcMar>
              <w:left w:w="28" w:type="dxa"/>
              <w:right w:w="28" w:type="dxa"/>
            </w:tcMar>
          </w:tcPr>
          <w:p>
            <w:pPr>
              <w:jc w:val="right"/>
              <w:rPr>
                <w:rFonts w:ascii="Arial" w:hAnsi="Arial"/>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rPr>
                <w:rFonts w:ascii="Arial" w:hAnsi="Arial"/>
                <w:b w:val="1"/>
                <w:sz w:val="18"/>
              </w:rPr>
            </w:pPr>
            <w:r>
              <w:rPr>
                <w:rFonts w:ascii="Arial" w:hAnsi="Arial"/>
                <w:b w:val="1"/>
                <w:sz w:val="18"/>
              </w:rPr>
              <w:t xml:space="preserve">      Household receipts in kind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b w:val="1"/>
                <w:sz w:val="18"/>
              </w:rPr>
            </w:pPr>
            <w:r>
              <w:rPr>
                <w:rFonts w:ascii="Arial" w:hAnsi="Arial"/>
                <w:b w:val="1"/>
                <w:sz w:val="18"/>
              </w:rPr>
              <w:t>2362</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2555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b w:val="1"/>
                <w:sz w:val="18"/>
              </w:rPr>
            </w:pPr>
            <w:r>
              <w:rPr>
                <w:rFonts w:ascii="Arial" w:hAnsi="Arial"/>
                <w:b w:val="1"/>
                <w:sz w:val="18"/>
              </w:rPr>
              <w:t>3496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b w:val="1"/>
                <w:sz w:val="18"/>
              </w:rPr>
            </w:pPr>
            <w:r>
              <w:rPr>
                <w:rFonts w:ascii="Arial" w:hAnsi="Arial"/>
                <w:b w:val="1"/>
                <w:sz w:val="18"/>
              </w:rPr>
              <w:t>498</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b w:val="1"/>
                <w:sz w:val="18"/>
              </w:rPr>
            </w:pPr>
            <w:r>
              <w:rPr>
                <w:rFonts w:ascii="Arial" w:hAnsi="Arial"/>
                <w:b w:val="1"/>
                <w:sz w:val="18"/>
              </w:rPr>
              <w:t>1861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Earned receipts in kind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45</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62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90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0</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Natural consumption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2317</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2493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3406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498</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1861</w:t>
            </w:r>
          </w:p>
        </w:tc>
      </w:tr>
      <w:tr>
        <w:trPr>
          <w:wAfter w:w="0" w:type="dxa"/>
          <w:trHeight w:hRule="atLeast" w:val="357"/>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after="120"/>
              <w:ind w:hanging="284" w:left="284"/>
              <w:rPr>
                <w:rFonts w:ascii="Arial" w:hAnsi="Arial"/>
                <w:sz w:val="18"/>
              </w:rPr>
            </w:pP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after="120"/>
              <w:ind w:right="57"/>
              <w:jc w:val="right"/>
              <w:rPr>
                <w:rFonts w:ascii="Arial" w:hAnsi="Arial"/>
                <w:sz w:val="18"/>
              </w:rPr>
            </w:pPr>
          </w:p>
        </w:tc>
      </w:tr>
      <w:tr>
        <w:trPr>
          <w:wAfter w:w="0" w:type="dxa"/>
        </w:trPr>
        <w:tc>
          <w:tcPr>
            <w:tcW w:w="4563" w:type="dxa"/>
            <w:tcBorders>
              <w:top w:val="none" w:sz="0" w:space="0" w:shadow="0" w:frame="0"/>
              <w:left w:val="none" w:sz="0" w:space="0" w:shadow="0" w:frame="0"/>
              <w:bottom w:val="none" w:sz="0" w:space="0" w:shadow="0" w:frame="0"/>
              <w:right w:val="single" w:sz="4" w:space="0" w:shadow="0" w:frame="0"/>
            </w:tcBorders>
            <w:shd w:val="clear" w:color="auto" w:fill="FFFFFF"/>
            <w:tcMar>
              <w:left w:w="28" w:type="dxa"/>
              <w:right w:w="28" w:type="dxa"/>
            </w:tcMar>
            <w:vAlign w:val="bottom"/>
          </w:tcPr>
          <w:p>
            <w:pPr>
              <w:spacing w:lineRule="auto" w:line="288"/>
              <w:ind w:hanging="284" w:left="284"/>
              <w:rPr>
                <w:rFonts w:ascii="Arial" w:hAnsi="Arial"/>
                <w:b w:val="1"/>
                <w:sz w:val="18"/>
              </w:rPr>
            </w:pPr>
            <w:r>
              <w:rPr>
                <w:rFonts w:ascii="Arial" w:hAnsi="Arial"/>
                <w:b w:val="1"/>
                <w:sz w:val="18"/>
              </w:rPr>
              <w:t xml:space="preserve">Individual consumption </w:t>
            </w:r>
            <w:r>
              <w:rPr>
                <w:rFonts w:ascii="Arial" w:hAnsi="Arial"/>
                <w:sz w:val="18"/>
              </w:rPr>
              <w:t>–</w:t>
            </w:r>
            <w:r>
              <w:rPr>
                <w:rFonts w:ascii="Arial" w:hAnsi="Arial"/>
                <w:b w:val="1"/>
                <w:sz w:val="18"/>
              </w:rPr>
              <w:t xml:space="preserve"> total</w:t>
            </w:r>
          </w:p>
        </w:tc>
        <w:tc>
          <w:tcPr>
            <w:tcW w:w="1133" w:type="dxa"/>
            <w:tcBorders>
              <w:top w:val="none" w:sz="0" w:space="0" w:shadow="0" w:frame="0"/>
              <w:left w:val="single" w:sz="4" w:space="0" w:shadow="0" w:frame="0"/>
              <w:bottom w:val="none" w:sz="0" w:space="0" w:shadow="0" w:frame="0"/>
              <w:right w:val="none" w:sz="0" w:space="0" w:shadow="0" w:frame="0"/>
            </w:tcBorders>
            <w:shd w:val="clear" w:color="auto" w:fill="FFFFFF"/>
            <w:tcMar>
              <w:left w:w="28" w:type="dxa"/>
              <w:right w:w="28" w:type="dxa"/>
            </w:tcMar>
            <w:vAlign w:val="bottom"/>
          </w:tcPr>
          <w:p>
            <w:pPr>
              <w:jc w:val="right"/>
              <w:rPr>
                <w:rFonts w:ascii="Arial" w:hAnsi="Arial"/>
                <w:b w:val="1"/>
                <w:sz w:val="18"/>
              </w:rPr>
            </w:pPr>
            <w:r>
              <w:rPr>
                <w:rFonts w:ascii="Arial" w:hAnsi="Arial"/>
                <w:b w:val="1"/>
                <w:sz w:val="18"/>
              </w:rPr>
              <w:t>40154</w:t>
            </w:r>
          </w:p>
        </w:tc>
        <w:tc>
          <w:tcPr>
            <w:tcW w:w="1155" w:type="dxa"/>
            <w:tcBorders>
              <w:top w:val="none" w:sz="0" w:space="0" w:shadow="0" w:frame="0"/>
              <w:left w:val="none" w:sz="0" w:space="0" w:shadow="0" w:frame="0"/>
              <w:bottom w:val="none" w:sz="0" w:space="0" w:shadow="0" w:frame="0"/>
              <w:right w:val="none" w:sz="0" w:space="0" w:shadow="0" w:frame="0"/>
            </w:tcBorders>
            <w:shd w:val="clear" w:color="auto" w:fill="FFFFFF"/>
            <w:vAlign w:val="bottom"/>
          </w:tcPr>
          <w:p>
            <w:pPr>
              <w:jc w:val="right"/>
              <w:rPr>
                <w:rFonts w:ascii="Arial" w:hAnsi="Arial"/>
                <w:b w:val="1"/>
                <w:sz w:val="18"/>
              </w:rPr>
            </w:pPr>
            <w:r>
              <w:rPr>
                <w:rFonts w:ascii="Arial" w:hAnsi="Arial"/>
                <w:b w:val="1"/>
                <w:sz w:val="18"/>
              </w:rPr>
              <w:t>39550</w:t>
            </w:r>
          </w:p>
        </w:tc>
        <w:tc>
          <w:tcPr>
            <w:tcW w:w="1155"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jc w:val="right"/>
              <w:rPr>
                <w:rFonts w:ascii="Arial" w:hAnsi="Arial"/>
                <w:b w:val="1"/>
                <w:sz w:val="18"/>
              </w:rPr>
            </w:pPr>
            <w:r>
              <w:rPr>
                <w:rFonts w:ascii="Arial" w:hAnsi="Arial"/>
                <w:b w:val="1"/>
                <w:sz w:val="18"/>
              </w:rPr>
              <w:t>37972</w:t>
            </w:r>
          </w:p>
        </w:tc>
        <w:tc>
          <w:tcPr>
            <w:tcW w:w="1155"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jc w:val="right"/>
              <w:rPr>
                <w:rFonts w:ascii="Arial" w:hAnsi="Arial"/>
                <w:b w:val="1"/>
                <w:sz w:val="18"/>
              </w:rPr>
            </w:pPr>
            <w:r>
              <w:rPr>
                <w:rFonts w:ascii="Arial" w:hAnsi="Arial"/>
                <w:b w:val="1"/>
                <w:sz w:val="18"/>
              </w:rPr>
              <w:t>42979</w:t>
            </w:r>
          </w:p>
        </w:tc>
        <w:tc>
          <w:tcPr>
            <w:tcW w:w="1155"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jc w:val="right"/>
              <w:rPr>
                <w:rFonts w:ascii="Arial" w:hAnsi="Arial"/>
                <w:b w:val="1"/>
                <w:sz w:val="18"/>
              </w:rPr>
            </w:pPr>
            <w:r>
              <w:rPr>
                <w:rFonts w:ascii="Arial" w:hAnsi="Arial"/>
                <w:b w:val="1"/>
                <w:sz w:val="18"/>
              </w:rPr>
              <w:t>41716</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Food and non-alcoholic beverages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16593</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16972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16507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17984</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15594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Alcoholic drinks and tobacco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1888</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1930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2008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1754</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1783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Clothes and footwear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2331</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2286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2405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2025</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2447</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Dwelling, water, electricity, gas and other fuels      </w:t>
            </w:r>
          </w:p>
          <w:p>
            <w:pPr>
              <w:spacing w:lineRule="auto" w:line="288"/>
              <w:ind w:hanging="284" w:left="284"/>
              <w:rPr>
                <w:rFonts w:ascii="Arial" w:hAnsi="Arial"/>
                <w:color w:val="000000"/>
                <w:sz w:val="18"/>
              </w:rPr>
            </w:pPr>
            <w:r>
              <w:rPr>
                <w:rFonts w:ascii="Arial" w:hAnsi="Arial"/>
                <w:color w:val="000000"/>
                <w:sz w:val="18"/>
              </w:rPr>
              <w:t xml:space="preserve">       supply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5772</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5624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5477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5948</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6155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Home furniture, equipment and maintenance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1834</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1556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1655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1335</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2565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327" w:left="327"/>
              <w:rPr>
                <w:rFonts w:ascii="Arial" w:hAnsi="Arial"/>
                <w:color w:val="000000"/>
                <w:sz w:val="18"/>
              </w:rPr>
            </w:pPr>
            <w:r>
              <w:rPr>
                <w:rFonts w:ascii="Arial" w:hAnsi="Arial"/>
                <w:color w:val="000000"/>
                <w:sz w:val="18"/>
              </w:rPr>
              <w:t xml:space="preserve">       Health service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1626</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1661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1398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2230</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1528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Transport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3653</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3440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3457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3407</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4201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Communications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1377</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1351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1303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1457</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1445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Recreation and culture</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2121</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2078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1549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3238</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2243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Education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286</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248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216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309</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384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Restaurants and hotels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860</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767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681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957</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1100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Other goods and services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1813</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1637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1316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2335</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2271</w:t>
            </w:r>
          </w:p>
        </w:tc>
      </w:tr>
    </w:tbl>
    <w:p>
      <w:pPr>
        <w:jc w:val="center"/>
        <w:rPr>
          <w:rFonts w:ascii="Arial" w:hAnsi="Arial"/>
          <w:b w:val="1"/>
          <w:sz w:val="20"/>
        </w:rPr>
      </w:pPr>
    </w:p>
    <w:p>
      <w:pPr>
        <w:jc w:val="center"/>
        <w:rPr>
          <w:rFonts w:ascii="Arial" w:hAnsi="Arial"/>
          <w:b w:val="1"/>
          <w:sz w:val="22"/>
        </w:rPr>
      </w:pPr>
    </w:p>
    <w:p>
      <w:pPr>
        <w:jc w:val="center"/>
        <w:rPr>
          <w:rFonts w:ascii="Arial" w:hAnsi="Arial"/>
          <w:b w:val="1"/>
          <w:sz w:val="22"/>
        </w:rPr>
      </w:pPr>
    </w:p>
    <w:p>
      <w:pPr>
        <w:jc w:val="center"/>
        <w:rPr>
          <w:rFonts w:ascii="Arial" w:hAnsi="Arial"/>
          <w:b w:val="1"/>
          <w:sz w:val="22"/>
        </w:rPr>
      </w:pPr>
    </w:p>
    <w:p>
      <w:pPr>
        <w:pStyle w:val="P10"/>
        <w:spacing w:lineRule="auto" w:line="240"/>
      </w:pPr>
    </w:p>
    <w:p>
      <w:pPr>
        <w:pStyle w:val="P17"/>
        <w:rPr>
          <w:sz w:val="22"/>
        </w:rPr>
      </w:pPr>
      <w:r>
        <w:rPr>
          <w:sz w:val="22"/>
        </w:rPr>
        <w:t>Structure of available budget and individual consumption in 3</w:t>
      </w:r>
      <w:r>
        <w:rPr>
          <w:sz w:val="22"/>
          <w:vertAlign w:val="superscript"/>
        </w:rPr>
        <w:t>rd</w:t>
      </w:r>
      <w:r>
        <w:rPr>
          <w:sz w:val="22"/>
        </w:rPr>
        <w:t xml:space="preserve"> quarter 2008</w:t>
      </w:r>
    </w:p>
    <w:p>
      <w:pPr>
        <w:jc w:val="center"/>
        <w:rPr>
          <w:rFonts w:ascii="Arial" w:hAnsi="Arial"/>
          <w:b w:val="1"/>
          <w:sz w:val="20"/>
        </w:rPr>
      </w:pPr>
      <w:r>
        <w:rPr>
          <w:rFonts w:ascii="Arial" w:hAnsi="Arial"/>
          <w:b w:val="1"/>
          <w:sz w:val="20"/>
        </w:rPr>
        <w:t>- All households -</w:t>
      </w:r>
    </w:p>
    <w:p>
      <w:pPr>
        <w:jc w:val="right"/>
        <w:rPr>
          <w:rFonts w:ascii="Arial" w:hAnsi="Arial"/>
          <w:b w:val="1"/>
          <w:sz w:val="18"/>
        </w:rPr>
      </w:pPr>
    </w:p>
    <w:p>
      <w:pPr>
        <w:jc w:val="right"/>
        <w:rPr>
          <w:rFonts w:ascii="Arial" w:hAnsi="Arial"/>
          <w:b w:val="1"/>
          <w:sz w:val="20"/>
        </w:rPr>
      </w:pPr>
      <w:r>
        <w:rPr>
          <w:rFonts w:ascii="Arial" w:hAnsi="Arial"/>
          <w:b w:val="1"/>
          <w:sz w:val="20"/>
        </w:rPr>
        <w:t>%</w:t>
      </w:r>
    </w:p>
    <w:tbl>
      <w:tblPr>
        <w:tblStyle w:val="T2"/>
        <w:tblW w:w="10316" w:type="dxa"/>
        <w:jc w:val="center"/>
        <w:tblInd w:w="-677" w:type="dxa"/>
        <w:tblBorders>
          <w:top w:val="single" w:sz="8" w:space="0" w:shadow="0" w:frame="0"/>
          <w:left w:val="none" w:sz="0" w:space="0" w:shadow="0" w:frame="0"/>
          <w:bottom w:val="single" w:sz="4" w:space="0" w:shadow="0" w:frame="0"/>
          <w:right w:val="none" w:sz="0" w:space="0" w:shadow="0" w:frame="0"/>
          <w:insideH w:val="single" w:sz="4" w:space="0" w:shadow="0" w:frame="0"/>
          <w:insideV w:val="single" w:sz="4" w:space="0" w:shadow="0" w:frame="0"/>
        </w:tblBorders>
        <w:tblLayout w:type="fixed"/>
      </w:tblPr>
      <w:tblGrid/>
      <w:tr>
        <w:trPr>
          <w:wAfter w:w="0" w:type="dxa"/>
        </w:trPr>
        <w:tc>
          <w:tcPr>
            <w:tcW w:w="4563" w:type="dxa"/>
            <w:vMerge w:val="restart"/>
            <w:tcBorders>
              <w:top w:val="single" w:sz="8" w:space="0" w:shadow="0" w:frame="0"/>
            </w:tcBorders>
            <w:tcMar>
              <w:left w:w="28" w:type="dxa"/>
              <w:right w:w="28" w:type="dxa"/>
            </w:tcMar>
            <w:vAlign w:val="center"/>
          </w:tcPr>
          <w:p>
            <w:pPr>
              <w:spacing w:lineRule="auto" w:line="288" w:before="40" w:after="40"/>
              <w:ind w:hanging="284" w:left="284"/>
              <w:jc w:val="center"/>
              <w:rPr>
                <w:rFonts w:ascii="Arial" w:hAnsi="Arial"/>
                <w:b w:val="1"/>
                <w:sz w:val="18"/>
              </w:rPr>
            </w:pPr>
          </w:p>
        </w:tc>
        <w:tc>
          <w:tcPr>
            <w:tcW w:w="5753" w:type="dxa"/>
            <w:gridSpan w:val="6"/>
            <w:tcMar>
              <w:left w:w="28" w:type="dxa"/>
              <w:right w:w="28" w:type="dxa"/>
            </w:tcMar>
            <w:vAlign w:val="center"/>
          </w:tcPr>
          <w:p>
            <w:pPr>
              <w:spacing w:lineRule="auto" w:line="288" w:before="40" w:after="40"/>
              <w:jc w:val="center"/>
              <w:rPr>
                <w:rFonts w:ascii="Arial" w:hAnsi="Arial"/>
                <w:color w:val="000000"/>
                <w:sz w:val="18"/>
                <w:vertAlign w:val="superscript"/>
              </w:rPr>
            </w:pPr>
            <w:r>
              <w:rPr>
                <w:rFonts w:ascii="Arial" w:hAnsi="Arial"/>
                <w:color w:val="000000"/>
                <w:sz w:val="18"/>
              </w:rPr>
              <w:t>Republic of Serbia</w:t>
            </w:r>
          </w:p>
        </w:tc>
      </w:tr>
      <w:tr>
        <w:trPr>
          <w:wAfter w:w="0" w:type="dxa"/>
        </w:trPr>
        <w:tc>
          <w:tcPr>
            <w:tcW w:w="4563" w:type="dxa"/>
            <w:vMerge w:val="continue"/>
            <w:tcMar>
              <w:left w:w="28" w:type="dxa"/>
              <w:right w:w="28" w:type="dxa"/>
            </w:tcMar>
            <w:vAlign w:val="center"/>
          </w:tcPr>
          <w:p>
            <w:pPr>
              <w:spacing w:lineRule="auto" w:line="288" w:before="40" w:after="40"/>
              <w:ind w:hanging="284" w:left="284"/>
              <w:jc w:val="center"/>
              <w:rPr>
                <w:rFonts w:ascii="Arial" w:hAnsi="Arial"/>
                <w:b w:val="1"/>
                <w:sz w:val="18"/>
              </w:rPr>
            </w:pPr>
          </w:p>
        </w:tc>
        <w:tc>
          <w:tcPr>
            <w:tcW w:w="1133" w:type="dxa"/>
            <w:gridSpan w:val="2"/>
            <w:vMerge w:val="restart"/>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All</w:t>
            </w:r>
          </w:p>
        </w:tc>
        <w:tc>
          <w:tcPr>
            <w:tcW w:w="3465" w:type="dxa"/>
            <w:gridSpan w:val="3"/>
            <w:vAlign w:val="center"/>
          </w:tcPr>
          <w:p>
            <w:pPr>
              <w:spacing w:lineRule="auto" w:line="288" w:before="40" w:after="40"/>
              <w:jc w:val="center"/>
              <w:rPr>
                <w:rFonts w:ascii="Arial" w:hAnsi="Arial"/>
                <w:color w:val="000000"/>
                <w:sz w:val="18"/>
              </w:rPr>
            </w:pPr>
            <w:r>
              <w:rPr>
                <w:rFonts w:ascii="Arial" w:hAnsi="Arial"/>
                <w:color w:val="000000"/>
                <w:sz w:val="18"/>
              </w:rPr>
              <w:t>Central Serbia</w:t>
            </w:r>
          </w:p>
        </w:tc>
        <w:tc>
          <w:tcPr>
            <w:tcW w:w="1155" w:type="dxa"/>
            <w:vMerge w:val="restart"/>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Vojvodina</w:t>
            </w:r>
          </w:p>
        </w:tc>
      </w:tr>
      <w:tr>
        <w:trPr>
          <w:wAfter w:w="0" w:type="dxa"/>
        </w:trPr>
        <w:tc>
          <w:tcPr>
            <w:tcW w:w="4563" w:type="dxa"/>
            <w:vMerge w:val="continue"/>
            <w:tcBorders>
              <w:bottom w:val="single" w:sz="4" w:space="0" w:shadow="0" w:frame="0"/>
            </w:tcBorders>
            <w:tcMar>
              <w:left w:w="28" w:type="dxa"/>
              <w:right w:w="28" w:type="dxa"/>
            </w:tcMar>
            <w:vAlign w:val="center"/>
          </w:tcPr>
          <w:p>
            <w:pPr>
              <w:spacing w:lineRule="auto" w:line="288" w:before="40" w:after="40"/>
              <w:ind w:hanging="284" w:left="284"/>
              <w:jc w:val="center"/>
              <w:rPr>
                <w:rFonts w:ascii="Arial" w:hAnsi="Arial"/>
                <w:b w:val="1"/>
                <w:sz w:val="18"/>
              </w:rPr>
            </w:pPr>
          </w:p>
        </w:tc>
        <w:tc>
          <w:tcPr>
            <w:tcW w:w="1133" w:type="dxa"/>
            <w:gridSpan w:val="2"/>
            <w:vMerge w:val="continue"/>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p>
        </w:tc>
        <w:tc>
          <w:tcPr>
            <w:tcW w:w="1155" w:type="dxa"/>
            <w:tcBorders>
              <w:bottom w:val="single" w:sz="4" w:space="0" w:shadow="0" w:frame="0"/>
            </w:tcBorders>
            <w:vAlign w:val="center"/>
          </w:tcPr>
          <w:p>
            <w:pPr>
              <w:spacing w:lineRule="auto" w:line="288" w:before="40" w:after="40"/>
              <w:jc w:val="center"/>
              <w:rPr>
                <w:rFonts w:ascii="Arial" w:hAnsi="Arial"/>
                <w:color w:val="000000"/>
                <w:sz w:val="18"/>
              </w:rPr>
            </w:pPr>
            <w:r>
              <w:rPr>
                <w:rFonts w:ascii="Arial" w:hAnsi="Arial"/>
                <w:color w:val="000000"/>
                <w:sz w:val="18"/>
              </w:rPr>
              <w:t>Total</w:t>
            </w:r>
          </w:p>
        </w:tc>
        <w:tc>
          <w:tcPr>
            <w:tcW w:w="1155" w:type="dxa"/>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Without City of Belgrade</w:t>
            </w:r>
          </w:p>
        </w:tc>
        <w:tc>
          <w:tcPr>
            <w:tcW w:w="1155" w:type="dxa"/>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City of Belgrade</w:t>
            </w:r>
          </w:p>
        </w:tc>
        <w:tc>
          <w:tcPr>
            <w:tcW w:w="1155" w:type="dxa"/>
            <w:vMerge w:val="continue"/>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p>
        </w:tc>
      </w:tr>
      <w:tr>
        <w:trPr>
          <w:wAfter w:w="0" w:type="dxa"/>
          <w:trHeight w:hRule="atLeast" w:val="586"/>
        </w:trPr>
        <w:tc>
          <w:tcPr>
            <w:tcW w:w="10316" w:type="dxa"/>
            <w:gridSpan w:val="7"/>
            <w:tcBorders>
              <w:top w:val="single" w:sz="4" w:space="0" w:shadow="0" w:frame="0"/>
              <w:bottom w:val="none" w:sz="0" w:space="0" w:shadow="0" w:frame="0"/>
            </w:tcBorders>
            <w:tcMar>
              <w:left w:w="28" w:type="dxa"/>
              <w:right w:w="28" w:type="dxa"/>
            </w:tcMar>
          </w:tcPr>
          <w:p>
            <w:pPr>
              <w:spacing w:lineRule="auto" w:line="288" w:before="240" w:after="240"/>
              <w:jc w:val="center"/>
              <w:rPr>
                <w:rFonts w:ascii="Arial" w:hAnsi="Arial"/>
                <w:b w:val="1"/>
                <w:sz w:val="18"/>
              </w:rPr>
            </w:pPr>
            <w:r>
              <w:rPr>
                <w:rFonts w:ascii="Arial" w:hAnsi="Arial"/>
                <w:b w:val="1"/>
                <w:sz w:val="18"/>
              </w:rPr>
              <w:t>Monthly average</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Number of households surveyed </w:t>
            </w:r>
          </w:p>
        </w:tc>
        <w:tc>
          <w:tcPr>
            <w:tcW w:w="1090"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1141</w:t>
            </w:r>
          </w:p>
        </w:tc>
        <w:tc>
          <w:tcPr>
            <w:tcW w:w="1198" w:type="dxa"/>
            <w:gridSpan w:val="2"/>
            <w:tcBorders>
              <w:top w:val="none" w:sz="0" w:space="0" w:shadow="0" w:frame="0"/>
              <w:left w:val="none" w:sz="0" w:space="0" w:shadow="0" w:frame="0"/>
              <w:bottom w:val="none" w:sz="0" w:space="0" w:shadow="0" w:frame="0"/>
              <w:right w:val="none" w:sz="0" w:space="0" w:shadow="0" w:frame="0"/>
            </w:tcBorders>
          </w:tcPr>
          <w:p>
            <w:pPr>
              <w:jc w:val="right"/>
              <w:rPr>
                <w:rFonts w:ascii="Arial" w:hAnsi="Arial"/>
                <w:sz w:val="18"/>
              </w:rPr>
            </w:pPr>
            <w:r>
              <w:rPr>
                <w:rFonts w:ascii="Arial" w:hAnsi="Arial"/>
                <w:sz w:val="18"/>
              </w:rPr>
              <w:t>852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587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265</w:t>
            </w:r>
          </w:p>
        </w:tc>
        <w:tc>
          <w:tcPr>
            <w:tcW w:w="1155" w:type="dxa"/>
            <w:tcBorders>
              <w:top w:val="none" w:sz="0" w:space="0" w:shadow="0" w:frame="0"/>
              <w:left w:val="none" w:sz="0" w:space="0" w:shadow="0" w:frame="0"/>
              <w:bottom w:val="none" w:sz="0" w:space="0" w:shadow="0" w:frame="0"/>
            </w:tcBorders>
            <w:tcMar>
              <w:left w:w="28" w:type="dxa"/>
              <w:right w:w="28" w:type="dxa"/>
            </w:tcMar>
          </w:tcPr>
          <w:p>
            <w:pPr>
              <w:jc w:val="right"/>
              <w:rPr>
                <w:rFonts w:ascii="Arial" w:hAnsi="Arial"/>
                <w:sz w:val="18"/>
              </w:rPr>
            </w:pPr>
            <w:r>
              <w:rPr>
                <w:rFonts w:ascii="Arial" w:hAnsi="Arial"/>
                <w:sz w:val="18"/>
              </w:rPr>
              <w:t>289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Number of households assessed </w:t>
            </w:r>
          </w:p>
        </w:tc>
        <w:tc>
          <w:tcPr>
            <w:tcW w:w="1090"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2536714</w:t>
            </w:r>
          </w:p>
        </w:tc>
        <w:tc>
          <w:tcPr>
            <w:tcW w:w="1198" w:type="dxa"/>
            <w:gridSpan w:val="2"/>
            <w:tcBorders>
              <w:top w:val="none" w:sz="0" w:space="0" w:shadow="0" w:frame="0"/>
              <w:left w:val="none" w:sz="0" w:space="0" w:shadow="0" w:frame="0"/>
              <w:bottom w:val="none" w:sz="0" w:space="0" w:shadow="0" w:frame="0"/>
              <w:right w:val="none" w:sz="0" w:space="0" w:shadow="0" w:frame="0"/>
            </w:tcBorders>
          </w:tcPr>
          <w:p>
            <w:pPr>
              <w:jc w:val="right"/>
              <w:rPr>
                <w:rFonts w:ascii="Arial" w:hAnsi="Arial"/>
                <w:sz w:val="18"/>
              </w:rPr>
            </w:pPr>
            <w:r>
              <w:rPr>
                <w:rFonts w:ascii="Arial" w:hAnsi="Arial"/>
                <w:sz w:val="18"/>
              </w:rPr>
              <w:t>1832482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1257375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575107</w:t>
            </w:r>
          </w:p>
        </w:tc>
        <w:tc>
          <w:tcPr>
            <w:tcW w:w="1155" w:type="dxa"/>
            <w:tcBorders>
              <w:top w:val="none" w:sz="0" w:space="0" w:shadow="0" w:frame="0"/>
              <w:left w:val="none" w:sz="0" w:space="0" w:shadow="0" w:frame="0"/>
              <w:bottom w:val="none" w:sz="0" w:space="0" w:shadow="0" w:frame="0"/>
            </w:tcBorders>
            <w:tcMar>
              <w:left w:w="28" w:type="dxa"/>
              <w:right w:w="28" w:type="dxa"/>
            </w:tcMar>
          </w:tcPr>
          <w:p>
            <w:pPr>
              <w:jc w:val="right"/>
              <w:rPr>
                <w:rFonts w:ascii="Arial" w:hAnsi="Arial"/>
                <w:sz w:val="18"/>
              </w:rPr>
            </w:pPr>
            <w:r>
              <w:rPr>
                <w:rFonts w:ascii="Arial" w:hAnsi="Arial"/>
                <w:sz w:val="18"/>
              </w:rPr>
              <w:t>704232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Members, average number </w:t>
            </w:r>
          </w:p>
        </w:tc>
        <w:tc>
          <w:tcPr>
            <w:tcW w:w="1090"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2,80</w:t>
            </w:r>
          </w:p>
        </w:tc>
        <w:tc>
          <w:tcPr>
            <w:tcW w:w="1198" w:type="dxa"/>
            <w:gridSpan w:val="2"/>
            <w:tcBorders>
              <w:top w:val="none" w:sz="0" w:space="0" w:shadow="0" w:frame="0"/>
              <w:left w:val="none" w:sz="0" w:space="0" w:shadow="0" w:frame="0"/>
              <w:bottom w:val="none" w:sz="0" w:space="0" w:shadow="0" w:frame="0"/>
              <w:right w:val="none" w:sz="0" w:space="0" w:shadow="0" w:frame="0"/>
            </w:tcBorders>
          </w:tcPr>
          <w:p>
            <w:pPr>
              <w:jc w:val="right"/>
              <w:rPr>
                <w:rFonts w:ascii="Arial" w:hAnsi="Arial"/>
                <w:sz w:val="18"/>
              </w:rPr>
            </w:pPr>
            <w:r>
              <w:rPr>
                <w:rFonts w:ascii="Arial" w:hAnsi="Arial"/>
                <w:sz w:val="18"/>
              </w:rPr>
              <w:t>2,79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2,82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2,71</w:t>
            </w:r>
          </w:p>
        </w:tc>
        <w:tc>
          <w:tcPr>
            <w:tcW w:w="1155" w:type="dxa"/>
            <w:tcBorders>
              <w:top w:val="none" w:sz="0" w:space="0" w:shadow="0" w:frame="0"/>
              <w:left w:val="none" w:sz="0" w:space="0" w:shadow="0" w:frame="0"/>
              <w:bottom w:val="none" w:sz="0" w:space="0" w:shadow="0" w:frame="0"/>
            </w:tcBorders>
            <w:tcMar>
              <w:left w:w="28" w:type="dxa"/>
              <w:right w:w="28" w:type="dxa"/>
            </w:tcMar>
          </w:tcPr>
          <w:p>
            <w:pPr>
              <w:jc w:val="right"/>
              <w:rPr>
                <w:rFonts w:ascii="Arial" w:hAnsi="Arial"/>
                <w:sz w:val="18"/>
              </w:rPr>
            </w:pPr>
            <w:r>
              <w:rPr>
                <w:rFonts w:ascii="Arial" w:hAnsi="Arial"/>
                <w:sz w:val="18"/>
              </w:rPr>
              <w:t>2,84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after="120"/>
              <w:ind w:hanging="284" w:left="284"/>
              <w:rPr>
                <w:rFonts w:ascii="Arial" w:hAnsi="Arial"/>
                <w:sz w:val="18"/>
              </w:rPr>
            </w:pPr>
            <w:r>
              <w:rPr>
                <w:rFonts w:ascii="Arial" w:hAnsi="Arial"/>
                <w:sz w:val="18"/>
              </w:rPr>
              <w:t xml:space="preserve">Consumption units, average number </w:t>
            </w:r>
          </w:p>
        </w:tc>
        <w:tc>
          <w:tcPr>
            <w:tcW w:w="1090"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2,20</w:t>
            </w:r>
          </w:p>
        </w:tc>
        <w:tc>
          <w:tcPr>
            <w:tcW w:w="1198" w:type="dxa"/>
            <w:gridSpan w:val="2"/>
            <w:tcBorders>
              <w:top w:val="none" w:sz="0" w:space="0" w:shadow="0" w:frame="0"/>
              <w:left w:val="none" w:sz="0" w:space="0" w:shadow="0" w:frame="0"/>
              <w:bottom w:val="none" w:sz="0" w:space="0" w:shadow="0" w:frame="0"/>
              <w:right w:val="none" w:sz="0" w:space="0" w:shadow="0" w:frame="0"/>
            </w:tcBorders>
          </w:tcPr>
          <w:p>
            <w:pPr>
              <w:jc w:val="right"/>
              <w:rPr>
                <w:rFonts w:ascii="Arial" w:hAnsi="Arial"/>
                <w:sz w:val="18"/>
              </w:rPr>
            </w:pPr>
            <w:r>
              <w:rPr>
                <w:rFonts w:ascii="Arial" w:hAnsi="Arial"/>
                <w:sz w:val="18"/>
              </w:rPr>
              <w:t>2,18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2,20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jc w:val="right"/>
              <w:rPr>
                <w:rFonts w:ascii="Arial" w:hAnsi="Arial"/>
                <w:sz w:val="18"/>
              </w:rPr>
            </w:pPr>
            <w:r>
              <w:rPr>
                <w:rFonts w:ascii="Arial" w:hAnsi="Arial"/>
                <w:sz w:val="18"/>
              </w:rPr>
              <w:t>2,14</w:t>
            </w:r>
          </w:p>
        </w:tc>
        <w:tc>
          <w:tcPr>
            <w:tcW w:w="1155" w:type="dxa"/>
            <w:tcBorders>
              <w:top w:val="none" w:sz="0" w:space="0" w:shadow="0" w:frame="0"/>
              <w:left w:val="none" w:sz="0" w:space="0" w:shadow="0" w:frame="0"/>
              <w:bottom w:val="none" w:sz="0" w:space="0" w:shadow="0" w:frame="0"/>
            </w:tcBorders>
            <w:tcMar>
              <w:left w:w="28" w:type="dxa"/>
              <w:right w:w="28" w:type="dxa"/>
            </w:tcMar>
          </w:tcPr>
          <w:p>
            <w:pPr>
              <w:jc w:val="right"/>
              <w:rPr>
                <w:rFonts w:ascii="Arial" w:hAnsi="Arial"/>
                <w:sz w:val="18"/>
              </w:rPr>
            </w:pPr>
            <w:r>
              <w:rPr>
                <w:rFonts w:ascii="Arial" w:hAnsi="Arial"/>
                <w:sz w:val="18"/>
              </w:rPr>
              <w:t>2,24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after="120"/>
              <w:ind w:hanging="284" w:left="284"/>
              <w:rPr>
                <w:rFonts w:ascii="Arial" w:hAnsi="Arial"/>
                <w:sz w:val="18"/>
              </w:rPr>
            </w:pPr>
          </w:p>
        </w:tc>
        <w:tc>
          <w:tcPr>
            <w:tcW w:w="1090"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98" w:type="dxa"/>
            <w:gridSpan w:val="2"/>
            <w:tcBorders>
              <w:top w:val="none" w:sz="0" w:space="0" w:shadow="0" w:frame="0"/>
              <w:left w:val="none" w:sz="0" w:space="0" w:shadow="0" w:frame="0"/>
              <w:bottom w:val="none" w:sz="0" w:space="0" w:shadow="0" w:frame="0"/>
              <w:right w:val="none" w:sz="0" w:space="0" w:shadow="0" w:frame="0"/>
            </w:tcBorders>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after="120"/>
              <w:ind w:right="57"/>
              <w:jc w:val="right"/>
              <w:rPr>
                <w:rFonts w:ascii="Arial" w:hAnsi="Arial"/>
                <w:sz w:val="18"/>
              </w:rPr>
            </w:pPr>
          </w:p>
        </w:tc>
      </w:tr>
      <w:tr>
        <w:trPr>
          <w:wAfter w:w="0" w:type="dxa"/>
        </w:trPr>
        <w:tc>
          <w:tcPr>
            <w:tcW w:w="4563" w:type="dxa"/>
            <w:tcBorders>
              <w:top w:val="none" w:sz="0" w:space="0" w:shadow="0" w:frame="0"/>
              <w:left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b w:val="1"/>
                <w:sz w:val="18"/>
              </w:rPr>
            </w:pPr>
            <w:r>
              <w:rPr>
                <w:rFonts w:ascii="Arial" w:hAnsi="Arial"/>
                <w:b w:val="1"/>
                <w:sz w:val="18"/>
              </w:rPr>
              <w:t xml:space="preserve">Available budget </w:t>
            </w:r>
            <w:r>
              <w:rPr>
                <w:rFonts w:ascii="Arial" w:hAnsi="Arial"/>
                <w:sz w:val="18"/>
              </w:rPr>
              <w:t xml:space="preserve">– </w:t>
            </w:r>
            <w:r>
              <w:rPr>
                <w:rFonts w:ascii="Arial" w:hAnsi="Arial"/>
                <w:b w:val="1"/>
                <w:sz w:val="18"/>
              </w:rPr>
              <w:t>total</w:t>
            </w:r>
          </w:p>
        </w:tc>
        <w:tc>
          <w:tcPr>
            <w:tcW w:w="1090"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b w:val="1"/>
                <w:sz w:val="18"/>
              </w:rPr>
            </w:pPr>
            <w:r>
              <w:rPr>
                <w:rFonts w:ascii="Arial" w:hAnsi="Arial"/>
                <w:b w:val="1"/>
                <w:sz w:val="18"/>
              </w:rPr>
              <w:t>100,0</w:t>
            </w:r>
          </w:p>
        </w:tc>
        <w:tc>
          <w:tcPr>
            <w:tcW w:w="119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100,0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b w:val="1"/>
                <w:sz w:val="18"/>
              </w:rPr>
            </w:pPr>
            <w:r>
              <w:rPr>
                <w:rFonts w:ascii="Arial" w:hAnsi="Arial"/>
                <w:b w:val="1"/>
                <w:sz w:val="18"/>
              </w:rPr>
              <w:t>100,0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b w:val="1"/>
                <w:sz w:val="18"/>
              </w:rPr>
            </w:pPr>
            <w:r>
              <w:rPr>
                <w:rFonts w:ascii="Arial" w:hAnsi="Arial"/>
                <w:b w:val="1"/>
                <w:sz w:val="18"/>
              </w:rPr>
              <w:t>100,0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b w:val="1"/>
                <w:sz w:val="18"/>
              </w:rPr>
            </w:pPr>
            <w:r>
              <w:rPr>
                <w:rFonts w:ascii="Arial" w:hAnsi="Arial"/>
                <w:b w:val="1"/>
                <w:sz w:val="18"/>
              </w:rPr>
              <w:t>100,0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b w:val="1"/>
                <w:sz w:val="18"/>
              </w:rPr>
            </w:pP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b w:val="1"/>
                <w:sz w:val="18"/>
              </w:rPr>
            </w:pPr>
            <w:r>
              <w:rPr>
                <w:rFonts w:ascii="Arial" w:hAnsi="Arial"/>
                <w:b w:val="1"/>
                <w:sz w:val="18"/>
              </w:rPr>
              <w:t>Household income in money</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center"/>
          </w:tcPr>
          <w:p>
            <w:pPr>
              <w:jc w:val="right"/>
              <w:rPr>
                <w:rFonts w:ascii="Arial" w:hAnsi="Arial"/>
                <w:b w:val="1"/>
                <w:sz w:val="18"/>
              </w:rPr>
            </w:pPr>
            <w:r>
              <w:rPr>
                <w:rFonts w:ascii="Arial" w:hAnsi="Arial"/>
                <w:b w:val="1"/>
                <w:sz w:val="18"/>
              </w:rPr>
              <w:t>94</w:t>
            </w:r>
            <w:r>
              <w:rPr>
                <w:rFonts w:ascii="Arial" w:hAnsi="Arial"/>
                <w:b w:val="1"/>
                <w:sz w:val="18"/>
              </w:rPr>
              <w:t>,</w:t>
            </w:r>
            <w:r>
              <w:rPr>
                <w:rFonts w:ascii="Arial" w:hAnsi="Arial"/>
                <w:b w:val="1"/>
                <w:sz w:val="18"/>
              </w:rPr>
              <w:t>7</w:t>
            </w:r>
          </w:p>
        </w:tc>
        <w:tc>
          <w:tcPr>
            <w:tcW w:w="115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b w:val="1"/>
                <w:sz w:val="18"/>
              </w:rPr>
            </w:pPr>
            <w:r>
              <w:rPr>
                <w:rFonts w:ascii="Arial" w:hAnsi="Arial"/>
                <w:b w:val="1"/>
                <w:sz w:val="18"/>
              </w:rPr>
              <w:t>94</w:t>
            </w:r>
            <w:r>
              <w:rPr>
                <w:rFonts w:ascii="Arial" w:hAnsi="Arial"/>
                <w:b w:val="1"/>
                <w:sz w:val="18"/>
              </w:rPr>
              <w:t>,</w:t>
            </w:r>
            <w:r>
              <w:rPr>
                <w:rFonts w:ascii="Arial" w:hAnsi="Arial"/>
                <w:b w:val="1"/>
                <w:sz w:val="18"/>
              </w:rPr>
              <w:t>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center"/>
          </w:tcPr>
          <w:p>
            <w:pPr>
              <w:jc w:val="right"/>
              <w:rPr>
                <w:rFonts w:ascii="Arial" w:hAnsi="Arial"/>
                <w:b w:val="1"/>
                <w:sz w:val="18"/>
              </w:rPr>
            </w:pPr>
            <w:r>
              <w:rPr>
                <w:rFonts w:ascii="Arial" w:hAnsi="Arial"/>
                <w:b w:val="1"/>
                <w:sz w:val="18"/>
              </w:rPr>
              <w:t>91</w:t>
            </w:r>
            <w:r>
              <w:rPr>
                <w:rFonts w:ascii="Arial" w:hAnsi="Arial"/>
                <w:b w:val="1"/>
                <w:sz w:val="18"/>
              </w:rPr>
              <w:t>,</w:t>
            </w:r>
            <w:r>
              <w:rPr>
                <w:rFonts w:ascii="Arial" w:hAnsi="Arial"/>
                <w:b w:val="1"/>
                <w:sz w:val="18"/>
              </w:rPr>
              <w:t>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center"/>
          </w:tcPr>
          <w:p>
            <w:pPr>
              <w:jc w:val="right"/>
              <w:rPr>
                <w:rFonts w:ascii="Arial" w:hAnsi="Arial"/>
                <w:b w:val="1"/>
                <w:sz w:val="18"/>
              </w:rPr>
            </w:pPr>
            <w:r>
              <w:rPr>
                <w:rFonts w:ascii="Arial" w:hAnsi="Arial"/>
                <w:b w:val="1"/>
                <w:sz w:val="18"/>
              </w:rPr>
              <w:t>99</w:t>
            </w:r>
            <w:r>
              <w:rPr>
                <w:rFonts w:ascii="Arial" w:hAnsi="Arial"/>
                <w:b w:val="1"/>
                <w:sz w:val="18"/>
              </w:rPr>
              <w:t>,</w:t>
            </w:r>
            <w:r>
              <w:rPr>
                <w:rFonts w:ascii="Arial" w:hAnsi="Arial"/>
                <w:b w:val="1"/>
                <w:sz w:val="18"/>
              </w:rPr>
              <w:t>0</w:t>
            </w:r>
          </w:p>
        </w:tc>
        <w:tc>
          <w:tcPr>
            <w:tcW w:w="1155" w:type="dxa"/>
            <w:tcBorders>
              <w:top w:val="none" w:sz="0" w:space="0" w:shadow="0" w:frame="0"/>
              <w:left w:val="none" w:sz="0" w:space="0" w:shadow="0" w:frame="0"/>
              <w:bottom w:val="none" w:sz="0" w:space="0" w:shadow="0" w:frame="0"/>
            </w:tcBorders>
            <w:tcMar>
              <w:left w:w="28" w:type="dxa"/>
              <w:right w:w="28" w:type="dxa"/>
            </w:tcMar>
            <w:vAlign w:val="center"/>
          </w:tcPr>
          <w:p>
            <w:pPr>
              <w:jc w:val="right"/>
              <w:rPr>
                <w:rFonts w:ascii="Arial" w:hAnsi="Arial"/>
                <w:b w:val="1"/>
                <w:sz w:val="18"/>
              </w:rPr>
            </w:pPr>
            <w:r>
              <w:rPr>
                <w:rFonts w:ascii="Arial" w:hAnsi="Arial"/>
                <w:b w:val="1"/>
                <w:sz w:val="18"/>
              </w:rPr>
              <w:t>95</w:t>
            </w:r>
            <w:r>
              <w:rPr>
                <w:rFonts w:ascii="Arial" w:hAnsi="Arial"/>
                <w:b w:val="1"/>
                <w:sz w:val="18"/>
              </w:rPr>
              <w:t>,</w:t>
            </w:r>
            <w:r>
              <w:rPr>
                <w:rFonts w:ascii="Arial" w:hAnsi="Arial"/>
                <w:b w:val="1"/>
                <w:sz w:val="18"/>
              </w:rPr>
              <w:t>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before="120"/>
              <w:ind w:hanging="284" w:left="568"/>
              <w:rPr>
                <w:rFonts w:ascii="Arial" w:hAnsi="Arial"/>
                <w:sz w:val="18"/>
              </w:rPr>
            </w:pPr>
            <w:r>
              <w:rPr>
                <w:rFonts w:ascii="Arial" w:hAnsi="Arial"/>
                <w:sz w:val="18"/>
              </w:rPr>
              <w:t xml:space="preserve">Regular salaries and wages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49,4</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49,0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45,9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54,4</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50,2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Other income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4,0</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2,5</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4,7</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left="284"/>
              <w:rPr>
                <w:rFonts w:ascii="Arial" w:hAnsi="Arial"/>
                <w:sz w:val="18"/>
              </w:rPr>
            </w:pPr>
            <w:r>
              <w:rPr>
                <w:rFonts w:ascii="Arial" w:hAnsi="Arial"/>
                <w:sz w:val="18"/>
              </w:rPr>
              <w:t xml:space="preserve">Pensions (old-age, family, disablement and other)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27,0</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28,4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26,2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32,3</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23,6</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Other social insurance receipts</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1,6</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1,0</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2,1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Income from agriculture, hunting and fishing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4,6</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2,3</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7,7</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External receipts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1,2</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0,8</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1,3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Real estate related income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0,8</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0,6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0,1</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1,1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Donations and awards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0,7</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0,7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0,7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0,6</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0,9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Customer and investment credits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1,5</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0,9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1,0</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2,8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Other receipts</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3,9</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5,3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4,0</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1,5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b w:val="1"/>
                <w:sz w:val="18"/>
              </w:rPr>
            </w:pPr>
            <w:r>
              <w:rPr>
                <w:rFonts w:ascii="Arial" w:hAnsi="Arial"/>
                <w:b w:val="1"/>
                <w:sz w:val="18"/>
              </w:rPr>
              <w:t>Приходи домаћинстава у натури</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center"/>
          </w:tcPr>
          <w:p>
            <w:pPr>
              <w:jc w:val="right"/>
              <w:rPr>
                <w:rFonts w:ascii="Arial" w:hAnsi="Arial"/>
                <w:b w:val="1"/>
                <w:sz w:val="18"/>
              </w:rPr>
            </w:pPr>
            <w:r>
              <w:rPr>
                <w:rFonts w:ascii="Arial" w:hAnsi="Arial"/>
                <w:b w:val="1"/>
                <w:sz w:val="18"/>
              </w:rPr>
              <w:t>5</w:t>
            </w:r>
            <w:r>
              <w:rPr>
                <w:rFonts w:ascii="Arial" w:hAnsi="Arial"/>
                <w:b w:val="1"/>
                <w:sz w:val="18"/>
              </w:rPr>
              <w:t>,</w:t>
            </w:r>
            <w:r>
              <w:rPr>
                <w:rFonts w:ascii="Arial" w:hAnsi="Arial"/>
                <w:b w:val="1"/>
                <w:sz w:val="18"/>
              </w:rPr>
              <w:t>3</w:t>
            </w:r>
          </w:p>
        </w:tc>
        <w:tc>
          <w:tcPr>
            <w:tcW w:w="1155" w:type="dxa"/>
            <w:tcBorders>
              <w:top w:val="none" w:sz="0" w:space="0" w:shadow="0" w:frame="0"/>
              <w:left w:val="none" w:sz="0" w:space="0" w:shadow="0" w:frame="0"/>
              <w:bottom w:val="none" w:sz="0" w:space="0" w:shadow="0" w:frame="0"/>
              <w:right w:val="none" w:sz="0" w:space="0" w:shadow="0" w:frame="0"/>
            </w:tcBorders>
            <w:vAlign w:val="center"/>
          </w:tcPr>
          <w:p>
            <w:pPr>
              <w:jc w:val="right"/>
              <w:rPr>
                <w:rFonts w:ascii="Arial" w:hAnsi="Arial"/>
                <w:b w:val="1"/>
                <w:sz w:val="18"/>
              </w:rPr>
            </w:pPr>
            <w:r>
              <w:rPr>
                <w:rFonts w:ascii="Arial" w:hAnsi="Arial"/>
                <w:b w:val="1"/>
                <w:sz w:val="18"/>
              </w:rPr>
              <w:t>5</w:t>
            </w:r>
            <w:r>
              <w:rPr>
                <w:rFonts w:ascii="Arial" w:hAnsi="Arial"/>
                <w:b w:val="1"/>
                <w:sz w:val="18"/>
              </w:rPr>
              <w:t>,</w:t>
            </w:r>
            <w:r>
              <w:rPr>
                <w:rFonts w:ascii="Arial" w:hAnsi="Arial"/>
                <w:b w:val="1"/>
                <w:sz w:val="18"/>
              </w:rPr>
              <w:t>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center"/>
          </w:tcPr>
          <w:p>
            <w:pPr>
              <w:jc w:val="right"/>
              <w:rPr>
                <w:rFonts w:ascii="Arial" w:hAnsi="Arial"/>
                <w:b w:val="1"/>
                <w:sz w:val="18"/>
              </w:rPr>
            </w:pPr>
            <w:r>
              <w:rPr>
                <w:rFonts w:ascii="Arial" w:hAnsi="Arial"/>
                <w:b w:val="1"/>
                <w:sz w:val="18"/>
              </w:rPr>
              <w:t>8</w:t>
            </w:r>
            <w:r>
              <w:rPr>
                <w:rFonts w:ascii="Arial" w:hAnsi="Arial"/>
                <w:b w:val="1"/>
                <w:sz w:val="18"/>
              </w:rPr>
              <w:t>,</w:t>
            </w:r>
            <w:r>
              <w:rPr>
                <w:rFonts w:ascii="Arial" w:hAnsi="Arial"/>
                <w:b w:val="1"/>
                <w:sz w:val="18"/>
              </w:rPr>
              <w:t>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center"/>
          </w:tcPr>
          <w:p>
            <w:pPr>
              <w:jc w:val="right"/>
              <w:rPr>
                <w:rFonts w:ascii="Arial" w:hAnsi="Arial"/>
                <w:b w:val="1"/>
                <w:sz w:val="18"/>
              </w:rPr>
            </w:pPr>
            <w:r>
              <w:rPr>
                <w:rFonts w:ascii="Arial" w:hAnsi="Arial"/>
                <w:b w:val="1"/>
                <w:sz w:val="18"/>
              </w:rPr>
              <w:t>1</w:t>
            </w:r>
            <w:r>
              <w:rPr>
                <w:rFonts w:ascii="Arial" w:hAnsi="Arial"/>
                <w:b w:val="1"/>
                <w:sz w:val="18"/>
              </w:rPr>
              <w:t>,</w:t>
            </w:r>
            <w:r>
              <w:rPr>
                <w:rFonts w:ascii="Arial" w:hAnsi="Arial"/>
                <w:b w:val="1"/>
                <w:sz w:val="18"/>
              </w:rPr>
              <w:t>0</w:t>
            </w:r>
          </w:p>
        </w:tc>
        <w:tc>
          <w:tcPr>
            <w:tcW w:w="1155" w:type="dxa"/>
            <w:tcBorders>
              <w:top w:val="none" w:sz="0" w:space="0" w:shadow="0" w:frame="0"/>
              <w:left w:val="none" w:sz="0" w:space="0" w:shadow="0" w:frame="0"/>
              <w:bottom w:val="none" w:sz="0" w:space="0" w:shadow="0" w:frame="0"/>
            </w:tcBorders>
            <w:tcMar>
              <w:left w:w="28" w:type="dxa"/>
              <w:right w:w="28" w:type="dxa"/>
            </w:tcMar>
            <w:vAlign w:val="center"/>
          </w:tcPr>
          <w:p>
            <w:pPr>
              <w:jc w:val="right"/>
              <w:rPr>
                <w:rFonts w:ascii="Arial" w:hAnsi="Arial"/>
                <w:b w:val="1"/>
                <w:sz w:val="18"/>
              </w:rPr>
            </w:pPr>
            <w:r>
              <w:rPr>
                <w:rFonts w:ascii="Arial" w:hAnsi="Arial"/>
                <w:b w:val="1"/>
                <w:sz w:val="18"/>
              </w:rPr>
              <w:t>4</w:t>
            </w:r>
            <w:r>
              <w:rPr>
                <w:rFonts w:ascii="Arial" w:hAnsi="Arial"/>
                <w:b w:val="1"/>
                <w:sz w:val="18"/>
              </w:rPr>
              <w:t>,</w:t>
            </w:r>
            <w:r>
              <w:rPr>
                <w:rFonts w:ascii="Arial" w:hAnsi="Arial"/>
                <w:b w:val="1"/>
                <w:sz w:val="18"/>
              </w:rPr>
              <w:t>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Приходи у натури на име зарада</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0,1</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0,1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0,2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0,0</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0,0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Натурална потрошња</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5,2</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8,2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1,0</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4,1</w:t>
            </w:r>
          </w:p>
        </w:tc>
      </w:tr>
      <w:tr>
        <w:trPr>
          <w:wAfter w:w="0" w:type="dxa"/>
          <w:trHeight w:hRule="atLeast" w:val="333"/>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after="120"/>
              <w:ind w:hanging="284" w:left="284"/>
              <w:rPr>
                <w:rFonts w:ascii="Arial" w:hAnsi="Arial"/>
                <w:sz w:val="18"/>
              </w:rPr>
            </w:pP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after="120"/>
              <w:ind w:right="57"/>
              <w:jc w:val="right"/>
              <w:rPr>
                <w:rFonts w:ascii="Arial" w:hAnsi="Arial"/>
                <w:sz w:val="18"/>
              </w:rPr>
            </w:pPr>
          </w:p>
        </w:tc>
      </w:tr>
      <w:tr>
        <w:trPr>
          <w:wAfter w:w="0" w:type="dxa"/>
        </w:trPr>
        <w:tc>
          <w:tcPr>
            <w:tcW w:w="4563" w:type="dxa"/>
            <w:tcBorders>
              <w:top w:val="none" w:sz="0" w:space="0" w:shadow="0" w:frame="0"/>
              <w:left w:val="none" w:sz="0" w:space="0" w:shadow="0" w:frame="0"/>
              <w:bottom w:val="none" w:sz="0" w:space="0" w:shadow="0" w:frame="0"/>
              <w:right w:val="single" w:sz="4" w:space="0" w:shadow="0" w:frame="0"/>
            </w:tcBorders>
            <w:shd w:val="clear" w:color="auto" w:fill="FFFFFF"/>
            <w:tcMar>
              <w:left w:w="28" w:type="dxa"/>
              <w:right w:w="28" w:type="dxa"/>
            </w:tcMar>
            <w:vAlign w:val="bottom"/>
          </w:tcPr>
          <w:p>
            <w:pPr>
              <w:spacing w:lineRule="auto" w:line="288"/>
              <w:ind w:hanging="284" w:left="284"/>
              <w:rPr>
                <w:rFonts w:ascii="Arial" w:hAnsi="Arial"/>
                <w:b w:val="1"/>
                <w:sz w:val="18"/>
              </w:rPr>
            </w:pPr>
            <w:r>
              <w:rPr>
                <w:rFonts w:ascii="Arial" w:hAnsi="Arial"/>
                <w:b w:val="1"/>
                <w:sz w:val="18"/>
              </w:rPr>
              <w:t xml:space="preserve">Individual consumption </w:t>
            </w:r>
            <w:r>
              <w:rPr>
                <w:rFonts w:ascii="Arial" w:hAnsi="Arial"/>
                <w:sz w:val="18"/>
              </w:rPr>
              <w:t>–</w:t>
            </w:r>
            <w:r>
              <w:rPr>
                <w:rFonts w:ascii="Arial" w:hAnsi="Arial"/>
                <w:b w:val="1"/>
                <w:sz w:val="18"/>
              </w:rPr>
              <w:t xml:space="preserve"> total</w:t>
            </w:r>
          </w:p>
        </w:tc>
        <w:tc>
          <w:tcPr>
            <w:tcW w:w="1133" w:type="dxa"/>
            <w:gridSpan w:val="2"/>
            <w:tcBorders>
              <w:top w:val="none" w:sz="0" w:space="0" w:shadow="0" w:frame="0"/>
              <w:left w:val="single" w:sz="4" w:space="0" w:shadow="0" w:frame="0"/>
              <w:bottom w:val="none" w:sz="0" w:space="0" w:shadow="0" w:frame="0"/>
              <w:right w:val="none" w:sz="0" w:space="0" w:shadow="0" w:frame="0"/>
            </w:tcBorders>
            <w:shd w:val="clear" w:color="auto" w:fill="FFFFFF"/>
            <w:tcMar>
              <w:left w:w="28" w:type="dxa"/>
              <w:right w:w="28" w:type="dxa"/>
            </w:tcMar>
            <w:vAlign w:val="bottom"/>
          </w:tcPr>
          <w:p>
            <w:pPr>
              <w:jc w:val="right"/>
              <w:rPr>
                <w:rFonts w:ascii="Arial" w:hAnsi="Arial"/>
                <w:b w:val="1"/>
                <w:sz w:val="18"/>
              </w:rPr>
            </w:pPr>
            <w:r>
              <w:rPr>
                <w:rFonts w:ascii="Arial" w:hAnsi="Arial"/>
                <w:b w:val="1"/>
                <w:sz w:val="18"/>
              </w:rPr>
              <w:t>100,0</w:t>
            </w:r>
          </w:p>
        </w:tc>
        <w:tc>
          <w:tcPr>
            <w:tcW w:w="1155" w:type="dxa"/>
            <w:tcBorders>
              <w:top w:val="none" w:sz="0" w:space="0" w:shadow="0" w:frame="0"/>
              <w:left w:val="none" w:sz="0" w:space="0" w:shadow="0" w:frame="0"/>
              <w:bottom w:val="none" w:sz="0" w:space="0" w:shadow="0" w:frame="0"/>
              <w:right w:val="none" w:sz="0" w:space="0" w:shadow="0" w:frame="0"/>
            </w:tcBorders>
            <w:shd w:val="clear" w:color="auto" w:fill="FFFFFF"/>
            <w:vAlign w:val="bottom"/>
          </w:tcPr>
          <w:p>
            <w:pPr>
              <w:jc w:val="right"/>
              <w:rPr>
                <w:rFonts w:ascii="Arial" w:hAnsi="Arial"/>
                <w:b w:val="1"/>
                <w:sz w:val="18"/>
              </w:rPr>
            </w:pPr>
            <w:r>
              <w:rPr>
                <w:rFonts w:ascii="Arial" w:hAnsi="Arial"/>
                <w:b w:val="1"/>
                <w:sz w:val="18"/>
              </w:rPr>
              <w:t>100,0</w:t>
            </w:r>
          </w:p>
        </w:tc>
        <w:tc>
          <w:tcPr>
            <w:tcW w:w="1155"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jc w:val="right"/>
              <w:rPr>
                <w:rFonts w:ascii="Arial" w:hAnsi="Arial"/>
                <w:b w:val="1"/>
                <w:sz w:val="18"/>
              </w:rPr>
            </w:pPr>
            <w:r>
              <w:rPr>
                <w:rFonts w:ascii="Arial" w:hAnsi="Arial"/>
                <w:b w:val="1"/>
                <w:sz w:val="18"/>
              </w:rPr>
              <w:t>100,0</w:t>
            </w:r>
          </w:p>
        </w:tc>
        <w:tc>
          <w:tcPr>
            <w:tcW w:w="1155"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jc w:val="right"/>
              <w:rPr>
                <w:rFonts w:ascii="Arial" w:hAnsi="Arial"/>
                <w:b w:val="1"/>
                <w:sz w:val="18"/>
              </w:rPr>
            </w:pPr>
            <w:r>
              <w:rPr>
                <w:rFonts w:ascii="Arial" w:hAnsi="Arial"/>
                <w:b w:val="1"/>
                <w:sz w:val="18"/>
              </w:rPr>
              <w:t>100,0</w:t>
            </w:r>
          </w:p>
        </w:tc>
        <w:tc>
          <w:tcPr>
            <w:tcW w:w="1155"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jc w:val="right"/>
              <w:rPr>
                <w:rFonts w:ascii="Arial" w:hAnsi="Arial"/>
                <w:b w:val="1"/>
                <w:sz w:val="18"/>
              </w:rPr>
            </w:pPr>
            <w:r>
              <w:rPr>
                <w:rFonts w:ascii="Arial" w:hAnsi="Arial"/>
                <w:b w:val="1"/>
                <w:sz w:val="18"/>
              </w:rPr>
              <w:t>100,0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Food and non-alcoholic beverages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41,4</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42,9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43,4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41,9</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37,3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Alcoholic drinks and tobacco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4,7</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5,3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4,1</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4,3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Clothes and footwear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5,8</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6,3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4,7</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5,9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Dwelling, water, electricity, gas and other fuels      </w:t>
            </w:r>
          </w:p>
          <w:p>
            <w:pPr>
              <w:spacing w:lineRule="auto" w:line="288"/>
              <w:ind w:hanging="284" w:left="284"/>
              <w:rPr>
                <w:rFonts w:ascii="Arial" w:hAnsi="Arial"/>
                <w:color w:val="000000"/>
                <w:sz w:val="18"/>
              </w:rPr>
            </w:pPr>
            <w:r>
              <w:rPr>
                <w:rFonts w:ascii="Arial" w:hAnsi="Arial"/>
                <w:color w:val="000000"/>
                <w:sz w:val="18"/>
              </w:rPr>
              <w:t xml:space="preserve">       supply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14,4</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14,3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14,4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13,9</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14,8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Home furniture, equipment and maintenance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4,6</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3,1</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6,1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327" w:left="327"/>
              <w:rPr>
                <w:rFonts w:ascii="Arial" w:hAnsi="Arial"/>
                <w:color w:val="000000"/>
                <w:sz w:val="18"/>
              </w:rPr>
            </w:pPr>
            <w:r>
              <w:rPr>
                <w:rFonts w:ascii="Arial" w:hAnsi="Arial"/>
                <w:color w:val="000000"/>
                <w:sz w:val="18"/>
              </w:rPr>
              <w:t xml:space="preserve">       Health service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4,0</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5,2</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3,7</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Transport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9,1</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8,7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9,1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7,9</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10,1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Communications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3,4</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3,4</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3,5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Recreation and culture</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5,3</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7,5</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5,4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Education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0,7</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0,6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0,6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0,7</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0,9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Restaurants and hotels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2,1</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1,8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2,2</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2,6</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Other goods and services </w:t>
            </w:r>
          </w:p>
        </w:tc>
        <w:tc>
          <w:tcPr>
            <w:tcW w:w="1133" w:type="dxa"/>
            <w:gridSpan w:val="2"/>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4,5</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3,5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jc w:val="right"/>
              <w:rPr>
                <w:rFonts w:ascii="Arial" w:hAnsi="Arial"/>
                <w:sz w:val="18"/>
              </w:rPr>
            </w:pPr>
            <w:r>
              <w:rPr>
                <w:rFonts w:ascii="Arial" w:hAnsi="Arial"/>
                <w:sz w:val="18"/>
              </w:rPr>
              <w:t>5,4</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jc w:val="right"/>
              <w:rPr>
                <w:rFonts w:ascii="Arial" w:hAnsi="Arial"/>
                <w:sz w:val="18"/>
              </w:rPr>
            </w:pPr>
            <w:r>
              <w:rPr>
                <w:rFonts w:ascii="Arial" w:hAnsi="Arial"/>
                <w:sz w:val="18"/>
              </w:rPr>
              <w:t>5,4</w:t>
            </w:r>
          </w:p>
        </w:tc>
      </w:tr>
    </w:tbl>
    <w:p>
      <w:pPr>
        <w:spacing w:lineRule="auto" w:line="264"/>
        <w:jc w:val="center"/>
        <w:rPr>
          <w:rFonts w:ascii="Arial" w:hAnsi="Arial"/>
          <w:b w:val="1"/>
          <w:sz w:val="20"/>
        </w:rPr>
      </w:pPr>
    </w:p>
    <w:p>
      <w:pPr>
        <w:spacing w:lineRule="auto" w:line="264"/>
        <w:jc w:val="center"/>
        <w:rPr>
          <w:rFonts w:ascii="Arial" w:hAnsi="Arial"/>
          <w:b w:val="1"/>
          <w:sz w:val="20"/>
        </w:rPr>
      </w:pPr>
    </w:p>
    <w:p>
      <w:pPr>
        <w:spacing w:lineRule="auto" w:line="264"/>
        <w:jc w:val="center"/>
        <w:rPr>
          <w:rFonts w:ascii="Arial" w:hAnsi="Arial"/>
          <w:b w:val="1"/>
          <w:sz w:val="20"/>
        </w:rPr>
      </w:pPr>
    </w:p>
    <w:p>
      <w:pPr>
        <w:spacing w:lineRule="auto" w:line="264"/>
        <w:jc w:val="center"/>
        <w:rPr>
          <w:rFonts w:ascii="Arial" w:hAnsi="Arial"/>
          <w:b w:val="1"/>
          <w:sz w:val="20"/>
        </w:rPr>
      </w:pPr>
    </w:p>
    <w:p>
      <w:pPr>
        <w:spacing w:lineRule="auto" w:line="264"/>
        <w:jc w:val="center"/>
        <w:rPr>
          <w:rFonts w:ascii="Arial" w:hAnsi="Arial"/>
          <w:b w:val="1"/>
          <w:sz w:val="20"/>
        </w:rPr>
      </w:pPr>
    </w:p>
    <w:p>
      <w:pPr>
        <w:pStyle w:val="P10"/>
      </w:pPr>
    </w:p>
    <w:p>
      <w:pPr>
        <w:pStyle w:val="P10"/>
      </w:pPr>
      <w:r>
        <w:t>Methodological explanations</w:t>
      </w:r>
    </w:p>
    <w:p>
      <w:pPr>
        <w:spacing w:lineRule="auto" w:line="235"/>
        <w:ind w:firstLine="720"/>
        <w:jc w:val="both"/>
        <w:rPr>
          <w:rFonts w:ascii="Arial" w:hAnsi="Arial"/>
          <w:sz w:val="20"/>
        </w:rPr>
      </w:pPr>
    </w:p>
    <w:p>
      <w:pPr>
        <w:spacing w:lineRule="auto" w:line="235"/>
        <w:ind w:firstLine="720"/>
        <w:jc w:val="both"/>
        <w:rPr>
          <w:rFonts w:ascii="Arial" w:hAnsi="Arial"/>
          <w:sz w:val="20"/>
        </w:rPr>
      </w:pPr>
    </w:p>
    <w:p>
      <w:pPr>
        <w:spacing w:lineRule="auto" w:line="235"/>
        <w:ind w:firstLine="720"/>
        <w:jc w:val="both"/>
        <w:rPr>
          <w:rFonts w:ascii="Arial" w:hAnsi="Arial"/>
          <w:sz w:val="20"/>
        </w:rPr>
      </w:pPr>
      <w:r>
        <w:rPr>
          <w:rFonts w:ascii="Arial" w:hAnsi="Arial"/>
          <w:sz w:val="20"/>
        </w:rPr>
        <w:t>A survey unit is taken to be every single - or several - member household, selected according to the sample plan. A household is: a) a community of persons, whose members live and prepare food together and jointly spend the earned income; b) a single person, living, preparing food and spending the earned income on his/her own.</w:t>
      </w:r>
    </w:p>
    <w:p>
      <w:pPr>
        <w:spacing w:lineRule="auto" w:line="235"/>
        <w:ind w:firstLine="720"/>
        <w:jc w:val="both"/>
        <w:rPr>
          <w:rFonts w:ascii="Arial" w:hAnsi="Arial"/>
          <w:sz w:val="20"/>
        </w:rPr>
      </w:pPr>
      <w:r>
        <w:rPr>
          <w:rFonts w:ascii="Arial" w:hAnsi="Arial"/>
          <w:sz w:val="20"/>
        </w:rPr>
        <w:t>The survey applies the method of diary keeping (a household keeps a consumption diary for fifteen, i.e. sixteen days) regarding individual consumption of food and services and the interview method on the basis of questionnaires, where the reference period for durables is twelve months, for semi-durables - three months and for earnings, agriculture, hunting and fishing - three months.</w:t>
      </w:r>
    </w:p>
    <w:p>
      <w:pPr>
        <w:spacing w:lineRule="auto" w:line="235"/>
        <w:ind w:firstLine="720"/>
        <w:jc w:val="both"/>
        <w:rPr>
          <w:rFonts w:ascii="Arial" w:hAnsi="Arial"/>
          <w:sz w:val="20"/>
        </w:rPr>
      </w:pPr>
    </w:p>
    <w:p>
      <w:pPr>
        <w:spacing w:lineRule="auto" w:line="235"/>
        <w:ind w:firstLine="720"/>
        <w:jc w:val="both"/>
        <w:rPr>
          <w:rFonts w:ascii="Arial" w:hAnsi="Arial"/>
          <w:sz w:val="20"/>
        </w:rPr>
      </w:pPr>
      <w:r>
        <w:rPr>
          <w:rFonts w:ascii="Arial" w:hAnsi="Arial"/>
          <w:b w:val="1"/>
          <w:sz w:val="20"/>
        </w:rPr>
        <w:t>Available household budget</w:t>
      </w:r>
      <w:r>
        <w:rPr>
          <w:rFonts w:ascii="Arial" w:hAnsi="Arial"/>
          <w:sz w:val="20"/>
        </w:rPr>
        <w:t xml:space="preserve"> comprises income in money and the money value of natural consumption and receipts in kind, which were available to households in the respective survey period.</w:t>
      </w:r>
    </w:p>
    <w:p>
      <w:pPr>
        <w:spacing w:lineRule="auto" w:line="235"/>
        <w:ind w:firstLine="720"/>
        <w:jc w:val="both"/>
        <w:rPr>
          <w:rFonts w:ascii="Arial" w:hAnsi="Arial"/>
          <w:sz w:val="20"/>
        </w:rPr>
      </w:pPr>
    </w:p>
    <w:p>
      <w:pPr>
        <w:spacing w:lineRule="auto" w:line="235"/>
        <w:jc w:val="both"/>
        <w:rPr>
          <w:rFonts w:ascii="Arial" w:hAnsi="Arial"/>
          <w:b w:val="1"/>
          <w:sz w:val="20"/>
        </w:rPr>
      </w:pPr>
      <w:r>
        <w:rPr>
          <w:rFonts w:ascii="Arial" w:hAnsi="Arial"/>
          <w:b w:val="1"/>
          <w:sz w:val="20"/>
        </w:rPr>
        <w:t xml:space="preserve">      </w:t>
      </w:r>
      <w:r>
        <w:rPr>
          <w:rFonts w:ascii="Arial" w:hAnsi="Arial"/>
          <w:b w:val="1"/>
          <w:sz w:val="20"/>
        </w:rPr>
        <w:tab/>
        <w:t>Household income in money</w:t>
      </w:r>
    </w:p>
    <w:p>
      <w:pPr>
        <w:tabs>
          <w:tab w:val="left" w:pos="840" w:leader="none"/>
        </w:tabs>
        <w:spacing w:lineRule="auto" w:line="235"/>
        <w:ind w:left="360"/>
        <w:jc w:val="both"/>
        <w:rPr>
          <w:rFonts w:ascii="Arial" w:hAnsi="Arial"/>
          <w:b w:val="1"/>
          <w:sz w:val="20"/>
        </w:rPr>
      </w:pPr>
    </w:p>
    <w:p>
      <w:pPr>
        <w:numPr>
          <w:ilvl w:val="0"/>
          <w:numId w:val="9"/>
        </w:numPr>
        <w:spacing w:lineRule="auto" w:line="235"/>
        <w:jc w:val="both"/>
        <w:rPr>
          <w:rFonts w:ascii="Arial" w:hAnsi="Arial"/>
          <w:b w:val="1"/>
          <w:i w:val="1"/>
          <w:sz w:val="20"/>
        </w:rPr>
      </w:pPr>
      <w:r>
        <w:rPr>
          <w:rFonts w:ascii="Arial" w:hAnsi="Arial"/>
          <w:b w:val="1"/>
          <w:i w:val="1"/>
          <w:sz w:val="20"/>
        </w:rPr>
        <w:t xml:space="preserve">Regular salaries and wages </w:t>
      </w:r>
      <w:r>
        <w:rPr>
          <w:rFonts w:ascii="Arial" w:hAnsi="Arial"/>
          <w:sz w:val="20"/>
        </w:rPr>
        <w:t>cover the income from regular employment.</w:t>
      </w:r>
    </w:p>
    <w:p>
      <w:pPr>
        <w:numPr>
          <w:ilvl w:val="0"/>
          <w:numId w:val="9"/>
        </w:numPr>
        <w:spacing w:lineRule="auto" w:line="235"/>
        <w:jc w:val="both"/>
        <w:rPr>
          <w:rFonts w:ascii="Arial" w:hAnsi="Arial"/>
          <w:b w:val="1"/>
          <w:i w:val="1"/>
          <w:sz w:val="20"/>
        </w:rPr>
      </w:pPr>
      <w:r>
        <w:rPr>
          <w:rFonts w:ascii="Arial" w:hAnsi="Arial"/>
          <w:b w:val="1"/>
          <w:i w:val="1"/>
          <w:sz w:val="20"/>
        </w:rPr>
        <w:t>Other income comprises</w:t>
      </w:r>
      <w:r>
        <w:rPr>
          <w:rFonts w:ascii="Arial" w:hAnsi="Arial"/>
          <w:sz w:val="20"/>
        </w:rPr>
        <w:t>: money receipts for overtime work, pursuant to purchase order, author’s deed contract, etc.</w:t>
      </w:r>
    </w:p>
    <w:p>
      <w:pPr>
        <w:numPr>
          <w:ilvl w:val="0"/>
          <w:numId w:val="9"/>
        </w:numPr>
        <w:spacing w:lineRule="auto" w:line="235"/>
        <w:jc w:val="both"/>
        <w:rPr>
          <w:rFonts w:ascii="Arial" w:hAnsi="Arial"/>
          <w:b w:val="1"/>
          <w:i w:val="1"/>
          <w:sz w:val="20"/>
        </w:rPr>
      </w:pPr>
      <w:r>
        <w:rPr>
          <w:rFonts w:ascii="Arial" w:hAnsi="Arial"/>
          <w:b w:val="1"/>
          <w:i w:val="1"/>
          <w:sz w:val="20"/>
        </w:rPr>
        <w:t xml:space="preserve">Pensions (old-age, family, disablement and other) </w:t>
      </w:r>
      <w:r>
        <w:rPr>
          <w:rFonts w:ascii="Arial" w:hAnsi="Arial"/>
          <w:sz w:val="20"/>
        </w:rPr>
        <w:t>cover: the receipts pursuant to pension and disablement insurance and supplementary payments.</w:t>
      </w:r>
    </w:p>
    <w:p>
      <w:pPr>
        <w:numPr>
          <w:ilvl w:val="0"/>
          <w:numId w:val="9"/>
        </w:numPr>
        <w:spacing w:lineRule="auto" w:line="235"/>
        <w:jc w:val="both"/>
        <w:rPr>
          <w:rFonts w:ascii="Arial" w:hAnsi="Arial"/>
          <w:b w:val="1"/>
          <w:i w:val="1"/>
          <w:sz w:val="20"/>
        </w:rPr>
      </w:pPr>
      <w:r>
        <w:rPr>
          <w:rFonts w:ascii="Arial" w:hAnsi="Arial"/>
          <w:b w:val="1"/>
          <w:i w:val="1"/>
          <w:sz w:val="20"/>
        </w:rPr>
        <w:t xml:space="preserve">Other social insurance related receipts </w:t>
      </w:r>
      <w:r>
        <w:rPr>
          <w:rFonts w:ascii="Arial" w:hAnsi="Arial"/>
          <w:sz w:val="20"/>
        </w:rPr>
        <w:t>include: social aid, supplements and other welfare receipts; receipts in cases of unemployment and temporary unemployment; alimentation and support; health insurance related receipts, disablement insurance related receipts and supplements; children allowances; student grants and remuneration, i.e. compensations for trade students.</w:t>
      </w:r>
    </w:p>
    <w:p>
      <w:pPr>
        <w:numPr>
          <w:ilvl w:val="0"/>
          <w:numId w:val="6"/>
        </w:numPr>
        <w:spacing w:lineRule="auto" w:line="235"/>
        <w:jc w:val="both"/>
        <w:rPr>
          <w:rFonts w:ascii="Arial" w:hAnsi="Arial"/>
          <w:sz w:val="20"/>
        </w:rPr>
      </w:pPr>
      <w:r>
        <w:rPr>
          <w:rFonts w:ascii="Arial" w:hAnsi="Arial"/>
          <w:b w:val="1"/>
          <w:i w:val="1"/>
          <w:sz w:val="20"/>
        </w:rPr>
        <w:t xml:space="preserve">Income from agriculture, hunting and fishing </w:t>
      </w:r>
      <w:r>
        <w:rPr>
          <w:rFonts w:ascii="Arial" w:hAnsi="Arial"/>
          <w:sz w:val="20"/>
        </w:rPr>
        <w:t>includes: earnings of households that are active in agriculture, hunting and fishing.</w:t>
      </w:r>
    </w:p>
    <w:p>
      <w:pPr>
        <w:numPr>
          <w:ilvl w:val="0"/>
          <w:numId w:val="6"/>
        </w:numPr>
        <w:spacing w:lineRule="auto" w:line="235"/>
        <w:jc w:val="both"/>
        <w:rPr>
          <w:rFonts w:ascii="Arial" w:hAnsi="Arial"/>
          <w:sz w:val="20"/>
        </w:rPr>
      </w:pPr>
      <w:r>
        <w:rPr>
          <w:rFonts w:ascii="Arial" w:hAnsi="Arial"/>
          <w:b w:val="1"/>
          <w:i w:val="1"/>
          <w:sz w:val="20"/>
        </w:rPr>
        <w:t xml:space="preserve">External receipts </w:t>
      </w:r>
      <w:r>
        <w:rPr>
          <w:rFonts w:ascii="Arial" w:hAnsi="Arial"/>
          <w:sz w:val="20"/>
        </w:rPr>
        <w:t>include money donations and other external receipts.</w:t>
      </w:r>
    </w:p>
    <w:p>
      <w:pPr>
        <w:numPr>
          <w:ilvl w:val="0"/>
          <w:numId w:val="9"/>
        </w:numPr>
        <w:spacing w:lineRule="auto" w:line="235"/>
        <w:jc w:val="both"/>
        <w:rPr>
          <w:rFonts w:ascii="Arial" w:hAnsi="Arial"/>
          <w:b w:val="1"/>
          <w:i w:val="1"/>
          <w:sz w:val="20"/>
        </w:rPr>
      </w:pPr>
      <w:r>
        <w:rPr>
          <w:rFonts w:ascii="Arial" w:hAnsi="Arial"/>
          <w:b w:val="1"/>
          <w:i w:val="1"/>
          <w:sz w:val="20"/>
        </w:rPr>
        <w:t xml:space="preserve">Real estate related income </w:t>
      </w:r>
      <w:r>
        <w:rPr>
          <w:rFonts w:ascii="Arial" w:hAnsi="Arial"/>
          <w:sz w:val="20"/>
        </w:rPr>
        <w:t>comprises room and flat rents, interests, dividends and sales related receipts (real estates and movables).</w:t>
      </w:r>
    </w:p>
    <w:p>
      <w:pPr>
        <w:numPr>
          <w:ilvl w:val="0"/>
          <w:numId w:val="9"/>
        </w:numPr>
        <w:spacing w:lineRule="auto" w:line="235"/>
        <w:jc w:val="both"/>
        <w:rPr>
          <w:rFonts w:ascii="Arial" w:hAnsi="Arial"/>
          <w:b w:val="1"/>
          <w:i w:val="1"/>
          <w:sz w:val="20"/>
        </w:rPr>
      </w:pPr>
      <w:r>
        <w:rPr>
          <w:rFonts w:ascii="Arial" w:hAnsi="Arial"/>
          <w:b w:val="1"/>
          <w:i w:val="1"/>
          <w:sz w:val="20"/>
        </w:rPr>
        <w:t xml:space="preserve">Donations and awards </w:t>
      </w:r>
      <w:r>
        <w:rPr>
          <w:rFonts w:ascii="Arial" w:hAnsi="Arial"/>
          <w:sz w:val="20"/>
        </w:rPr>
        <w:t>comprise money donations, lottery related receipts, etc.</w:t>
      </w:r>
    </w:p>
    <w:p>
      <w:pPr>
        <w:numPr>
          <w:ilvl w:val="0"/>
          <w:numId w:val="9"/>
        </w:numPr>
        <w:spacing w:lineRule="auto" w:line="235"/>
        <w:jc w:val="both"/>
        <w:rPr>
          <w:rFonts w:ascii="Arial" w:hAnsi="Arial"/>
          <w:sz w:val="20"/>
        </w:rPr>
      </w:pPr>
      <w:r>
        <w:rPr>
          <w:rFonts w:ascii="Arial" w:hAnsi="Arial"/>
          <w:b w:val="1"/>
          <w:i w:val="1"/>
          <w:sz w:val="20"/>
        </w:rPr>
        <w:t xml:space="preserve">Customer and investment credits </w:t>
      </w:r>
      <w:r>
        <w:rPr>
          <w:rFonts w:ascii="Arial" w:hAnsi="Arial"/>
          <w:sz w:val="20"/>
        </w:rPr>
        <w:t>refer to credits raised in last 12 months.</w:t>
      </w:r>
    </w:p>
    <w:p>
      <w:pPr>
        <w:numPr>
          <w:ilvl w:val="0"/>
          <w:numId w:val="9"/>
        </w:numPr>
        <w:spacing w:lineRule="auto" w:line="235"/>
        <w:jc w:val="both"/>
        <w:rPr>
          <w:rFonts w:ascii="Arial" w:hAnsi="Arial"/>
          <w:b w:val="1"/>
          <w:i w:val="1"/>
          <w:sz w:val="20"/>
        </w:rPr>
      </w:pPr>
      <w:r>
        <w:rPr>
          <w:rFonts w:ascii="Arial" w:hAnsi="Arial"/>
          <w:b w:val="1"/>
          <w:i w:val="1"/>
          <w:sz w:val="20"/>
        </w:rPr>
        <w:t xml:space="preserve">Other receipts </w:t>
      </w:r>
      <w:r>
        <w:rPr>
          <w:rFonts w:ascii="Arial" w:hAnsi="Arial"/>
          <w:sz w:val="20"/>
        </w:rPr>
        <w:t>saving deposits raised, lending returns, decreased cash amounts kept in households, refunded nationalized estates, life insurance and real estate insurance premiums, etc.</w:t>
      </w:r>
    </w:p>
    <w:p>
      <w:pPr>
        <w:spacing w:lineRule="auto" w:line="235"/>
        <w:ind w:left="360"/>
        <w:jc w:val="both"/>
        <w:rPr>
          <w:rFonts w:ascii="Arial" w:hAnsi="Arial"/>
          <w:sz w:val="20"/>
        </w:rPr>
      </w:pPr>
    </w:p>
    <w:p>
      <w:pPr>
        <w:spacing w:lineRule="auto" w:line="235"/>
        <w:jc w:val="both"/>
        <w:rPr>
          <w:rFonts w:ascii="Arial" w:hAnsi="Arial"/>
          <w:b w:val="1"/>
          <w:sz w:val="20"/>
        </w:rPr>
      </w:pPr>
      <w:r>
        <w:rPr>
          <w:rFonts w:ascii="Arial" w:hAnsi="Arial"/>
          <w:b w:val="1"/>
          <w:sz w:val="20"/>
        </w:rPr>
        <w:t xml:space="preserve">      </w:t>
      </w:r>
      <w:r>
        <w:rPr>
          <w:rFonts w:ascii="Arial" w:hAnsi="Arial"/>
          <w:b w:val="1"/>
          <w:sz w:val="20"/>
        </w:rPr>
        <w:tab/>
      </w:r>
      <w:r>
        <w:rPr>
          <w:rFonts w:ascii="Arial" w:hAnsi="Arial"/>
          <w:b w:val="1"/>
          <w:sz w:val="20"/>
        </w:rPr>
        <w:t>Household receipts in kind</w:t>
      </w:r>
    </w:p>
    <w:p>
      <w:pPr>
        <w:spacing w:lineRule="auto" w:line="235"/>
        <w:ind w:left="360"/>
        <w:jc w:val="both"/>
        <w:rPr>
          <w:rFonts w:ascii="Arial" w:hAnsi="Arial"/>
          <w:b w:val="1"/>
          <w:sz w:val="20"/>
        </w:rPr>
      </w:pPr>
    </w:p>
    <w:p>
      <w:pPr>
        <w:numPr>
          <w:ilvl w:val="0"/>
          <w:numId w:val="9"/>
        </w:numPr>
        <w:spacing w:lineRule="auto" w:line="235"/>
        <w:jc w:val="both"/>
        <w:rPr>
          <w:rFonts w:ascii="Arial" w:hAnsi="Arial"/>
          <w:b w:val="1"/>
          <w:i w:val="1"/>
          <w:sz w:val="20"/>
        </w:rPr>
      </w:pPr>
      <w:r>
        <w:rPr>
          <w:rFonts w:ascii="Arial" w:hAnsi="Arial"/>
          <w:b w:val="1"/>
          <w:i w:val="1"/>
          <w:sz w:val="20"/>
        </w:rPr>
        <w:t xml:space="preserve">Earned receipts in kind </w:t>
      </w:r>
      <w:r>
        <w:rPr>
          <w:rFonts w:ascii="Arial" w:hAnsi="Arial"/>
          <w:sz w:val="20"/>
        </w:rPr>
        <w:t>include food, clothes, footwear, household expenditures (electricity, phone, registration, car fuel) paid by employer, etc.</w:t>
      </w:r>
    </w:p>
    <w:p>
      <w:pPr>
        <w:numPr>
          <w:ilvl w:val="0"/>
          <w:numId w:val="9"/>
        </w:numPr>
        <w:spacing w:lineRule="auto" w:line="235"/>
        <w:jc w:val="both"/>
        <w:rPr>
          <w:rFonts w:ascii="Arial" w:hAnsi="Arial"/>
          <w:sz w:val="18"/>
        </w:rPr>
      </w:pPr>
      <w:r>
        <w:rPr>
          <w:rFonts w:ascii="Arial" w:hAnsi="Arial"/>
          <w:b w:val="1"/>
          <w:i w:val="1"/>
          <w:sz w:val="20"/>
        </w:rPr>
        <w:t xml:space="preserve">Natural consumption </w:t>
      </w:r>
      <w:r>
        <w:rPr>
          <w:rFonts w:ascii="Arial" w:hAnsi="Arial"/>
          <w:sz w:val="20"/>
        </w:rPr>
        <w:t>comprises the value of products from own household production that are used for individual consumption (food, drinks, wood for heating, etc.)</w:t>
      </w:r>
    </w:p>
    <w:p>
      <w:pPr>
        <w:tabs>
          <w:tab w:val="left" w:pos="765" w:leader="none"/>
        </w:tabs>
        <w:spacing w:lineRule="auto" w:line="235"/>
        <w:ind w:left="360"/>
        <w:jc w:val="both"/>
        <w:rPr>
          <w:rFonts w:ascii="Arial" w:hAnsi="Arial"/>
          <w:sz w:val="20"/>
        </w:rPr>
      </w:pPr>
    </w:p>
    <w:p>
      <w:pPr>
        <w:spacing w:lineRule="auto" w:line="232"/>
        <w:ind w:firstLine="720"/>
        <w:jc w:val="both"/>
        <w:rPr>
          <w:rFonts w:ascii="Arial" w:hAnsi="Arial"/>
          <w:sz w:val="20"/>
        </w:rPr>
      </w:pPr>
      <w:r>
        <w:rPr>
          <w:rFonts w:ascii="Arial" w:hAnsi="Arial"/>
          <w:b w:val="1"/>
          <w:sz w:val="20"/>
        </w:rPr>
        <w:t>Individual consumption of households</w:t>
      </w:r>
      <w:r>
        <w:rPr>
          <w:rFonts w:ascii="Arial" w:hAnsi="Arial"/>
          <w:sz w:val="20"/>
        </w:rPr>
        <w:t xml:space="preserve"> is presented by the following groups of COICOP classification (Classification of individual consumption by purpose): food and non-alcoholic beverages; alcoholic drinks and tobacco; clothes and footwear; dwelling, water, electricity, gas and other fuels supply; home furniture, equipment, appliances and maintenance; health service; transport; communications; recreation and culture; education; restaurants and hotels; and other goods and services.</w:t>
      </w:r>
    </w:p>
    <w:p>
      <w:pPr>
        <w:spacing w:lineRule="auto" w:line="235"/>
        <w:ind w:left="360"/>
        <w:jc w:val="both"/>
        <w:rPr>
          <w:rFonts w:ascii="Arial" w:hAnsi="Arial"/>
          <w:sz w:val="20"/>
        </w:rPr>
      </w:pPr>
    </w:p>
    <w:p>
      <w:pPr>
        <w:spacing w:lineRule="auto" w:line="232"/>
        <w:ind w:firstLine="720"/>
        <w:jc w:val="both"/>
        <w:rPr>
          <w:rFonts w:ascii="Arial" w:hAnsi="Arial"/>
          <w:sz w:val="20"/>
        </w:rPr>
      </w:pPr>
      <w:r>
        <w:rPr>
          <w:rFonts w:ascii="Arial" w:hAnsi="Arial"/>
          <w:sz w:val="20"/>
        </w:rPr>
        <w:t>The published data relate to available budget and individual consumption in the 3</w:t>
      </w:r>
      <w:r>
        <w:rPr>
          <w:rFonts w:ascii="Arial" w:hAnsi="Arial"/>
          <w:sz w:val="20"/>
          <w:vertAlign w:val="superscript"/>
        </w:rPr>
        <w:t>rd</w:t>
      </w:r>
      <w:r>
        <w:rPr>
          <w:rFonts w:ascii="Arial" w:hAnsi="Arial"/>
          <w:sz w:val="20"/>
        </w:rPr>
        <w:t xml:space="preserve"> quarter 2008 and they present monthly average values by household, given in dinar amounts (RSD). </w:t>
      </w:r>
    </w:p>
    <w:p>
      <w:pPr>
        <w:spacing w:lineRule="auto" w:line="232"/>
        <w:ind w:firstLine="720"/>
        <w:jc w:val="both"/>
        <w:rPr>
          <w:rFonts w:ascii="Arial" w:hAnsi="Arial"/>
          <w:sz w:val="20"/>
        </w:rPr>
      </w:pPr>
    </w:p>
    <w:p>
      <w:pPr>
        <w:spacing w:lineRule="auto" w:line="232"/>
        <w:ind w:firstLine="720"/>
        <w:jc w:val="both"/>
        <w:rPr>
          <w:rFonts w:ascii="Arial" w:hAnsi="Arial"/>
          <w:sz w:val="20"/>
        </w:rPr>
      </w:pPr>
      <w:r>
        <w:rPr>
          <w:rFonts w:ascii="Arial" w:hAnsi="Arial"/>
          <w:sz w:val="20"/>
        </w:rPr>
        <w:t>The data are published for the Republic of Serbia (without Kosovo and Metohija), the central Serbia, the City of Belgrade, the central Serbia (without Belgrade) and Vojvodina, for all households.</w:t>
      </w:r>
    </w:p>
    <w:p>
      <w:pPr>
        <w:spacing w:lineRule="auto" w:line="264"/>
        <w:jc w:val="center"/>
        <w:rPr>
          <w:rFonts w:ascii="Arial" w:hAnsi="Arial"/>
          <w:b w:val="1"/>
          <w:sz w:val="20"/>
        </w:rPr>
      </w:pPr>
    </w:p>
    <w:p>
      <w:pPr>
        <w:spacing w:lineRule="auto" w:line="264"/>
        <w:jc w:val="center"/>
        <w:rPr>
          <w:rFonts w:ascii="Arial" w:hAnsi="Arial"/>
          <w:b w:val="1"/>
          <w:sz w:val="20"/>
        </w:rPr>
      </w:pPr>
    </w:p>
    <w:p>
      <w:pPr>
        <w:spacing w:lineRule="auto" w:line="264"/>
        <w:jc w:val="center"/>
        <w:rPr>
          <w:rFonts w:ascii="Arial" w:hAnsi="Arial"/>
          <w:b w:val="1"/>
          <w:sz w:val="20"/>
        </w:rPr>
      </w:pPr>
    </w:p>
    <w:p>
      <w:pPr>
        <w:spacing w:lineRule="auto" w:line="264"/>
        <w:jc w:val="center"/>
        <w:rPr>
          <w:rFonts w:ascii="Arial" w:hAnsi="Arial"/>
          <w:sz w:val="20"/>
        </w:rPr>
      </w:pPr>
      <w:r>
        <mc:AlternateContent>
          <mc:Choice Requires="wps">
            <w:rPr>
              <w:rFonts w:ascii="Arial" w:hAnsi="Arial"/>
              <w:b w:val="1"/>
              <w:sz w:val="20"/>
            </w:rPr>
            <w:drawing>
              <wp:anchor xmlns:wp="http://schemas.openxmlformats.org/drawingml/2006/wordprocessingDrawing" simplePos="0" allowOverlap="0" behindDoc="0" layoutInCell="1" locked="0" relativeHeight="1" distL="114300" distR="114300">
                <wp:simplePos x="0" y="0"/>
                <wp:positionH relativeFrom="column">
                  <wp:posOffset>-19050</wp:posOffset>
                </wp:positionH>
                <wp:positionV relativeFrom="paragraph">
                  <wp:posOffset>52705</wp:posOffset>
                </wp:positionV>
                <wp:extent cx="6564630" cy="902970"/>
                <wp:wrapNone/>
                <wp:docPr id="3" name="Text Box 3"/>
                <a:graphic xmlns:a="http://schemas.openxmlformats.org/drawingml/2006/main">
                  <a:graphicData uri="http://schemas.microsoft.com/office/word/2010/wordprocessingShape">
                    <wps:wsp>
                      <wps:cNvSpPr/>
                      <wps:spPr>
                        <a:xfrm>
                          <a:off x="0" y="0"/>
                          <a:ext cx="6564630" cy="902970"/>
                        </a:xfrm>
                        <a:prstGeom prst="rect"/>
                        <a:ln w="9525">
                          <a:solidFill>
                            <a:srgbClr val="000000"/>
                          </a:solidFill>
                        </a:ln>
                      </wps:spPr>
                      <wps:txbx>
                        <w:txbxContent>
                          <w:p>
                            <w:r>
                              <w:t xml:space="preserve">  </w:t>
                            </w:r>
                          </w:p>
                          <w:p>
                            <w:r>
                              <w:t xml:space="preserve">         </w:t>
                            </w:r>
                          </w:p>
                          <w:p/>
                          <w:p/>
                        </w:txbxContent>
                      </wps:txbx>
                      <wps:bodyPr/>
                    </wps:wsp>
                  </a:graphicData>
                </a:graphic>
              </wp:anchor>
            </w:drawing>
          </mc:Choice>
          <mc:Fallback>
            <w:pict>
              <v:shapetype id="4" path="m,l,21600r21600,l21600,xe"/>
              <v:shape xmlns:o="urn:schemas-microsoft-com:office:office" type="#4" id="Text Box 3" style="position:absolute;width:516.9pt;height:71.1pt;z-index:1;mso-wrap-distance-left:9pt;mso-wrap-distance-top:0pt;mso-wrap-distance-right:9pt;mso-wrap-distance-bottom:0pt;margin-left:-1.5pt;margin-top:4.15pt;mso-position-horizontal:absolute;mso-position-horizontal-relative:text;mso-position-vertical:absolute;mso-position-vertical-relative:text" strokecolor="#000000" strokeweight="0pt" o:allowincell="t">
                <v:textbox>
                  <w:txbxContent>
                    <w:p>
                      <w:r>
                        <w:t xml:space="preserve">  </w:t>
                      </w:r>
                    </w:p>
                    <w:p>
                      <w:r>
                        <w:t xml:space="preserve">         </w:t>
                      </w:r>
                    </w:p>
                    <w:p/>
                    <w:p/>
                  </w:txbxContent>
                </v:textbox>
              </v:shape>
            </w:pict>
          </mc:Fallback>
        </mc:AlternateContent>
      </w:r>
    </w:p>
    <w:p>
      <w:pPr>
        <w:jc w:val="center"/>
        <w:rPr>
          <w:rFonts w:ascii="Arial" w:hAnsi="Arial"/>
          <w:b w:val="1"/>
          <w:sz w:val="20"/>
        </w:rPr>
      </w:pPr>
      <w:r>
        <w:rPr>
          <w:rFonts w:ascii="Arial" w:hAnsi="Arial"/>
          <w:sz w:val="20"/>
        </w:rPr>
        <w:t xml:space="preserve">Published and printed: Statistical Office of the Republic of Serbia, Belgrade, 5, Milana Rakica St </w:t>
        <w:br w:type="textWrapping"/>
        <w:t xml:space="preserve">Phone: 2412-922 (operator) ● Fax: 2411- 260 ● www.stat.gov.rs </w:t>
        <w:br w:type="textWrapping"/>
        <w:t>Responsible: Dragan Vukmirovic, PhD, Director</w:t>
      </w:r>
      <w:r>
        <w:rPr>
          <w:rFonts w:ascii="Arial" w:hAnsi="Arial"/>
          <w:b w:val="1"/>
          <w:sz w:val="20"/>
        </w:rPr>
        <w:br w:type="textWrapping"/>
      </w:r>
      <w:r>
        <w:rPr>
          <w:rFonts w:ascii="Arial" w:hAnsi="Arial"/>
          <w:sz w:val="20"/>
        </w:rPr>
        <w:t>Circulation: 250 ● Issued: quarterly</w:t>
      </w:r>
    </w:p>
    <w:p>
      <w:pPr>
        <w:spacing w:lineRule="auto" w:line="232"/>
        <w:jc w:val="both"/>
        <w:rPr>
          <w:rFonts w:ascii="Arial" w:hAnsi="Arial"/>
          <w:sz w:val="20"/>
        </w:rPr>
      </w:pPr>
    </w:p>
    <w:p>
      <w:pPr>
        <w:spacing w:lineRule="auto" w:line="264"/>
        <w:jc w:val="center"/>
      </w:pPr>
    </w:p>
    <w:sectPr>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footnotePr>
        <w:pos w:val="beneathText"/>
      </w:footnotePr>
      <w:type w:val="continuous"/>
      <w:pgSz w:w="11909" w:h="16834" w:code="0"/>
      <w:pgMar w:left="851" w:right="851" w:top="851" w:bottom="851"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ind w:firstLine="360" w:right="360"/>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6"/>
      <w:pBdr>
        <w:top w:val="single" w:sz="4" w:space="0" w:shadow="0" w:frame="0"/>
      </w:pBdr>
    </w:pPr>
    <w:r>
      <w:rPr>
        <w:rFonts w:ascii="Arial" w:hAnsi="Arial"/>
        <w:sz w:val="16"/>
      </w:rPr>
      <w:t>SERB 346 LP12 151208</w:t>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6"/>
      <w:pBdr>
        <w:top w:val="single" w:sz="4" w:space="0" w:shadow="0" w:frame="0"/>
      </w:pBdr>
      <w:jc w:val="right"/>
      <w:rPr>
        <w:rFonts w:ascii="Arial" w:hAnsi="Arial"/>
        <w:sz w:val="16"/>
      </w:rPr>
    </w:pPr>
    <w:r>
      <w:rPr>
        <w:rFonts w:ascii="Arial" w:hAnsi="Arial"/>
        <w:sz w:val="16"/>
      </w:rPr>
      <w:t>SERB 346 LP12 151208</w:t>
    </w:r>
  </w:p>
</w:ftr>
</file>

<file path=word/numbering.xml><?xml version="1.0" encoding="utf-8"?>
<w:numbering xmlns:w="http://schemas.openxmlformats.org/wordprocessingml/2006/main">
  <w:abstractNum w:abstractNumId="0">
    <w:nsid w:val="08A96C78"/>
    <w:multiLevelType w:val="hybridMultilevel"/>
    <w:lvl w:ilvl="0" w:tplc="5F39BB91">
      <w:start w:val="0"/>
      <w:numFmt w:val="bullet"/>
      <w:suff w:val="tab"/>
      <w:lvlText w:val="-"/>
      <w:lvlJc w:val="left"/>
      <w:pPr>
        <w:ind w:hanging="360" w:left="1440"/>
        <w:tabs>
          <w:tab w:val="left" w:pos="1440" w:leader="none"/>
        </w:tabs>
      </w:pPr>
      <w:rPr>
        <w:rFonts w:ascii="Times New Roman" w:hAnsi="Times New Roman"/>
      </w:rPr>
    </w:lvl>
    <w:lvl w:ilvl="1" w:tplc="276EE847">
      <w:start w:val="1"/>
      <w:numFmt w:val="bullet"/>
      <w:suff w:val="tab"/>
      <w:lvlText w:val="o"/>
      <w:lvlJc w:val="left"/>
      <w:pPr>
        <w:ind w:hanging="360" w:left="2160"/>
        <w:tabs>
          <w:tab w:val="left" w:pos="2160" w:leader="none"/>
        </w:tabs>
      </w:pPr>
      <w:rPr>
        <w:rFonts w:ascii="Courier New" w:hAnsi="Courier New"/>
      </w:rPr>
    </w:lvl>
    <w:lvl w:ilvl="2" w:tplc="786551F3">
      <w:start w:val="1"/>
      <w:numFmt w:val="bullet"/>
      <w:suff w:val="tab"/>
      <w:lvlText w:val=""/>
      <w:lvlJc w:val="left"/>
      <w:pPr>
        <w:ind w:hanging="360" w:left="2880"/>
        <w:tabs>
          <w:tab w:val="left" w:pos="2880" w:leader="none"/>
        </w:tabs>
      </w:pPr>
      <w:rPr>
        <w:rFonts w:ascii="Wingdings" w:hAnsi="Wingdings"/>
      </w:rPr>
    </w:lvl>
    <w:lvl w:ilvl="3" w:tplc="0B40BB47">
      <w:start w:val="1"/>
      <w:numFmt w:val="bullet"/>
      <w:suff w:val="tab"/>
      <w:lvlText w:val=""/>
      <w:lvlJc w:val="left"/>
      <w:pPr>
        <w:ind w:hanging="360" w:left="3600"/>
        <w:tabs>
          <w:tab w:val="left" w:pos="3600" w:leader="none"/>
        </w:tabs>
      </w:pPr>
      <w:rPr>
        <w:rFonts w:ascii="Symbol" w:hAnsi="Symbol"/>
      </w:rPr>
    </w:lvl>
    <w:lvl w:ilvl="4" w:tplc="16EC3C74">
      <w:start w:val="1"/>
      <w:numFmt w:val="bullet"/>
      <w:suff w:val="tab"/>
      <w:lvlText w:val="o"/>
      <w:lvlJc w:val="left"/>
      <w:pPr>
        <w:ind w:hanging="360" w:left="4320"/>
        <w:tabs>
          <w:tab w:val="left" w:pos="4320" w:leader="none"/>
        </w:tabs>
      </w:pPr>
      <w:rPr>
        <w:rFonts w:ascii="Courier New" w:hAnsi="Courier New"/>
      </w:rPr>
    </w:lvl>
    <w:lvl w:ilvl="5" w:tplc="2B419F7D">
      <w:start w:val="1"/>
      <w:numFmt w:val="bullet"/>
      <w:suff w:val="tab"/>
      <w:lvlText w:val=""/>
      <w:lvlJc w:val="left"/>
      <w:pPr>
        <w:ind w:hanging="360" w:left="5040"/>
        <w:tabs>
          <w:tab w:val="left" w:pos="5040" w:leader="none"/>
        </w:tabs>
      </w:pPr>
      <w:rPr>
        <w:rFonts w:ascii="Wingdings" w:hAnsi="Wingdings"/>
      </w:rPr>
    </w:lvl>
    <w:lvl w:ilvl="6" w:tplc="6E19193A">
      <w:start w:val="1"/>
      <w:numFmt w:val="bullet"/>
      <w:suff w:val="tab"/>
      <w:lvlText w:val=""/>
      <w:lvlJc w:val="left"/>
      <w:pPr>
        <w:ind w:hanging="360" w:left="5760"/>
        <w:tabs>
          <w:tab w:val="left" w:pos="5760" w:leader="none"/>
        </w:tabs>
      </w:pPr>
      <w:rPr>
        <w:rFonts w:ascii="Symbol" w:hAnsi="Symbol"/>
      </w:rPr>
    </w:lvl>
    <w:lvl w:ilvl="7" w:tplc="1EC511B6">
      <w:start w:val="1"/>
      <w:numFmt w:val="bullet"/>
      <w:suff w:val="tab"/>
      <w:lvlText w:val="o"/>
      <w:lvlJc w:val="left"/>
      <w:pPr>
        <w:ind w:hanging="360" w:left="6480"/>
        <w:tabs>
          <w:tab w:val="left" w:pos="6480" w:leader="none"/>
        </w:tabs>
      </w:pPr>
      <w:rPr>
        <w:rFonts w:ascii="Courier New" w:hAnsi="Courier New"/>
      </w:rPr>
    </w:lvl>
    <w:lvl w:ilvl="8" w:tplc="7F5A2EF3">
      <w:start w:val="1"/>
      <w:numFmt w:val="bullet"/>
      <w:suff w:val="tab"/>
      <w:lvlText w:val=""/>
      <w:lvlJc w:val="left"/>
      <w:pPr>
        <w:ind w:hanging="360" w:left="7200"/>
        <w:tabs>
          <w:tab w:val="left" w:pos="7200" w:leader="none"/>
        </w:tabs>
      </w:pPr>
      <w:rPr>
        <w:rFonts w:ascii="Wingdings" w:hAnsi="Wingdings"/>
      </w:rPr>
    </w:lvl>
  </w:abstractNum>
  <w:abstractNum w:abstractNumId="1">
    <w:nsid w:val="14D201CA"/>
    <w:multiLevelType w:val="hybridMultilevel"/>
    <w:lvl w:ilvl="0" w:tplc="58F3A716">
      <w:start w:val="0"/>
      <w:numFmt w:val="bullet"/>
      <w:suff w:val="tab"/>
      <w:lvlText w:val="-"/>
      <w:lvlJc w:val="left"/>
      <w:pPr>
        <w:ind w:hanging="360" w:left="720"/>
        <w:tabs>
          <w:tab w:val="left" w:pos="720" w:leader="none"/>
        </w:tabs>
      </w:pPr>
      <w:rPr>
        <w:rFonts w:ascii="Times New Roman" w:hAnsi="Times New Roman"/>
      </w:rPr>
    </w:lvl>
    <w:lvl w:ilvl="1" w:tplc="4509B160">
      <w:start w:val="1"/>
      <w:numFmt w:val="bullet"/>
      <w:suff w:val="tab"/>
      <w:lvlText w:val="o"/>
      <w:lvlJc w:val="left"/>
      <w:pPr>
        <w:ind w:hanging="360" w:left="1440"/>
        <w:tabs>
          <w:tab w:val="left" w:pos="1440" w:leader="none"/>
        </w:tabs>
      </w:pPr>
      <w:rPr>
        <w:rFonts w:ascii="Courier New" w:hAnsi="Courier New"/>
      </w:rPr>
    </w:lvl>
    <w:lvl w:ilvl="2" w:tplc="35141888">
      <w:start w:val="1"/>
      <w:numFmt w:val="bullet"/>
      <w:suff w:val="tab"/>
      <w:lvlText w:val=""/>
      <w:lvlJc w:val="left"/>
      <w:pPr>
        <w:ind w:hanging="360" w:left="2160"/>
        <w:tabs>
          <w:tab w:val="left" w:pos="2160" w:leader="none"/>
        </w:tabs>
      </w:pPr>
      <w:rPr>
        <w:rFonts w:ascii="Wingdings" w:hAnsi="Wingdings"/>
      </w:rPr>
    </w:lvl>
    <w:lvl w:ilvl="3" w:tplc="72E86516">
      <w:start w:val="1"/>
      <w:numFmt w:val="bullet"/>
      <w:suff w:val="tab"/>
      <w:lvlText w:val=""/>
      <w:lvlJc w:val="left"/>
      <w:pPr>
        <w:ind w:hanging="360" w:left="2880"/>
        <w:tabs>
          <w:tab w:val="left" w:pos="2880" w:leader="none"/>
        </w:tabs>
      </w:pPr>
      <w:rPr>
        <w:rFonts w:ascii="Symbol" w:hAnsi="Symbol"/>
      </w:rPr>
    </w:lvl>
    <w:lvl w:ilvl="4" w:tplc="756E0831">
      <w:start w:val="1"/>
      <w:numFmt w:val="bullet"/>
      <w:suff w:val="tab"/>
      <w:lvlText w:val="o"/>
      <w:lvlJc w:val="left"/>
      <w:pPr>
        <w:ind w:hanging="360" w:left="3600"/>
        <w:tabs>
          <w:tab w:val="left" w:pos="3600" w:leader="none"/>
        </w:tabs>
      </w:pPr>
      <w:rPr>
        <w:rFonts w:ascii="Courier New" w:hAnsi="Courier New"/>
      </w:rPr>
    </w:lvl>
    <w:lvl w:ilvl="5" w:tplc="21A46D58">
      <w:start w:val="1"/>
      <w:numFmt w:val="bullet"/>
      <w:suff w:val="tab"/>
      <w:lvlText w:val=""/>
      <w:lvlJc w:val="left"/>
      <w:pPr>
        <w:ind w:hanging="360" w:left="4320"/>
        <w:tabs>
          <w:tab w:val="left" w:pos="4320" w:leader="none"/>
        </w:tabs>
      </w:pPr>
      <w:rPr>
        <w:rFonts w:ascii="Wingdings" w:hAnsi="Wingdings"/>
      </w:rPr>
    </w:lvl>
    <w:lvl w:ilvl="6" w:tplc="5F923509">
      <w:start w:val="1"/>
      <w:numFmt w:val="bullet"/>
      <w:suff w:val="tab"/>
      <w:lvlText w:val=""/>
      <w:lvlJc w:val="left"/>
      <w:pPr>
        <w:ind w:hanging="360" w:left="5040"/>
        <w:tabs>
          <w:tab w:val="left" w:pos="5040" w:leader="none"/>
        </w:tabs>
      </w:pPr>
      <w:rPr>
        <w:rFonts w:ascii="Symbol" w:hAnsi="Symbol"/>
      </w:rPr>
    </w:lvl>
    <w:lvl w:ilvl="7" w:tplc="5AE02626">
      <w:start w:val="1"/>
      <w:numFmt w:val="bullet"/>
      <w:suff w:val="tab"/>
      <w:lvlText w:val="o"/>
      <w:lvlJc w:val="left"/>
      <w:pPr>
        <w:ind w:hanging="360" w:left="5760"/>
        <w:tabs>
          <w:tab w:val="left" w:pos="5760" w:leader="none"/>
        </w:tabs>
      </w:pPr>
      <w:rPr>
        <w:rFonts w:ascii="Courier New" w:hAnsi="Courier New"/>
      </w:rPr>
    </w:lvl>
    <w:lvl w:ilvl="8" w:tplc="0C3E63F0">
      <w:start w:val="1"/>
      <w:numFmt w:val="bullet"/>
      <w:suff w:val="tab"/>
      <w:lvlText w:val=""/>
      <w:lvlJc w:val="left"/>
      <w:pPr>
        <w:ind w:hanging="360" w:left="6480"/>
        <w:tabs>
          <w:tab w:val="left" w:pos="6480" w:leader="none"/>
        </w:tabs>
      </w:pPr>
      <w:rPr>
        <w:rFonts w:ascii="Wingdings" w:hAnsi="Wingdings"/>
      </w:rPr>
    </w:lvl>
  </w:abstractNum>
  <w:abstractNum w:abstractNumId="2">
    <w:nsid w:val="2E7C01FD"/>
    <w:multiLevelType w:val="hybridMultilevel"/>
    <w:lvl w:ilvl="0" w:tplc="1BC6E993">
      <w:start w:val="0"/>
      <w:numFmt w:val="bullet"/>
      <w:suff w:val="tab"/>
      <w:lvlText w:val="-"/>
      <w:lvlJc w:val="left"/>
      <w:pPr>
        <w:ind w:hanging="360" w:left="720"/>
        <w:tabs>
          <w:tab w:val="left" w:pos="720" w:leader="none"/>
        </w:tabs>
      </w:pPr>
      <w:rPr>
        <w:rFonts w:ascii="Times New Roman" w:hAnsi="Times New Roman"/>
      </w:rPr>
    </w:lvl>
    <w:lvl w:ilvl="1" w:tplc="4F843939">
      <w:start w:val="1"/>
      <w:numFmt w:val="bullet"/>
      <w:suff w:val="tab"/>
      <w:lvlText w:val="o"/>
      <w:lvlJc w:val="left"/>
      <w:pPr>
        <w:ind w:hanging="360" w:left="1440"/>
        <w:tabs>
          <w:tab w:val="left" w:pos="1440" w:leader="none"/>
        </w:tabs>
      </w:pPr>
      <w:rPr>
        <w:rFonts w:ascii="Courier New" w:hAnsi="Courier New"/>
      </w:rPr>
    </w:lvl>
    <w:lvl w:ilvl="2" w:tplc="6D93B55E">
      <w:start w:val="1"/>
      <w:numFmt w:val="bullet"/>
      <w:suff w:val="tab"/>
      <w:lvlText w:val=""/>
      <w:lvlJc w:val="left"/>
      <w:pPr>
        <w:ind w:hanging="360" w:left="2160"/>
        <w:tabs>
          <w:tab w:val="left" w:pos="2160" w:leader="none"/>
        </w:tabs>
      </w:pPr>
      <w:rPr>
        <w:rFonts w:ascii="Wingdings" w:hAnsi="Wingdings"/>
      </w:rPr>
    </w:lvl>
    <w:lvl w:ilvl="3" w:tplc="5B3970D9">
      <w:start w:val="1"/>
      <w:numFmt w:val="bullet"/>
      <w:suff w:val="tab"/>
      <w:lvlText w:val=""/>
      <w:lvlJc w:val="left"/>
      <w:pPr>
        <w:ind w:hanging="360" w:left="2880"/>
        <w:tabs>
          <w:tab w:val="left" w:pos="2880" w:leader="none"/>
        </w:tabs>
      </w:pPr>
      <w:rPr>
        <w:rFonts w:ascii="Symbol" w:hAnsi="Symbol"/>
      </w:rPr>
    </w:lvl>
    <w:lvl w:ilvl="4" w:tplc="764A793E">
      <w:start w:val="1"/>
      <w:numFmt w:val="bullet"/>
      <w:suff w:val="tab"/>
      <w:lvlText w:val="o"/>
      <w:lvlJc w:val="left"/>
      <w:pPr>
        <w:ind w:hanging="360" w:left="3600"/>
        <w:tabs>
          <w:tab w:val="left" w:pos="3600" w:leader="none"/>
        </w:tabs>
      </w:pPr>
      <w:rPr>
        <w:rFonts w:ascii="Courier New" w:hAnsi="Courier New"/>
      </w:rPr>
    </w:lvl>
    <w:lvl w:ilvl="5" w:tplc="48CAFAA7">
      <w:start w:val="1"/>
      <w:numFmt w:val="bullet"/>
      <w:suff w:val="tab"/>
      <w:lvlText w:val=""/>
      <w:lvlJc w:val="left"/>
      <w:pPr>
        <w:ind w:hanging="360" w:left="4320"/>
        <w:tabs>
          <w:tab w:val="left" w:pos="4320" w:leader="none"/>
        </w:tabs>
      </w:pPr>
      <w:rPr>
        <w:rFonts w:ascii="Wingdings" w:hAnsi="Wingdings"/>
      </w:rPr>
    </w:lvl>
    <w:lvl w:ilvl="6" w:tplc="662A0742">
      <w:start w:val="1"/>
      <w:numFmt w:val="bullet"/>
      <w:suff w:val="tab"/>
      <w:lvlText w:val=""/>
      <w:lvlJc w:val="left"/>
      <w:pPr>
        <w:ind w:hanging="360" w:left="5040"/>
        <w:tabs>
          <w:tab w:val="left" w:pos="5040" w:leader="none"/>
        </w:tabs>
      </w:pPr>
      <w:rPr>
        <w:rFonts w:ascii="Symbol" w:hAnsi="Symbol"/>
      </w:rPr>
    </w:lvl>
    <w:lvl w:ilvl="7" w:tplc="2D3CAF6B">
      <w:start w:val="1"/>
      <w:numFmt w:val="bullet"/>
      <w:suff w:val="tab"/>
      <w:lvlText w:val="o"/>
      <w:lvlJc w:val="left"/>
      <w:pPr>
        <w:ind w:hanging="360" w:left="5760"/>
        <w:tabs>
          <w:tab w:val="left" w:pos="5760" w:leader="none"/>
        </w:tabs>
      </w:pPr>
      <w:rPr>
        <w:rFonts w:ascii="Courier New" w:hAnsi="Courier New"/>
      </w:rPr>
    </w:lvl>
    <w:lvl w:ilvl="8" w:tplc="15BAE8EA">
      <w:start w:val="1"/>
      <w:numFmt w:val="bullet"/>
      <w:suff w:val="tab"/>
      <w:lvlText w:val=""/>
      <w:lvlJc w:val="left"/>
      <w:pPr>
        <w:ind w:hanging="360" w:left="6480"/>
        <w:tabs>
          <w:tab w:val="left" w:pos="6480" w:leader="none"/>
        </w:tabs>
      </w:pPr>
      <w:rPr>
        <w:rFonts w:ascii="Wingdings" w:hAnsi="Wingdings"/>
      </w:rPr>
    </w:lvl>
  </w:abstractNum>
  <w:abstractNum w:abstractNumId="3">
    <w:nsid w:val="43031DF5"/>
    <w:multiLevelType w:val="hybridMultilevel"/>
    <w:lvl w:ilvl="0" w:tplc="7983D356">
      <w:start w:val="0"/>
      <w:numFmt w:val="bullet"/>
      <w:suff w:val="tab"/>
      <w:lvlText w:val="-"/>
      <w:lvlJc w:val="left"/>
      <w:pPr>
        <w:ind w:hanging="360" w:left="720"/>
        <w:tabs>
          <w:tab w:val="left" w:pos="720" w:leader="none"/>
        </w:tabs>
      </w:pPr>
      <w:rPr>
        <w:rFonts w:ascii="Times New Roman" w:hAnsi="Times New Roman"/>
      </w:rPr>
    </w:lvl>
    <w:lvl w:ilvl="1" w:tplc="717CB026">
      <w:start w:val="1"/>
      <w:numFmt w:val="bullet"/>
      <w:suff w:val="tab"/>
      <w:lvlText w:val="o"/>
      <w:lvlJc w:val="left"/>
      <w:pPr>
        <w:ind w:hanging="360" w:left="1440"/>
        <w:tabs>
          <w:tab w:val="left" w:pos="1440" w:leader="none"/>
        </w:tabs>
      </w:pPr>
      <w:rPr>
        <w:rFonts w:ascii="Courier New" w:hAnsi="Courier New"/>
      </w:rPr>
    </w:lvl>
    <w:lvl w:ilvl="2" w:tplc="02C09794">
      <w:start w:val="1"/>
      <w:numFmt w:val="bullet"/>
      <w:suff w:val="tab"/>
      <w:lvlText w:val=""/>
      <w:lvlJc w:val="left"/>
      <w:pPr>
        <w:ind w:hanging="360" w:left="2160"/>
        <w:tabs>
          <w:tab w:val="left" w:pos="2160" w:leader="none"/>
        </w:tabs>
      </w:pPr>
      <w:rPr>
        <w:rFonts w:ascii="Wingdings" w:hAnsi="Wingdings"/>
      </w:rPr>
    </w:lvl>
    <w:lvl w:ilvl="3" w:tplc="4D6D80B2">
      <w:start w:val="1"/>
      <w:numFmt w:val="bullet"/>
      <w:suff w:val="tab"/>
      <w:lvlText w:val=""/>
      <w:lvlJc w:val="left"/>
      <w:pPr>
        <w:ind w:hanging="360" w:left="2880"/>
        <w:tabs>
          <w:tab w:val="left" w:pos="2880" w:leader="none"/>
        </w:tabs>
      </w:pPr>
      <w:rPr>
        <w:rFonts w:ascii="Symbol" w:hAnsi="Symbol"/>
      </w:rPr>
    </w:lvl>
    <w:lvl w:ilvl="4" w:tplc="65CE2375">
      <w:start w:val="1"/>
      <w:numFmt w:val="bullet"/>
      <w:suff w:val="tab"/>
      <w:lvlText w:val="o"/>
      <w:lvlJc w:val="left"/>
      <w:pPr>
        <w:ind w:hanging="360" w:left="3600"/>
        <w:tabs>
          <w:tab w:val="left" w:pos="3600" w:leader="none"/>
        </w:tabs>
      </w:pPr>
      <w:rPr>
        <w:rFonts w:ascii="Courier New" w:hAnsi="Courier New"/>
      </w:rPr>
    </w:lvl>
    <w:lvl w:ilvl="5" w:tplc="06A5E323">
      <w:start w:val="1"/>
      <w:numFmt w:val="bullet"/>
      <w:suff w:val="tab"/>
      <w:lvlText w:val=""/>
      <w:lvlJc w:val="left"/>
      <w:pPr>
        <w:ind w:hanging="360" w:left="4320"/>
        <w:tabs>
          <w:tab w:val="left" w:pos="4320" w:leader="none"/>
        </w:tabs>
      </w:pPr>
      <w:rPr>
        <w:rFonts w:ascii="Wingdings" w:hAnsi="Wingdings"/>
      </w:rPr>
    </w:lvl>
    <w:lvl w:ilvl="6" w:tplc="46C964E0">
      <w:start w:val="1"/>
      <w:numFmt w:val="bullet"/>
      <w:suff w:val="tab"/>
      <w:lvlText w:val=""/>
      <w:lvlJc w:val="left"/>
      <w:pPr>
        <w:ind w:hanging="360" w:left="5040"/>
        <w:tabs>
          <w:tab w:val="left" w:pos="5040" w:leader="none"/>
        </w:tabs>
      </w:pPr>
      <w:rPr>
        <w:rFonts w:ascii="Symbol" w:hAnsi="Symbol"/>
      </w:rPr>
    </w:lvl>
    <w:lvl w:ilvl="7" w:tplc="135480B7">
      <w:start w:val="1"/>
      <w:numFmt w:val="bullet"/>
      <w:suff w:val="tab"/>
      <w:lvlText w:val="o"/>
      <w:lvlJc w:val="left"/>
      <w:pPr>
        <w:ind w:hanging="360" w:left="5760"/>
        <w:tabs>
          <w:tab w:val="left" w:pos="5760" w:leader="none"/>
        </w:tabs>
      </w:pPr>
      <w:rPr>
        <w:rFonts w:ascii="Courier New" w:hAnsi="Courier New"/>
      </w:rPr>
    </w:lvl>
    <w:lvl w:ilvl="8" w:tplc="4952FA56">
      <w:start w:val="1"/>
      <w:numFmt w:val="bullet"/>
      <w:suff w:val="tab"/>
      <w:lvlText w:val=""/>
      <w:lvlJc w:val="left"/>
      <w:pPr>
        <w:ind w:hanging="360" w:left="6480"/>
        <w:tabs>
          <w:tab w:val="left" w:pos="6480" w:leader="none"/>
        </w:tabs>
      </w:pPr>
      <w:rPr>
        <w:rFonts w:ascii="Wingdings" w:hAnsi="Wingdings"/>
      </w:rPr>
    </w:lvl>
  </w:abstractNum>
  <w:abstractNum w:abstractNumId="4">
    <w:nsid w:val="51C11176"/>
    <w:multiLevelType w:val="hybridMultilevel"/>
    <w:lvl w:ilvl="0" w:tplc="38BCC494">
      <w:start w:val="0"/>
      <w:numFmt w:val="bullet"/>
      <w:suff w:val="tab"/>
      <w:lvlText w:val="-"/>
      <w:lvlJc w:val="left"/>
      <w:pPr>
        <w:ind w:hanging="360" w:left="1485"/>
        <w:tabs>
          <w:tab w:val="left" w:pos="1485" w:leader="none"/>
        </w:tabs>
      </w:pPr>
      <w:rPr>
        <w:rFonts w:ascii="Times New Roman" w:hAnsi="Times New Roman"/>
      </w:rPr>
    </w:lvl>
    <w:lvl w:ilvl="1" w:tplc="252EFE5A">
      <w:start w:val="1"/>
      <w:numFmt w:val="bullet"/>
      <w:suff w:val="tab"/>
      <w:lvlText w:val="o"/>
      <w:lvlJc w:val="left"/>
      <w:pPr>
        <w:ind w:hanging="360" w:left="2205"/>
        <w:tabs>
          <w:tab w:val="left" w:pos="2205" w:leader="none"/>
        </w:tabs>
      </w:pPr>
      <w:rPr>
        <w:rFonts w:ascii="Courier New" w:hAnsi="Courier New"/>
      </w:rPr>
    </w:lvl>
    <w:lvl w:ilvl="2" w:tplc="6C5074A8">
      <w:start w:val="1"/>
      <w:numFmt w:val="bullet"/>
      <w:suff w:val="tab"/>
      <w:lvlText w:val=""/>
      <w:lvlJc w:val="left"/>
      <w:pPr>
        <w:ind w:hanging="360" w:left="2925"/>
        <w:tabs>
          <w:tab w:val="left" w:pos="2925" w:leader="none"/>
        </w:tabs>
      </w:pPr>
      <w:rPr>
        <w:rFonts w:ascii="Wingdings" w:hAnsi="Wingdings"/>
      </w:rPr>
    </w:lvl>
    <w:lvl w:ilvl="3" w:tplc="1231A107">
      <w:start w:val="1"/>
      <w:numFmt w:val="bullet"/>
      <w:suff w:val="tab"/>
      <w:lvlText w:val=""/>
      <w:lvlJc w:val="left"/>
      <w:pPr>
        <w:ind w:hanging="360" w:left="3645"/>
        <w:tabs>
          <w:tab w:val="left" w:pos="3645" w:leader="none"/>
        </w:tabs>
      </w:pPr>
      <w:rPr>
        <w:rFonts w:ascii="Symbol" w:hAnsi="Symbol"/>
      </w:rPr>
    </w:lvl>
    <w:lvl w:ilvl="4" w:tplc="76D80D01">
      <w:start w:val="1"/>
      <w:numFmt w:val="bullet"/>
      <w:suff w:val="tab"/>
      <w:lvlText w:val="o"/>
      <w:lvlJc w:val="left"/>
      <w:pPr>
        <w:ind w:hanging="360" w:left="4365"/>
        <w:tabs>
          <w:tab w:val="left" w:pos="4365" w:leader="none"/>
        </w:tabs>
      </w:pPr>
      <w:rPr>
        <w:rFonts w:ascii="Courier New" w:hAnsi="Courier New"/>
      </w:rPr>
    </w:lvl>
    <w:lvl w:ilvl="5" w:tplc="2545A33E">
      <w:start w:val="1"/>
      <w:numFmt w:val="bullet"/>
      <w:suff w:val="tab"/>
      <w:lvlText w:val=""/>
      <w:lvlJc w:val="left"/>
      <w:pPr>
        <w:ind w:hanging="360" w:left="5085"/>
        <w:tabs>
          <w:tab w:val="left" w:pos="5085" w:leader="none"/>
        </w:tabs>
      </w:pPr>
      <w:rPr>
        <w:rFonts w:ascii="Wingdings" w:hAnsi="Wingdings"/>
      </w:rPr>
    </w:lvl>
    <w:lvl w:ilvl="6" w:tplc="6EFE5772">
      <w:start w:val="1"/>
      <w:numFmt w:val="bullet"/>
      <w:suff w:val="tab"/>
      <w:lvlText w:val=""/>
      <w:lvlJc w:val="left"/>
      <w:pPr>
        <w:ind w:hanging="360" w:left="5805"/>
        <w:tabs>
          <w:tab w:val="left" w:pos="5805" w:leader="none"/>
        </w:tabs>
      </w:pPr>
      <w:rPr>
        <w:rFonts w:ascii="Symbol" w:hAnsi="Symbol"/>
      </w:rPr>
    </w:lvl>
    <w:lvl w:ilvl="7" w:tplc="2D4A4451">
      <w:start w:val="1"/>
      <w:numFmt w:val="bullet"/>
      <w:suff w:val="tab"/>
      <w:lvlText w:val="o"/>
      <w:lvlJc w:val="left"/>
      <w:pPr>
        <w:ind w:hanging="360" w:left="6525"/>
        <w:tabs>
          <w:tab w:val="left" w:pos="6525" w:leader="none"/>
        </w:tabs>
      </w:pPr>
      <w:rPr>
        <w:rFonts w:ascii="Courier New" w:hAnsi="Courier New"/>
      </w:rPr>
    </w:lvl>
    <w:lvl w:ilvl="8" w:tplc="579A2807">
      <w:start w:val="1"/>
      <w:numFmt w:val="bullet"/>
      <w:suff w:val="tab"/>
      <w:lvlText w:val=""/>
      <w:lvlJc w:val="left"/>
      <w:pPr>
        <w:ind w:hanging="360" w:left="7245"/>
        <w:tabs>
          <w:tab w:val="left" w:pos="7245" w:leader="none"/>
        </w:tabs>
      </w:pPr>
      <w:rPr>
        <w:rFonts w:ascii="Wingdings" w:hAnsi="Wingdings"/>
      </w:rPr>
    </w:lvl>
  </w:abstractNum>
  <w:abstractNum w:abstractNumId="5">
    <w:nsid w:val="60056B33"/>
    <w:multiLevelType w:val="hybridMultilevel"/>
    <w:lvl w:ilvl="0" w:tplc="60990C4B">
      <w:start w:val="1"/>
      <w:numFmt w:val="bullet"/>
      <w:suff w:val="tab"/>
      <w:lvlText w:val="-"/>
      <w:lvlJc w:val="left"/>
      <w:pPr>
        <w:ind w:hanging="360" w:left="720"/>
        <w:tabs>
          <w:tab w:val="left" w:pos="720" w:leader="none"/>
        </w:tabs>
      </w:pPr>
      <w:rPr>
        <w:rFonts w:ascii="Times New Roman" w:hAnsi="Times New Roman"/>
      </w:rPr>
    </w:lvl>
    <w:lvl w:ilvl="1" w:tplc="4ABA6CA9">
      <w:start w:val="1"/>
      <w:numFmt w:val="bullet"/>
      <w:suff w:val="tab"/>
      <w:lvlText w:val="o"/>
      <w:lvlJc w:val="left"/>
      <w:pPr>
        <w:ind w:hanging="360" w:left="1440"/>
        <w:tabs>
          <w:tab w:val="left" w:pos="1440" w:leader="none"/>
        </w:tabs>
      </w:pPr>
      <w:rPr>
        <w:rFonts w:ascii="Courier New" w:hAnsi="Courier New"/>
      </w:rPr>
    </w:lvl>
    <w:lvl w:ilvl="2" w:tplc="61F4429E">
      <w:start w:val="1"/>
      <w:numFmt w:val="bullet"/>
      <w:suff w:val="tab"/>
      <w:lvlText w:val=""/>
      <w:lvlJc w:val="left"/>
      <w:pPr>
        <w:ind w:hanging="360" w:left="2160"/>
        <w:tabs>
          <w:tab w:val="left" w:pos="2160" w:leader="none"/>
        </w:tabs>
      </w:pPr>
      <w:rPr>
        <w:rFonts w:ascii="Wingdings" w:hAnsi="Wingdings"/>
      </w:rPr>
    </w:lvl>
    <w:lvl w:ilvl="3" w:tplc="38FD0DE9">
      <w:start w:val="1"/>
      <w:numFmt w:val="bullet"/>
      <w:suff w:val="tab"/>
      <w:lvlText w:val=""/>
      <w:lvlJc w:val="left"/>
      <w:pPr>
        <w:ind w:hanging="360" w:left="2880"/>
        <w:tabs>
          <w:tab w:val="left" w:pos="2880" w:leader="none"/>
        </w:tabs>
      </w:pPr>
      <w:rPr>
        <w:rFonts w:ascii="Symbol" w:hAnsi="Symbol"/>
      </w:rPr>
    </w:lvl>
    <w:lvl w:ilvl="4" w:tplc="6290C935">
      <w:start w:val="1"/>
      <w:numFmt w:val="bullet"/>
      <w:suff w:val="tab"/>
      <w:lvlText w:val="o"/>
      <w:lvlJc w:val="left"/>
      <w:pPr>
        <w:ind w:hanging="360" w:left="3600"/>
        <w:tabs>
          <w:tab w:val="left" w:pos="3600" w:leader="none"/>
        </w:tabs>
      </w:pPr>
      <w:rPr>
        <w:rFonts w:ascii="Courier New" w:hAnsi="Courier New"/>
      </w:rPr>
    </w:lvl>
    <w:lvl w:ilvl="5" w:tplc="06AAF226">
      <w:start w:val="1"/>
      <w:numFmt w:val="bullet"/>
      <w:suff w:val="tab"/>
      <w:lvlText w:val=""/>
      <w:lvlJc w:val="left"/>
      <w:pPr>
        <w:ind w:hanging="360" w:left="4320"/>
        <w:tabs>
          <w:tab w:val="left" w:pos="4320" w:leader="none"/>
        </w:tabs>
      </w:pPr>
      <w:rPr>
        <w:rFonts w:ascii="Wingdings" w:hAnsi="Wingdings"/>
      </w:rPr>
    </w:lvl>
    <w:lvl w:ilvl="6" w:tplc="54E0EA28">
      <w:start w:val="1"/>
      <w:numFmt w:val="bullet"/>
      <w:suff w:val="tab"/>
      <w:lvlText w:val=""/>
      <w:lvlJc w:val="left"/>
      <w:pPr>
        <w:ind w:hanging="360" w:left="5040"/>
        <w:tabs>
          <w:tab w:val="left" w:pos="5040" w:leader="none"/>
        </w:tabs>
      </w:pPr>
      <w:rPr>
        <w:rFonts w:ascii="Symbol" w:hAnsi="Symbol"/>
      </w:rPr>
    </w:lvl>
    <w:lvl w:ilvl="7" w:tplc="69CD5B06">
      <w:start w:val="1"/>
      <w:numFmt w:val="bullet"/>
      <w:suff w:val="tab"/>
      <w:lvlText w:val="o"/>
      <w:lvlJc w:val="left"/>
      <w:pPr>
        <w:ind w:hanging="360" w:left="5760"/>
        <w:tabs>
          <w:tab w:val="left" w:pos="5760" w:leader="none"/>
        </w:tabs>
      </w:pPr>
      <w:rPr>
        <w:rFonts w:ascii="Courier New" w:hAnsi="Courier New"/>
      </w:rPr>
    </w:lvl>
    <w:lvl w:ilvl="8" w:tplc="1F02C73F">
      <w:start w:val="1"/>
      <w:numFmt w:val="bullet"/>
      <w:suff w:val="tab"/>
      <w:lvlText w:val=""/>
      <w:lvlJc w:val="left"/>
      <w:pPr>
        <w:ind w:hanging="360" w:left="6480"/>
        <w:tabs>
          <w:tab w:val="left" w:pos="6480" w:leader="none"/>
        </w:tabs>
      </w:pPr>
      <w:rPr>
        <w:rFonts w:ascii="Wingdings" w:hAnsi="Wingdings"/>
      </w:rPr>
    </w:lvl>
  </w:abstractNum>
  <w:abstractNum w:abstractNumId="6">
    <w:nsid w:val="6B666B95"/>
    <w:multiLevelType w:val="hybridMultilevel"/>
    <w:lvl w:ilvl="0" w:tplc="315F8263">
      <w:start w:val="0"/>
      <w:numFmt w:val="bullet"/>
      <w:suff w:val="tab"/>
      <w:lvlText w:val="-"/>
      <w:lvlJc w:val="left"/>
      <w:pPr>
        <w:ind w:hanging="360" w:left="720"/>
        <w:tabs>
          <w:tab w:val="left" w:pos="720" w:leader="none"/>
        </w:tabs>
      </w:pPr>
      <w:rPr>
        <w:rFonts w:ascii="Times New Roman" w:hAnsi="Times New Roman"/>
      </w:rPr>
    </w:lvl>
    <w:lvl w:ilvl="1" w:tplc="04004BB7">
      <w:start w:val="1"/>
      <w:numFmt w:val="bullet"/>
      <w:suff w:val="tab"/>
      <w:lvlText w:val="o"/>
      <w:lvlJc w:val="left"/>
      <w:pPr>
        <w:ind w:hanging="360" w:left="1440"/>
        <w:tabs>
          <w:tab w:val="left" w:pos="1440" w:leader="none"/>
        </w:tabs>
      </w:pPr>
      <w:rPr>
        <w:rFonts w:ascii="Courier New" w:hAnsi="Courier New"/>
      </w:rPr>
    </w:lvl>
    <w:lvl w:ilvl="2" w:tplc="31246F07">
      <w:start w:val="1"/>
      <w:numFmt w:val="bullet"/>
      <w:suff w:val="tab"/>
      <w:lvlText w:val=""/>
      <w:lvlJc w:val="left"/>
      <w:pPr>
        <w:ind w:hanging="360" w:left="2160"/>
        <w:tabs>
          <w:tab w:val="left" w:pos="2160" w:leader="none"/>
        </w:tabs>
      </w:pPr>
      <w:rPr>
        <w:rFonts w:ascii="Wingdings" w:hAnsi="Wingdings"/>
      </w:rPr>
    </w:lvl>
    <w:lvl w:ilvl="3" w:tplc="2F9A584B">
      <w:start w:val="1"/>
      <w:numFmt w:val="bullet"/>
      <w:suff w:val="tab"/>
      <w:lvlText w:val=""/>
      <w:lvlJc w:val="left"/>
      <w:pPr>
        <w:ind w:hanging="360" w:left="2880"/>
        <w:tabs>
          <w:tab w:val="left" w:pos="2880" w:leader="none"/>
        </w:tabs>
      </w:pPr>
      <w:rPr>
        <w:rFonts w:ascii="Symbol" w:hAnsi="Symbol"/>
      </w:rPr>
    </w:lvl>
    <w:lvl w:ilvl="4" w:tplc="2516B403">
      <w:start w:val="1"/>
      <w:numFmt w:val="bullet"/>
      <w:suff w:val="tab"/>
      <w:lvlText w:val="o"/>
      <w:lvlJc w:val="left"/>
      <w:pPr>
        <w:ind w:hanging="360" w:left="3600"/>
        <w:tabs>
          <w:tab w:val="left" w:pos="3600" w:leader="none"/>
        </w:tabs>
      </w:pPr>
      <w:rPr>
        <w:rFonts w:ascii="Courier New" w:hAnsi="Courier New"/>
      </w:rPr>
    </w:lvl>
    <w:lvl w:ilvl="5" w:tplc="69AF8D07">
      <w:start w:val="1"/>
      <w:numFmt w:val="bullet"/>
      <w:suff w:val="tab"/>
      <w:lvlText w:val=""/>
      <w:lvlJc w:val="left"/>
      <w:pPr>
        <w:ind w:hanging="360" w:left="4320"/>
        <w:tabs>
          <w:tab w:val="left" w:pos="4320" w:leader="none"/>
        </w:tabs>
      </w:pPr>
      <w:rPr>
        <w:rFonts w:ascii="Wingdings" w:hAnsi="Wingdings"/>
      </w:rPr>
    </w:lvl>
    <w:lvl w:ilvl="6" w:tplc="1586B792">
      <w:start w:val="1"/>
      <w:numFmt w:val="bullet"/>
      <w:suff w:val="tab"/>
      <w:lvlText w:val=""/>
      <w:lvlJc w:val="left"/>
      <w:pPr>
        <w:ind w:hanging="360" w:left="5040"/>
        <w:tabs>
          <w:tab w:val="left" w:pos="5040" w:leader="none"/>
        </w:tabs>
      </w:pPr>
      <w:rPr>
        <w:rFonts w:ascii="Symbol" w:hAnsi="Symbol"/>
      </w:rPr>
    </w:lvl>
    <w:lvl w:ilvl="7" w:tplc="749545E2">
      <w:start w:val="1"/>
      <w:numFmt w:val="bullet"/>
      <w:suff w:val="tab"/>
      <w:lvlText w:val="o"/>
      <w:lvlJc w:val="left"/>
      <w:pPr>
        <w:ind w:hanging="360" w:left="5760"/>
        <w:tabs>
          <w:tab w:val="left" w:pos="5760" w:leader="none"/>
        </w:tabs>
      </w:pPr>
      <w:rPr>
        <w:rFonts w:ascii="Courier New" w:hAnsi="Courier New"/>
      </w:rPr>
    </w:lvl>
    <w:lvl w:ilvl="8" w:tplc="2D48618F">
      <w:start w:val="1"/>
      <w:numFmt w:val="bullet"/>
      <w:suff w:val="tab"/>
      <w:lvlText w:val=""/>
      <w:lvlJc w:val="left"/>
      <w:pPr>
        <w:ind w:hanging="360" w:left="6480"/>
        <w:tabs>
          <w:tab w:val="left" w:pos="6480" w:leader="none"/>
        </w:tabs>
      </w:pPr>
      <w:rPr>
        <w:rFonts w:ascii="Wingdings" w:hAnsi="Wingdings"/>
      </w:rPr>
    </w:lvl>
  </w:abstractNum>
  <w:abstractNum w:abstractNumId="7">
    <w:nsid w:val="6DF51102"/>
    <w:multiLevelType w:val="hybridMultilevel"/>
    <w:lvl w:ilvl="0" w:tplc="7C99985E">
      <w:start w:val="0"/>
      <w:numFmt w:val="bullet"/>
      <w:suff w:val="tab"/>
      <w:lvlText w:val="-"/>
      <w:lvlJc w:val="left"/>
      <w:pPr>
        <w:ind w:hanging="360" w:left="720"/>
        <w:tabs>
          <w:tab w:val="left" w:pos="720" w:leader="none"/>
        </w:tabs>
      </w:pPr>
      <w:rPr>
        <w:rFonts w:ascii="Arial" w:hAnsi="Arial"/>
      </w:rPr>
    </w:lvl>
    <w:lvl w:ilvl="1" w:tplc="0B862763">
      <w:start w:val="1"/>
      <w:numFmt w:val="bullet"/>
      <w:suff w:val="tab"/>
      <w:lvlText w:val="o"/>
      <w:lvlJc w:val="left"/>
      <w:pPr>
        <w:ind w:hanging="360" w:left="1440"/>
        <w:tabs>
          <w:tab w:val="left" w:pos="1440" w:leader="none"/>
        </w:tabs>
      </w:pPr>
      <w:rPr>
        <w:rFonts w:ascii="Courier New" w:hAnsi="Courier New"/>
      </w:rPr>
    </w:lvl>
    <w:lvl w:ilvl="2" w:tplc="5F3B8DEA">
      <w:start w:val="1"/>
      <w:numFmt w:val="bullet"/>
      <w:suff w:val="tab"/>
      <w:lvlText w:val=""/>
      <w:lvlJc w:val="left"/>
      <w:pPr>
        <w:ind w:hanging="360" w:left="2160"/>
        <w:tabs>
          <w:tab w:val="left" w:pos="2160" w:leader="none"/>
        </w:tabs>
      </w:pPr>
      <w:rPr>
        <w:rFonts w:ascii="Wingdings" w:hAnsi="Wingdings"/>
      </w:rPr>
    </w:lvl>
    <w:lvl w:ilvl="3" w:tplc="2E6E3665">
      <w:start w:val="1"/>
      <w:numFmt w:val="bullet"/>
      <w:suff w:val="tab"/>
      <w:lvlText w:val=""/>
      <w:lvlJc w:val="left"/>
      <w:pPr>
        <w:ind w:hanging="360" w:left="2880"/>
        <w:tabs>
          <w:tab w:val="left" w:pos="2880" w:leader="none"/>
        </w:tabs>
      </w:pPr>
      <w:rPr>
        <w:rFonts w:ascii="Symbol" w:hAnsi="Symbol"/>
      </w:rPr>
    </w:lvl>
    <w:lvl w:ilvl="4" w:tplc="2C1F0135">
      <w:start w:val="1"/>
      <w:numFmt w:val="bullet"/>
      <w:suff w:val="tab"/>
      <w:lvlText w:val="o"/>
      <w:lvlJc w:val="left"/>
      <w:pPr>
        <w:ind w:hanging="360" w:left="3600"/>
        <w:tabs>
          <w:tab w:val="left" w:pos="3600" w:leader="none"/>
        </w:tabs>
      </w:pPr>
      <w:rPr>
        <w:rFonts w:ascii="Courier New" w:hAnsi="Courier New"/>
      </w:rPr>
    </w:lvl>
    <w:lvl w:ilvl="5" w:tplc="62198879">
      <w:start w:val="1"/>
      <w:numFmt w:val="bullet"/>
      <w:suff w:val="tab"/>
      <w:lvlText w:val=""/>
      <w:lvlJc w:val="left"/>
      <w:pPr>
        <w:ind w:hanging="360" w:left="4320"/>
        <w:tabs>
          <w:tab w:val="left" w:pos="4320" w:leader="none"/>
        </w:tabs>
      </w:pPr>
      <w:rPr>
        <w:rFonts w:ascii="Wingdings" w:hAnsi="Wingdings"/>
      </w:rPr>
    </w:lvl>
    <w:lvl w:ilvl="6" w:tplc="58517301">
      <w:start w:val="1"/>
      <w:numFmt w:val="bullet"/>
      <w:suff w:val="tab"/>
      <w:lvlText w:val=""/>
      <w:lvlJc w:val="left"/>
      <w:pPr>
        <w:ind w:hanging="360" w:left="5040"/>
        <w:tabs>
          <w:tab w:val="left" w:pos="5040" w:leader="none"/>
        </w:tabs>
      </w:pPr>
      <w:rPr>
        <w:rFonts w:ascii="Symbol" w:hAnsi="Symbol"/>
      </w:rPr>
    </w:lvl>
    <w:lvl w:ilvl="7" w:tplc="26D57175">
      <w:start w:val="1"/>
      <w:numFmt w:val="bullet"/>
      <w:suff w:val="tab"/>
      <w:lvlText w:val="o"/>
      <w:lvlJc w:val="left"/>
      <w:pPr>
        <w:ind w:hanging="360" w:left="5760"/>
        <w:tabs>
          <w:tab w:val="left" w:pos="5760" w:leader="none"/>
        </w:tabs>
      </w:pPr>
      <w:rPr>
        <w:rFonts w:ascii="Courier New" w:hAnsi="Courier New"/>
      </w:rPr>
    </w:lvl>
    <w:lvl w:ilvl="8" w:tplc="35B128CB">
      <w:start w:val="1"/>
      <w:numFmt w:val="bullet"/>
      <w:suff w:val="tab"/>
      <w:lvlText w:val=""/>
      <w:lvlJc w:val="left"/>
      <w:pPr>
        <w:ind w:hanging="360" w:left="6480"/>
        <w:tabs>
          <w:tab w:val="left" w:pos="6480" w:leader="none"/>
        </w:tabs>
      </w:pPr>
      <w:rPr>
        <w:rFonts w:ascii="Wingdings" w:hAnsi="Wingdings"/>
      </w:rPr>
    </w:lvl>
  </w:abstractNum>
  <w:abstractNum w:abstractNumId="8">
    <w:nsid w:val="71AD50E7"/>
    <w:multiLevelType w:val="hybridMultilevel"/>
    <w:lvl w:ilvl="0" w:tplc="1FEDEF47">
      <w:start w:val="0"/>
      <w:numFmt w:val="bullet"/>
      <w:suff w:val="tab"/>
      <w:lvlText w:val="-"/>
      <w:lvlJc w:val="left"/>
      <w:pPr>
        <w:ind w:hanging="360" w:left="720"/>
        <w:tabs>
          <w:tab w:val="left" w:pos="720" w:leader="none"/>
        </w:tabs>
      </w:pPr>
      <w:rPr>
        <w:rFonts w:ascii="Times New Roman" w:hAnsi="Times New Roman"/>
      </w:rPr>
    </w:lvl>
    <w:lvl w:ilvl="1" w:tplc="0995498B">
      <w:start w:val="1"/>
      <w:numFmt w:val="bullet"/>
      <w:suff w:val="tab"/>
      <w:lvlText w:val="o"/>
      <w:lvlJc w:val="left"/>
      <w:pPr>
        <w:ind w:hanging="360" w:left="1440"/>
        <w:tabs>
          <w:tab w:val="left" w:pos="1440" w:leader="none"/>
        </w:tabs>
      </w:pPr>
      <w:rPr>
        <w:rFonts w:ascii="Courier New" w:hAnsi="Courier New"/>
      </w:rPr>
    </w:lvl>
    <w:lvl w:ilvl="2" w:tplc="58AC2C37">
      <w:start w:val="1"/>
      <w:numFmt w:val="bullet"/>
      <w:suff w:val="tab"/>
      <w:lvlText w:val=""/>
      <w:lvlJc w:val="left"/>
      <w:pPr>
        <w:ind w:hanging="360" w:left="2160"/>
        <w:tabs>
          <w:tab w:val="left" w:pos="2160" w:leader="none"/>
        </w:tabs>
      </w:pPr>
      <w:rPr>
        <w:rFonts w:ascii="Wingdings" w:hAnsi="Wingdings"/>
      </w:rPr>
    </w:lvl>
    <w:lvl w:ilvl="3" w:tplc="484E1320">
      <w:start w:val="1"/>
      <w:numFmt w:val="bullet"/>
      <w:suff w:val="tab"/>
      <w:lvlText w:val=""/>
      <w:lvlJc w:val="left"/>
      <w:pPr>
        <w:ind w:hanging="360" w:left="2880"/>
        <w:tabs>
          <w:tab w:val="left" w:pos="2880" w:leader="none"/>
        </w:tabs>
      </w:pPr>
      <w:rPr>
        <w:rFonts w:ascii="Symbol" w:hAnsi="Symbol"/>
      </w:rPr>
    </w:lvl>
    <w:lvl w:ilvl="4" w:tplc="6C3B1966">
      <w:start w:val="1"/>
      <w:numFmt w:val="bullet"/>
      <w:suff w:val="tab"/>
      <w:lvlText w:val="o"/>
      <w:lvlJc w:val="left"/>
      <w:pPr>
        <w:ind w:hanging="360" w:left="3600"/>
        <w:tabs>
          <w:tab w:val="left" w:pos="3600" w:leader="none"/>
        </w:tabs>
      </w:pPr>
      <w:rPr>
        <w:rFonts w:ascii="Courier New" w:hAnsi="Courier New"/>
      </w:rPr>
    </w:lvl>
    <w:lvl w:ilvl="5" w:tplc="490035EC">
      <w:start w:val="1"/>
      <w:numFmt w:val="bullet"/>
      <w:suff w:val="tab"/>
      <w:lvlText w:val=""/>
      <w:lvlJc w:val="left"/>
      <w:pPr>
        <w:ind w:hanging="360" w:left="4320"/>
        <w:tabs>
          <w:tab w:val="left" w:pos="4320" w:leader="none"/>
        </w:tabs>
      </w:pPr>
      <w:rPr>
        <w:rFonts w:ascii="Wingdings" w:hAnsi="Wingdings"/>
      </w:rPr>
    </w:lvl>
    <w:lvl w:ilvl="6" w:tplc="7130D29E">
      <w:start w:val="1"/>
      <w:numFmt w:val="bullet"/>
      <w:suff w:val="tab"/>
      <w:lvlText w:val=""/>
      <w:lvlJc w:val="left"/>
      <w:pPr>
        <w:ind w:hanging="360" w:left="5040"/>
        <w:tabs>
          <w:tab w:val="left" w:pos="5040" w:leader="none"/>
        </w:tabs>
      </w:pPr>
      <w:rPr>
        <w:rFonts w:ascii="Symbol" w:hAnsi="Symbol"/>
      </w:rPr>
    </w:lvl>
    <w:lvl w:ilvl="7" w:tplc="0590FBF6">
      <w:start w:val="1"/>
      <w:numFmt w:val="bullet"/>
      <w:suff w:val="tab"/>
      <w:lvlText w:val="o"/>
      <w:lvlJc w:val="left"/>
      <w:pPr>
        <w:ind w:hanging="360" w:left="5760"/>
        <w:tabs>
          <w:tab w:val="left" w:pos="5760" w:leader="none"/>
        </w:tabs>
      </w:pPr>
      <w:rPr>
        <w:rFonts w:ascii="Courier New" w:hAnsi="Courier New"/>
      </w:rPr>
    </w:lvl>
    <w:lvl w:ilvl="8" w:tplc="628242C0">
      <w:start w:val="1"/>
      <w:numFmt w:val="bullet"/>
      <w:suff w:val="tab"/>
      <w:lvlText w:val=""/>
      <w:lvlJc w:val="left"/>
      <w:pPr>
        <w:ind w:hanging="360" w:left="6480"/>
        <w:tabs>
          <w:tab w:val="left" w:pos="6480" w:leader="none"/>
        </w:tabs>
      </w:pPr>
      <w:rPr>
        <w:rFonts w:ascii="Wingdings" w:hAnsi="Wingdings"/>
      </w:rPr>
    </w:lvl>
  </w:abstractNum>
  <w:num w:numId="1">
    <w:abstractNumId w:val="6"/>
  </w:num>
  <w:num w:numId="2">
    <w:abstractNumId w:val="7"/>
  </w:num>
  <w:num w:numId="3">
    <w:abstractNumId w:val="1"/>
  </w:num>
  <w:num w:numId="4">
    <w:abstractNumId w:val="0"/>
  </w:num>
  <w:num w:numId="5">
    <w:abstractNumId w:val="2"/>
  </w:num>
  <w:num w:numId="6">
    <w:abstractNumId w:val="8"/>
  </w:num>
  <w:num w:numId="7">
    <w:abstractNumId w:val="4"/>
  </w:num>
  <w:num w:numId="8">
    <w:abstractNumId w:val="3"/>
  </w:num>
  <w:num w:numId="9">
    <w:abstractNumId w:val="5"/>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spacing w:lineRule="auto" w:line="235"/>
      <w:ind w:firstLine="720"/>
      <w:jc w:val="both"/>
      <w:outlineLvl w:val="7"/>
    </w:pPr>
    <w:rPr>
      <w:rFonts w:ascii="Arial" w:hAnsi="Arial"/>
      <w:b w:val="1"/>
      <w:i w:val="1"/>
      <w:sz w:val="20"/>
    </w:rPr>
  </w:style>
  <w:style w:type="paragraph" w:styleId="P10">
    <w:name w:val="Heading 9"/>
    <w:basedOn w:val="P0"/>
    <w:next w:val="P0"/>
    <w:pPr>
      <w:keepNext w:val="1"/>
      <w:spacing w:lineRule="auto" w:line="235"/>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3"/>
    <w:basedOn w:val="P0"/>
    <w:next w:val="P17"/>
    <w:pPr>
      <w:jc w:val="center"/>
    </w:pPr>
    <w:rPr>
      <w:rFonts w:ascii="Arial" w:hAnsi="Arial"/>
      <w:b w:val="1"/>
      <w:sz w:val="20"/>
    </w:rPr>
  </w:style>
  <w:style w:type="paragraph" w:styleId="P18">
    <w:name w:val="Body Text"/>
    <w:basedOn w:val="P0"/>
    <w:next w:val="P18"/>
    <w:pPr>
      <w:spacing w:after="120"/>
    </w:pPr>
    <w:rPr/>
  </w:style>
  <w:style w:type="paragraph" w:styleId="P19">
    <w:name w:val="Body Text 2"/>
    <w:basedOn w:val="P0"/>
    <w:next w:val="P19"/>
    <w:pPr>
      <w:spacing w:lineRule="auto" w:line="480" w:after="12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2006-06-29T09:28:00Z</dcterms:created>
  <cp:lastModifiedBy>Nikola Kapetanovic</cp:lastModifiedBy>
  <cp:lastPrinted>2007-06-11T12:38:00Z</cp:lastPrinted>
  <dcterms:modified xsi:type="dcterms:W3CDTF">2020-01-10T11:46:28Z</dcterms:modified>
  <cp:revision>99</cp:revision>
  <dc:title>Промет робе у трговини на мало у Републици Србији, јануар 2003</dc:title>
</cp:coreProperties>
</file>