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7EC72469" Type="http://schemas.openxmlformats.org/officeDocument/2006/relationships/officeDocument" Target="/word/document.xml" /><Relationship Id="coreR7EC724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3"/>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2"/>
            </w:pPr>
            <w:r>
              <w:t>COMMUNICATION</w:t>
            </w:r>
          </w:p>
          <w:p>
            <w:pPr>
              <w:rPr>
                <w:rFonts w:ascii="Arial" w:hAnsi="Arial"/>
                <w:b w:val="1"/>
              </w:rPr>
            </w:pPr>
            <w:r>
              <w:rPr>
                <w:rFonts w:ascii="Arial" w:hAnsi="Arial"/>
                <w:b w:val="1"/>
              </w:rPr>
              <w:t xml:space="preserve">Number </w:t>
            </w:r>
            <w:r>
              <w:rPr>
                <w:rFonts w:ascii="Arial" w:hAnsi="Arial"/>
                <w:b w:val="1"/>
              </w:rPr>
              <w:t>314</w:t>
            </w:r>
            <w:r>
              <w:rPr>
                <w:rFonts w:ascii="Arial" w:hAnsi="Arial"/>
                <w:b w:val="1"/>
              </w:rPr>
              <w:t xml:space="preserve"> • Year LVIII, </w:t>
            </w:r>
            <w:r>
              <w:rPr>
                <w:rFonts w:ascii="Arial" w:hAnsi="Arial"/>
                <w:b w:val="1"/>
              </w:rPr>
              <w:t>12</w:t>
            </w:r>
            <w:r>
              <w:rPr>
                <w:rFonts w:ascii="Arial" w:hAnsi="Arial"/>
                <w:b w:val="1"/>
              </w:rPr>
              <w:t>/1</w:t>
            </w:r>
            <w:r>
              <w:rPr>
                <w:rFonts w:ascii="Arial" w:hAnsi="Arial"/>
                <w:b w:val="1"/>
              </w:rPr>
              <w:t>1</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314</w:t>
            </w:r>
            <w:r>
              <w:rPr>
                <w:b w:val="1"/>
                <w:sz w:val="20"/>
              </w:rPr>
              <w:t xml:space="preserve"> GR30 </w:t>
            </w:r>
            <w:r>
              <w:rPr>
                <w:b w:val="1"/>
                <w:sz w:val="20"/>
              </w:rPr>
              <w:t>12</w:t>
            </w:r>
            <w:r>
              <w:rPr>
                <w:b w:val="1"/>
                <w:sz w:val="20"/>
              </w:rPr>
              <w:t>1</w:t>
            </w:r>
            <w:r>
              <w:rPr>
                <w:b w:val="1"/>
                <w:sz w:val="20"/>
              </w:rPr>
              <w:t>1</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xml:space="preserve">, </w:t>
      </w:r>
      <w:r>
        <w:rPr>
          <w:rFonts w:ascii="Arial" w:hAnsi="Arial"/>
          <w:b w:val="1"/>
          <w:sz w:val="28"/>
        </w:rPr>
        <w:t>September</w:t>
      </w:r>
      <w:r>
        <w:rPr>
          <w:rFonts w:ascii="Arial" w:hAnsi="Arial"/>
          <w:b w:val="1"/>
          <w:sz w:val="28"/>
        </w:rPr>
        <w:t xml:space="preserve"> 2008  </w:t>
      </w:r>
    </w:p>
    <w:p>
      <w:pPr>
        <w:jc w:val="center"/>
        <w:rPr>
          <w:rFonts w:ascii="Arial" w:hAnsi="Arial"/>
          <w:b w:val="1"/>
        </w:rPr>
      </w:pPr>
      <w:r>
        <w:rPr>
          <w:rFonts w:ascii="Arial" w:hAnsi="Arial"/>
          <w:b w:val="1"/>
        </w:rPr>
        <w:t>– Preliminary results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September 2008, building of 1504 dwellings with average area of 67.3 m</w:t>
      </w:r>
      <w:r>
        <w:rPr>
          <w:rFonts w:ascii="Arial" w:hAnsi="Arial"/>
          <w:sz w:val="20"/>
          <w:vertAlign w:val="superscript"/>
        </w:rPr>
        <w:t xml:space="preserve">2 </w:t>
      </w:r>
      <w:r>
        <w:rPr>
          <w:rFonts w:ascii="Arial" w:hAnsi="Arial"/>
          <w:sz w:val="20"/>
        </w:rPr>
        <w:t>was recorded. Number of dwellings increased, according to the issued permits, by 15.2 % when compared to September 2007. Out of the total number of dwellings in residential buildings, 15.6 % of dwellings will be built in single – dwelling buildings, with average area of 132.0 m</w:t>
      </w:r>
      <w:r>
        <w:rPr>
          <w:rFonts w:ascii="Arial" w:hAnsi="Arial"/>
          <w:sz w:val="20"/>
          <w:vertAlign w:val="superscript"/>
        </w:rPr>
        <w:t>2</w:t>
      </w:r>
      <w:r>
        <w:rPr>
          <w:rFonts w:ascii="Arial" w:hAnsi="Arial"/>
          <w:sz w:val="20"/>
        </w:rPr>
        <w:t>, while 78.7 % of dwellings will be in the buildings with three and more dwellings, with significantly smaller average area of 53.7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September 2008, 1039 building permits were issued, presenting the decrease of 1.6 % when compared to September 2007, while this number  in the period January – September 2008 decreased by 4.5% when compared the same period in 2007. Index of anticipated value in September 2008 is by 21.6 % lower than in September 2007. </w:t>
      </w:r>
    </w:p>
    <w:p>
      <w:pPr>
        <w:ind w:firstLine="720"/>
        <w:jc w:val="both"/>
        <w:rPr>
          <w:rFonts w:ascii="Arial" w:hAnsi="Arial"/>
          <w:sz w:val="20"/>
        </w:rPr>
      </w:pPr>
      <w:r>
        <w:rPr>
          <w:rFonts w:ascii="Arial" w:hAnsi="Arial"/>
          <w:sz w:val="20"/>
        </w:rPr>
        <w:t xml:space="preserve">Observed by types of constructions, in September 2008, 83.4 % of permits related to buildings and 16.6 % to civil engineering. When referring only to buildings, 76.5 % related to residential buildings and 23.5 % to non – residential ones, while regarding civil engineering, the greatest number related to pipelines, communication and electric power lines, 75.0 %.   </w:t>
      </w:r>
    </w:p>
    <w:p>
      <w:pPr>
        <w:ind w:firstLine="720"/>
        <w:jc w:val="both"/>
        <w:rPr>
          <w:rFonts w:ascii="Arial" w:hAnsi="Arial"/>
          <w:sz w:val="20"/>
        </w:rPr>
      </w:pPr>
      <w:r>
        <w:rPr>
          <w:rFonts w:ascii="Arial" w:hAnsi="Arial"/>
          <w:sz w:val="20"/>
        </w:rPr>
        <w:t xml:space="preserve">Anticipated value of works on new building in September 2008 amounts to 78.3% of totally anticipated value of works. Observed by districts, the greatest construction activity was noted in the city of Belgrade, amounting to 19.3%, followed by Srem District, 12.3 %, South Backa District, 9.0% and Rasina District, 8.2 %, while shares of other districts were smaller, between 0.3 % and 6.2%.   </w:t>
      </w:r>
    </w:p>
    <w:p>
      <w:pPr>
        <w:ind w:firstLine="720"/>
        <w:jc w:val="both"/>
        <w:rPr>
          <w:rFonts w:ascii="Arial" w:hAnsi="Arial"/>
          <w:b w:val="1"/>
        </w:rPr>
      </w:pP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sz w:val="20"/>
        </w:rPr>
        <w:t>www.stat.gov.rs</w:t>
      </w:r>
      <w:r>
        <w:rPr>
          <w:rStyle w:val="C2"/>
          <w:rFonts w:ascii="Arial" w:hAnsi="Arial"/>
          <w:sz w:val="20"/>
        </w:rPr>
        <w:fldChar w:fldCharType="end"/>
      </w:r>
      <w:r>
        <w:rPr>
          <w:rFonts w:ascii="Arial" w:hAnsi="Arial"/>
          <w:sz w:val="20"/>
        </w:rPr>
        <w:t xml:space="preserve"> (construction activity and databases). </w:t>
      </w: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1. 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72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I–IX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I–IX 2007</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VIII 2008</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IX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IX 2007</w:t>
            </w:r>
          </w:p>
        </w:tc>
        <w:tc>
          <w:tcPr>
            <w:tcW w:w="1478"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477"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119,2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113,9</w:t>
            </w:r>
          </w:p>
        </w:tc>
      </w:tr>
      <w:tr>
        <w:trPr>
          <w:wAfter w:w="0" w:type="dxa"/>
          <w:trHeight w:hRule="atLeast" w:val="270"/>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88,2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55,7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78,4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80,0</w:t>
            </w:r>
          </w:p>
        </w:tc>
      </w:tr>
      <w:tr>
        <w:trPr>
          <w:wAfter w:w="0" w:type="dxa"/>
          <w:trHeight w:hRule="atLeast" w:val="273"/>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6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97,9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107,6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121,1</w:t>
            </w:r>
          </w:p>
        </w:tc>
      </w:tr>
      <w:tr>
        <w:trPr>
          <w:wAfter w:w="0" w:type="dxa"/>
          <w:trHeight w:hRule="atLeast" w:val="302"/>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83,3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59,7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82,9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81,7</w:t>
            </w:r>
          </w:p>
        </w:tc>
      </w:tr>
      <w:tr>
        <w:trPr>
          <w:wAfter w:w="0" w:type="dxa"/>
          <w:trHeight w:hRule="atLeast" w:val="25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90,9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77,1</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94,3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90,4</w:t>
            </w:r>
          </w:p>
        </w:tc>
      </w:tr>
      <w:tr>
        <w:trPr>
          <w:wAfter w:w="0" w:type="dxa"/>
          <w:trHeight w:hRule="atLeast" w:val="28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89,6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79,4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101,2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95,3</w:t>
            </w:r>
          </w:p>
        </w:tc>
      </w:tr>
      <w:tr>
        <w:trPr>
          <w:wAfter w:w="0" w:type="dxa"/>
          <w:trHeight w:hRule="atLeast" w:val="256"/>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3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86,4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141,0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68,8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88,2</w:t>
            </w:r>
          </w:p>
        </w:tc>
      </w:tr>
      <w:tr>
        <w:trPr>
          <w:wAfter w:w="0" w:type="dxa"/>
          <w:trHeight w:hRule="atLeast" w:val="29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104,9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44,8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65,4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74,4</w:t>
            </w:r>
          </w:p>
        </w:tc>
      </w:tr>
      <w:tr>
        <w:trPr>
          <w:wAfter w:w="0" w:type="dxa"/>
          <w:trHeight w:hRule="atLeast" w:val="245"/>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7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94,6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108,9</w:t>
            </w:r>
          </w:p>
        </w:tc>
      </w:tr>
      <w:tr>
        <w:trPr>
          <w:wAfter w:w="0" w:type="dxa"/>
          <w:trHeight w:hRule="atLeast" w:val="27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92,9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110,6</w:t>
            </w:r>
          </w:p>
        </w:tc>
      </w:tr>
    </w:tbl>
    <w:p>
      <w:pPr>
        <w:pStyle w:val="P4"/>
        <w:spacing w:before="0" w:after="0"/>
        <w:jc w:val="left"/>
        <w:rPr>
          <w:sz w:val="19"/>
        </w:rPr>
      </w:pPr>
    </w:p>
    <w:p/>
    <w:p>
      <w:pPr>
        <w:pStyle w:val="P5"/>
        <w:rPr>
          <w:rFonts w:ascii="Arial" w:hAnsi="Arial"/>
          <w:sz w:val="14"/>
        </w:rPr>
      </w:pPr>
      <w:r>
        <w:rPr>
          <w:rFonts w:ascii="Arial" w:hAnsi="Arial"/>
          <w:sz w:val="14"/>
        </w:rPr>
        <w:t xml:space="preserve">  Without data for Kosovo and Metohia.</w:t>
      </w:r>
    </w:p>
    <w:p/>
    <w:p>
      <w:pPr>
        <w:pStyle w:val="P4"/>
        <w:spacing w:lineRule="auto" w:line="252" w:before="0" w:after="0"/>
        <w:jc w:val="left"/>
        <w:rPr>
          <w:sz w:val="19"/>
        </w:rPr>
      </w:pPr>
      <w:r>
        <w:rPr>
          <w:sz w:val="19"/>
        </w:rPr>
        <w:t>Notes:</w:t>
      </w:r>
    </w:p>
    <w:p>
      <w:pPr>
        <w:spacing w:lineRule="auto" w:line="252"/>
        <w:jc w:val="both"/>
        <w:rPr>
          <w:rFonts w:ascii="Arial" w:hAnsi="Arial"/>
          <w:sz w:val="18"/>
        </w:rPr>
      </w:pPr>
      <w:r>
        <w:rPr>
          <w:rFonts w:ascii="Arial" w:hAnsi="Arial"/>
          <w:sz w:val="18"/>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In the scope of this survey, the concept of „building permits“ unites two documents issued by the competent authority: building permit for construction and request for starting works. </w:t>
      </w:r>
    </w:p>
    <w:p>
      <w:pPr>
        <w:spacing w:lineRule="auto" w:line="252"/>
        <w:jc w:val="both"/>
        <w:rPr>
          <w:rFonts w:ascii="Arial" w:hAnsi="Arial"/>
          <w:sz w:val="6"/>
        </w:rPr>
      </w:pPr>
      <w:r>
        <w:rPr>
          <w:rFonts w:ascii="Arial" w:hAnsi="Arial"/>
          <w:b w:val="1"/>
          <w:sz w:val="6"/>
        </w:rPr>
        <w:t xml:space="preserve"> </w:t>
      </w:r>
      <w:r>
        <w:rPr>
          <w:rFonts w:ascii="Arial" w:hAnsi="Arial"/>
          <w:sz w:val="6"/>
        </w:rPr>
        <w:tab/>
      </w:r>
    </w:p>
    <w:p>
      <w:pPr>
        <w:spacing w:lineRule="auto" w:line="252"/>
        <w:jc w:val="both"/>
        <w:rPr>
          <w:rFonts w:ascii="Arial" w:hAnsi="Arial"/>
          <w:sz w:val="18"/>
        </w:rPr>
      </w:pPr>
      <w:r>
        <w:rPr>
          <w:rFonts w:ascii="Arial" w:hAnsi="Arial"/>
          <w:sz w:val="18"/>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Data on issued building permits show the dynamics of construction activity and enable an insight in investments’ structure on state and local self – government level.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sz w:val="18"/>
        </w:rPr>
        <w:t>A</w:t>
      </w:r>
      <w:r>
        <w:rPr>
          <w:rFonts w:ascii="Arial" w:hAnsi="Arial"/>
          <w:b w:val="1"/>
          <w:sz w:val="18"/>
        </w:rPr>
        <w:t xml:space="preserve"> construction </w:t>
      </w:r>
      <w:r>
        <w:rPr>
          <w:rFonts w:ascii="Arial" w:hAnsi="Arial"/>
          <w:sz w:val="18"/>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8"/>
        </w:rPr>
        <w:t xml:space="preserve">  </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Buildings </w:t>
      </w:r>
      <w:r>
        <w:rPr>
          <w:rFonts w:ascii="Arial" w:hAnsi="Arial"/>
          <w:sz w:val="18"/>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sz w:val="18"/>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b w:val="1"/>
          <w:sz w:val="18"/>
        </w:rPr>
        <w:t xml:space="preserve">Other civil engineering constructions </w:t>
      </w:r>
      <w:r>
        <w:rPr>
          <w:rFonts w:ascii="Arial" w:hAnsi="Arial"/>
          <w:sz w:val="18"/>
        </w:rPr>
        <w:t xml:space="preserve">relate to all constructions that are not buildings: railways, roads, bridges, highways, airport runways, pools, etc. </w:t>
      </w:r>
      <w:r>
        <w:rPr>
          <w:rFonts w:ascii="Arial" w:hAnsi="Arial"/>
          <w:b w:val="1"/>
          <w:sz w:val="18"/>
        </w:rPr>
        <w:t xml:space="preserve"> </w:t>
      </w:r>
    </w:p>
    <w:p>
      <w:pPr>
        <w:pStyle w:val="P7"/>
        <w:spacing w:lineRule="auto" w:line="252"/>
        <w:rPr>
          <w:b w:val="1"/>
          <w:i w:val="1"/>
          <w:sz w:val="6"/>
        </w:rPr>
      </w:pPr>
      <w:r>
        <w:rPr>
          <w:b w:val="1"/>
          <w:i w:val="1"/>
          <w:sz w:val="6"/>
        </w:rPr>
        <w:tab/>
        <w:tab/>
      </w:r>
    </w:p>
    <w:p>
      <w:pPr>
        <w:pStyle w:val="P7"/>
        <w:spacing w:lineRule="auto" w:line="252"/>
        <w:rPr>
          <w:b w:val="1"/>
          <w:sz w:val="18"/>
        </w:rPr>
      </w:pPr>
      <w:r>
        <w:rPr>
          <w:b w:val="1"/>
          <w:sz w:val="18"/>
        </w:rPr>
        <w:t>Gross building area (m</w:t>
      </w:r>
      <w:r>
        <w:rPr>
          <w:b w:val="1"/>
          <w:sz w:val="18"/>
          <w:vertAlign w:val="superscript"/>
        </w:rPr>
        <w:t>2</w:t>
      </w:r>
      <w:r>
        <w:rPr>
          <w:b w:val="1"/>
          <w:sz w:val="18"/>
        </w:rPr>
        <w:t xml:space="preserve">) </w:t>
      </w:r>
      <w:r>
        <w:rPr>
          <w:sz w:val="18"/>
        </w:rPr>
        <w:t>presents the sum of all floor areas in the building that are comprised by outer walls, also including the thickness of outer walls.</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Useful dwelling area </w:t>
      </w:r>
      <w:r>
        <w:rPr>
          <w:rFonts w:ascii="Arial" w:hAnsi="Arial"/>
          <w:sz w:val="18"/>
        </w:rPr>
        <w:t xml:space="preserve">is the floor area, measured inside the outer walls of the dwelling and presents the sum of all floor areas, rooms, kitchen, bathroom, toilet and other auxiliary spaces in the dwelling. </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Anticipated value of works </w:t>
      </w:r>
      <w:r>
        <w:rPr>
          <w:rFonts w:ascii="Arial" w:hAnsi="Arial"/>
          <w:sz w:val="18"/>
        </w:rPr>
        <w:t xml:space="preserve">presents the planed value of works on a construction. </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www.stat.gov.rs  </w:t>
        <w:br w:type="textWrapping"/>
        <w:t>Responsible: Dragan Vukmirovic, PhD, Director</w:t>
      </w:r>
    </w:p>
    <w:p>
      <w:pPr>
        <w:jc w:val="center"/>
        <w:rPr>
          <w:rFonts w:ascii="Arial" w:hAnsi="Arial"/>
          <w:sz w:val="20"/>
        </w:rPr>
      </w:pPr>
      <w:r>
        <w:rPr>
          <w:rFonts w:ascii="Arial" w:hAnsi="Arial"/>
          <w:sz w:val="20"/>
        </w:rPr>
        <w:t>Circulation: 150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6"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314 GR30 121108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228 GR30 120808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5"/>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note Text"/>
    <w:basedOn w:val="P0"/>
    <w:next w:val="P5"/>
    <w:pPr/>
    <w:rPr>
      <w:sz w:val="20"/>
    </w:rPr>
  </w:style>
  <w:style w:type="paragraph" w:styleId="P6">
    <w:name w:val="Footer"/>
    <w:basedOn w:val="P0"/>
    <w:next w:val="P6"/>
    <w:pPr>
      <w:tabs>
        <w:tab w:val="center" w:pos="4320" w:leader="none"/>
        <w:tab w:val="right" w:pos="8640" w:leader="none"/>
      </w:tabs>
    </w:pPr>
    <w:rPr/>
  </w:style>
  <w:style w:type="paragraph" w:styleId="P7">
    <w:name w:val="Body Text 2"/>
    <w:basedOn w:val="P0"/>
    <w:next w:val="P7"/>
    <w:pPr>
      <w:tabs>
        <w:tab w:val="left" w:pos="142" w:leader="none"/>
      </w:tabs>
      <w:jc w:val="both"/>
    </w:pPr>
    <w:rPr>
      <w:rFonts w:ascii="Arial" w:hAnsi="Arial"/>
    </w:rPr>
  </w:style>
  <w:style w:type="paragraph" w:styleId="P8">
    <w:name w:val="Head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2008-11-12T12:31:00Z</dcterms:created>
  <cp:lastModifiedBy>Nikola Kapetanovic</cp:lastModifiedBy>
  <dcterms:modified xsi:type="dcterms:W3CDTF">2020-01-10T11:46:27Z</dcterms:modified>
  <cp:revision>7</cp:revision>
  <dc:title>Republic of Serbia</dc:title>
</cp:coreProperties>
</file>