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EFAF3BB" Type="http://schemas.openxmlformats.org/officeDocument/2006/relationships/officeDocument" Target="/word/document.xml" /><Relationship Id="coreR7EFAF3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7"/>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285 • Year LVIII, 07/10/2008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CN20</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285 CN20 071008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r>
              <w:rPr>
                <w:rFonts w:ascii="Arial" w:hAnsi="Arial"/>
                <w:b w:val="1"/>
                <w:sz w:val="32"/>
              </w:rPr>
              <w:t>Indices of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bookmarkStart w:id="1" w:name="naslov"/>
            <w:bookmarkEnd w:id="1"/>
            <w:r>
              <w:rPr>
                <w:rFonts w:ascii="Arial" w:hAnsi="Arial"/>
                <w:b w:val="1"/>
                <w:sz w:val="32"/>
              </w:rPr>
              <w:t>for Republic of Serbia - September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right w:val="none" w:sz="0" w:space="0" w:shadow="0" w:frame="0"/>
            </w:tcBorders>
            <w:vAlign w:val="bottom"/>
          </w:tcPr>
          <w:p>
            <w:pPr>
              <w:jc w:val="center"/>
              <w:rPr>
                <w:rFonts w:ascii="Arial" w:hAnsi="Arial"/>
                <w:b w:val="1"/>
                <w:sz w:val="22"/>
              </w:rPr>
            </w:pPr>
            <w:r>
              <w:rPr>
                <w:rFonts w:ascii="Arial" w:hAnsi="Arial"/>
                <w:b w:val="1"/>
                <w:sz w:val="22"/>
              </w:rPr>
              <w:t>Indices of producers' prices of manufactured products</w:t>
            </w: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I-IX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IX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VIII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IX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I-IX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9923" w:type="dxa"/>
            <w:gridSpan w:val="7"/>
            <w:tcBorders>
              <w:left w:val="none" w:sz="0" w:space="0" w:shadow="0" w:frame="0"/>
              <w:right w:val="none" w:sz="0" w:space="0" w:shadow="0" w:frame="0"/>
            </w:tcBorders>
            <w:vAlign w:val="bottom"/>
          </w:tcPr>
          <w:p>
            <w:pPr>
              <w:rPr>
                <w:rFonts w:ascii="Arial" w:hAnsi="Arial"/>
                <w:sz w:val="22"/>
              </w:rPr>
            </w:pPr>
            <w:r>
              <w:rPr>
                <w:rFonts w:ascii="Arial" w:hAnsi="Arial"/>
                <w:b w:val="1"/>
                <w:sz w:val="22"/>
              </w:rPr>
              <w:t xml:space="preserve">                                                                  </w:t>
            </w:r>
            <w:r>
              <w:rPr>
                <w:rFonts w:ascii="Arial" w:hAnsi="Arial"/>
                <w:b w:val="1"/>
                <w:sz w:val="22"/>
              </w:rPr>
              <w:t>Republic of Serbia</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5"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125.1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121.7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120.1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118.4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133.0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130.8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130.9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136.6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139.2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134.2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134.7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134.7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123.9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128.0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120.0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125.1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Extraction of crude petroleum and gas service activities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146.0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106.1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147.3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144.8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156.3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except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metal ores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Other 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117.5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115.1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114.7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118.2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115.9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115.3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tobacco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leather and leather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Publishing, printing and reproduction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coke and refined petroleum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135.8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130.0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134.6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141.5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139.8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129.4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133.6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93.6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office and calculating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83.1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85.5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92.5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85.5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radio,tv and communication equipment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precision and optical instruments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79.6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92.2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82.9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79.0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hot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116.7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115.1</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Purification and distribution of water</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103.9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102.7</w:t>
            </w:r>
          </w:p>
        </w:tc>
        <w:tc>
          <w:tcPr>
            <w:tcW w:w="925"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101.9</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bookmarkEnd w:id="4"/>
            <w:r>
              <w:rPr>
                <w:rFonts w:ascii="Arial" w:hAnsi="Arial"/>
                <w:b w:val="1"/>
                <w:sz w:val="22"/>
              </w:rPr>
              <w:t>Indices of producers' prices of manufactured products</w:t>
            </w:r>
            <w:r>
              <w:rPr>
                <w:rFonts w:ascii="Arial" w:hAnsi="Arial"/>
                <w:b w:val="1"/>
                <w:sz w:val="16"/>
              </w:rPr>
              <w:t xml:space="preserve"> </w:t>
            </w:r>
            <w:r>
              <w:rPr>
                <w:rFonts w:ascii="Arial" w:hAnsi="Arial"/>
                <w:b w:val="1"/>
                <w:sz w:val="22"/>
              </w:rPr>
              <w:t>(continued)</w:t>
            </w:r>
          </w:p>
        </w:tc>
      </w:tr>
      <w:tr>
        <w:trPr>
          <w:wAfter w:w="0" w:type="dxa"/>
        </w:trPr>
        <w:tc>
          <w:tcPr>
            <w:tcW w:w="4369" w:type="dxa"/>
            <w:tcBorders>
              <w:top w:val="none" w:sz="0" w:space="0" w:shadow="0" w:frame="0"/>
              <w:left w:val="none" w:sz="0" w:space="0" w:shadow="0" w:frame="0"/>
              <w:bottom w:val="single" w:sz="8" w:space="0" w:shadow="0" w:frame="0"/>
            </w:tcBorders>
            <w:vAlign w:val="bottom"/>
          </w:tcPr>
          <w:p>
            <w:pPr>
              <w:pStyle w:val="P3"/>
              <w:spacing w:before="60" w:after="60"/>
              <w:rPr>
                <w:sz w:val="18"/>
              </w:rPr>
            </w:pPr>
            <w:r>
              <w:rPr>
                <w:sz w:val="18"/>
              </w:rPr>
              <w:t>Republic of Serbia</w:t>
            </w: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r>
      <w:tr>
        <w:trPr>
          <w:wAfter w:w="0" w:type="dxa"/>
        </w:trPr>
        <w:tc>
          <w:tcPr>
            <w:tcW w:w="4369" w:type="dxa"/>
            <w:vMerge w:val="restart"/>
            <w:tcBorders>
              <w:top w:val="single" w:sz="8" w:space="0" w:shadow="0" w:frame="0"/>
              <w:left w:val="none" w:sz="0" w:space="0" w:shadow="0" w:frame="0"/>
              <w:right w:val="single" w:sz="8" w:space="0" w:shadow="0" w:frame="0"/>
            </w:tcBorders>
            <w:vAlign w:val="bottom"/>
          </w:tcPr>
          <w:p>
            <w:pPr>
              <w:rPr>
                <w:rFonts w:ascii="Arial" w:hAnsi="Arial"/>
                <w:sz w:val="20"/>
              </w:rPr>
            </w:pPr>
            <w:bookmarkStart w:id="5" w:name="zaglavlje21"/>
          </w:p>
        </w:tc>
        <w:tc>
          <w:tcPr>
            <w:tcW w:w="925" w:type="dxa"/>
            <w:tcBorders>
              <w:top w:val="single" w:sz="8" w:space="0" w:shadow="0" w:frame="0"/>
              <w:left w:val="single" w:sz="8"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I-IX 2008</w:t>
            </w:r>
          </w:p>
        </w:tc>
        <w:tc>
          <w:tcPr>
            <w:tcW w:w="926" w:type="dxa"/>
            <w:tcBorders>
              <w:top w:val="single" w:sz="4" w:space="0" w:shadow="0" w:frame="0"/>
              <w:left w:val="single" w:sz="4" w:space="0" w:shadow="0" w:frame="0"/>
            </w:tcBorders>
            <w:vAlign w:val="bottom"/>
          </w:tcPr>
          <w:p>
            <w:pPr>
              <w:jc w:val="center"/>
              <w:rPr>
                <w:rFonts w:ascii="Arial" w:hAnsi="Arial"/>
                <w:sz w:val="16"/>
              </w:rPr>
            </w:pPr>
            <w:r>
              <w:rPr>
                <w:rFonts w:ascii="Arial" w:hAnsi="Arial"/>
                <w:sz w:val="16"/>
              </w:rPr>
              <w:t>IX 2008</w:t>
            </w:r>
          </w:p>
        </w:tc>
      </w:tr>
      <w:tr>
        <w:trPr>
          <w:wAfter w:w="0" w:type="dxa"/>
        </w:trPr>
        <w:tc>
          <w:tcPr>
            <w:tcW w:w="4369" w:type="dxa"/>
            <w:vMerge w:val="continue"/>
            <w:tcBorders>
              <w:left w:val="none" w:sz="0" w:space="0" w:shadow="0" w:frame="0"/>
              <w:right w:val="single" w:sz="8" w:space="0" w:shadow="0" w:frame="0"/>
            </w:tcBorders>
            <w:vAlign w:val="bottom"/>
          </w:tcPr>
          <w:p>
            <w:pPr>
              <w:rPr>
                <w:rFonts w:ascii="Arial" w:hAnsi="Arial"/>
                <w:sz w:val="20"/>
              </w:rPr>
            </w:pPr>
            <w:bookmarkEnd w:id="5"/>
          </w:p>
        </w:tc>
        <w:tc>
          <w:tcPr>
            <w:tcW w:w="925" w:type="dxa"/>
            <w:tcBorders>
              <w:left w:val="single" w:sz="8"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8" w:space="0" w:shadow="0" w:frame="0"/>
            </w:tcBorders>
            <w:vAlign w:val="bottom"/>
          </w:tcPr>
          <w:p>
            <w:pPr>
              <w:rPr>
                <w:rFonts w:ascii="Arial" w:hAnsi="Arial"/>
                <w:sz w:val="20"/>
              </w:rPr>
            </w:pPr>
            <w:bookmarkStart w:id="6" w:name="zaglavlje22"/>
          </w:p>
        </w:tc>
        <w:tc>
          <w:tcPr>
            <w:tcW w:w="925" w:type="dxa"/>
            <w:tcBorders>
              <w:top w:val="none" w:sz="0" w:space="0" w:shadow="0" w:frame="0"/>
              <w:left w:val="single" w:sz="8"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VIII 2008</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IX 2007</w:t>
            </w:r>
          </w:p>
        </w:tc>
        <w:tc>
          <w:tcPr>
            <w:tcW w:w="925"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I-IX 2007</w:t>
            </w:r>
          </w:p>
        </w:tc>
        <w:tc>
          <w:tcPr>
            <w:tcW w:w="926" w:type="dxa"/>
            <w:tcBorders>
              <w:top w:val="none" w:sz="0" w:space="0" w:shadow="0" w:frame="0"/>
              <w:left w:val="single" w:sz="4" w:space="0" w:shadow="0" w:frame="0"/>
              <w:bottom w:val="single" w:sz="4"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4369" w:type="dxa"/>
            <w:tcBorders>
              <w:top w:val="single" w:sz="8" w:space="0" w:shadow="0" w:frame="0"/>
              <w:left w:val="none" w:sz="0" w:space="0" w:shadow="0" w:frame="0"/>
              <w:bottom w:val="none" w:sz="0" w:space="0" w:shadow="0" w:frame="0"/>
              <w:right w:val="single" w:sz="8" w:space="0" w:shadow="0" w:frame="0"/>
            </w:tcBorders>
            <w:vAlign w:val="bottom"/>
          </w:tcPr>
          <w:p>
            <w:pPr>
              <w:rPr>
                <w:rFonts w:ascii="Arial" w:hAnsi="Arial"/>
                <w:sz w:val="16"/>
              </w:rPr>
            </w:pPr>
            <w:bookmarkEnd w:id="6"/>
          </w:p>
        </w:tc>
        <w:tc>
          <w:tcPr>
            <w:tcW w:w="925" w:type="dxa"/>
            <w:tcBorders>
              <w:top w:val="single" w:sz="8"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5"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Selected groups of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 </w:t>
            </w: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7" w:name="podaci2"/>
            <w:r>
              <w:rPr>
                <w:rFonts w:ascii="Arial" w:hAnsi="Arial"/>
                <w:sz w:val="16"/>
              </w:rPr>
              <w:t xml:space="preserve">   Agricultural machines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104.9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Chemicals for agriculture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139.5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104.8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136.6</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124.3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125.1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137.2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Materials for incorporating in construction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106.2</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104.8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Road vehicles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102.8</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Liquid fuels and lubricants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132.5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90.4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127.8</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132.3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137.3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Metal apparatus for household</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103.4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105.3</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Electrical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93.7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96.2</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94.2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93.2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Wooden furniture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99.0</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Clothes (materials and ready-made clothing)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99.5</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Footwear (leather and rubber)</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sz w:val="16"/>
              </w:rPr>
            </w:pPr>
            <w:bookmarkEnd w:id="7"/>
          </w:p>
        </w:tc>
        <w:tc>
          <w:tcPr>
            <w:tcW w:w="925" w:type="dxa"/>
            <w:tcBorders>
              <w:top w:val="none" w:sz="0" w:space="0" w:shadow="0" w:frame="0"/>
              <w:bottom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5"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Central Serbia</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p>
        </w:tc>
        <w:tc>
          <w:tcPr>
            <w:tcW w:w="925" w:type="dxa"/>
            <w:tcBorders>
              <w:top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5"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8" w:name="podaci3"/>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110.3</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109.1</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107.4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118.4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115.6</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111.7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109.6</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98.8</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109.8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108.5</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103.8</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bookmarkEnd w:id="8"/>
          </w:p>
        </w:tc>
        <w:tc>
          <w:tcPr>
            <w:tcW w:w="925" w:type="dxa"/>
            <w:tcBorders>
              <w:top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5" w:type="dxa"/>
            <w:tcBorders>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Vojvodina</w:t>
            </w: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9" w:name="podaci4"/>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121.5</w:t>
            </w:r>
          </w:p>
        </w:tc>
        <w:tc>
          <w:tcPr>
            <w:tcW w:w="926"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98.6</w:t>
            </w:r>
          </w:p>
        </w:tc>
        <w:tc>
          <w:tcPr>
            <w:tcW w:w="926"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119.2</w:t>
            </w:r>
          </w:p>
        </w:tc>
        <w:tc>
          <w:tcPr>
            <w:tcW w:w="925"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117.8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119.4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i w:val="1"/>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131.4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97.4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127.3</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128.1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129.9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124.1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111.2</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109.7</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101.8</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118.6</w:t>
            </w:r>
          </w:p>
        </w:tc>
        <w:tc>
          <w:tcPr>
            <w:tcW w:w="926"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99.3</w:t>
            </w:r>
          </w:p>
        </w:tc>
        <w:tc>
          <w:tcPr>
            <w:tcW w:w="926"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117.3</w:t>
            </w:r>
          </w:p>
        </w:tc>
        <w:tc>
          <w:tcPr>
            <w:tcW w:w="925"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110.5</w:t>
            </w:r>
          </w:p>
        </w:tc>
      </w:tr>
    </w:tbl>
    <w:p>
      <w:pPr>
        <w:pStyle w:val="P6"/>
        <w:spacing w:before="0" w:after="0" w:beforeAutospacing="0" w:afterAutospacing="0"/>
        <w:jc w:val="center"/>
        <w:rPr>
          <w:rFonts w:ascii="Arial" w:hAnsi="Arial"/>
          <w:b w:val="1"/>
        </w:rPr>
      </w:pPr>
      <w:bookmarkEnd w:id="9"/>
    </w:p>
    <w:p>
      <w:pPr>
        <w:pStyle w:val="P6"/>
        <w:spacing w:before="0" w:after="0" w:beforeAutospacing="0" w:afterAutospacing="0"/>
        <w:jc w:val="center"/>
        <w:rPr>
          <w:rFonts w:ascii="Arial" w:hAnsi="Arial"/>
          <w:b w:val="1"/>
        </w:rPr>
      </w:pPr>
    </w:p>
    <w:p>
      <w:pPr>
        <w:pStyle w:val="P6"/>
        <w:spacing w:before="0" w:after="0" w:beforeAutospacing="0" w:afterAutospacing="0"/>
        <w:jc w:val="center"/>
        <w:rPr>
          <w:rFonts w:ascii="Arial" w:hAnsi="Arial"/>
          <w:b w:val="1"/>
        </w:rPr>
      </w:pPr>
    </w:p>
    <w:p>
      <w:pPr>
        <w:ind w:hanging="624" w:left="624"/>
        <w:jc w:val="both"/>
        <w:rPr>
          <w:rFonts w:ascii="Arial" w:hAnsi="Arial"/>
          <w:sz w:val="20"/>
        </w:rPr>
      </w:pPr>
      <w:r>
        <w:rPr>
          <w:rFonts w:ascii="Arial" w:hAnsi="Arial"/>
          <w:b w:val="1"/>
          <w:sz w:val="20"/>
        </w:rPr>
        <w:t>Note:</w:t>
      </w:r>
      <w:r>
        <w:rPr>
          <w:rFonts w:ascii="Arial" w:hAnsi="Arial"/>
          <w:sz w:val="20"/>
        </w:rPr>
        <w:t xml:space="preserve"> Data are given by Classification of Activities (CA) by sectors, subsectors, and fields.In cases when subsector consist only of one field,data is been given only for subsector.Indices for Republic of Serbia are calculated without data for Kosovo and Metohia.</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411260 ● www.stat.gov.rs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230 ● Issued monthly</w:t>
      </w:r>
    </w:p>
    <w:p>
      <w:pPr>
        <w:jc w:val="both"/>
        <w:rPr>
          <w:rFonts w:ascii="Arial" w:hAnsi="Arial"/>
          <w:sz w:val="18"/>
        </w:rPr>
      </w:pP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 xml:space="preserve">                                                                                                                   SERB 285 CN20 071008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SERB 52 CN20 080307</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2"/>
    <w:basedOn w:val="P0"/>
    <w:next w:val="P0"/>
    <w:pPr>
      <w:keepNext w:val="1"/>
      <w:outlineLvl w:val="1"/>
    </w:pPr>
    <w:rPr>
      <w:rFonts w:ascii="Arial" w:hAnsi="Arial"/>
      <w:b w:val="1"/>
      <w:sz w:val="16"/>
    </w:rPr>
  </w:style>
  <w:style w:type="paragraph" w:styleId="P4">
    <w:name w:val="Heading 3"/>
    <w:basedOn w:val="P0"/>
    <w:next w:val="P0"/>
    <w:pPr>
      <w:keepNext w:val="1"/>
      <w:outlineLvl w:val="2"/>
    </w:pPr>
    <w:rPr>
      <w:rFonts w:ascii="Arial Cirilica" w:hAnsi="Arial Cirilica"/>
      <w:i w:val="1"/>
      <w:sz w:val="16"/>
    </w:rPr>
  </w:style>
  <w:style w:type="paragraph" w:styleId="P5">
    <w:name w:val="Heading 5"/>
    <w:basedOn w:val="P0"/>
    <w:next w:val="P0"/>
    <w:pPr>
      <w:keepNext w:val="1"/>
      <w:ind w:left="360"/>
      <w:jc w:val="center"/>
      <w:outlineLvl w:val="4"/>
    </w:pPr>
    <w:rPr>
      <w:rFonts w:ascii="Arial" w:hAnsi="Arial"/>
      <w:b w:val="1"/>
      <w:sz w:val="26"/>
    </w:rPr>
  </w:style>
  <w:style w:type="paragraph" w:styleId="P6">
    <w:name w:val="xl24"/>
    <w:basedOn w:val="P0"/>
    <w:next w:val="P6"/>
    <w:pPr>
      <w:spacing w:before="100" w:after="100" w:beforeAutospacing="1" w:afterAutospacing="1"/>
    </w:pPr>
    <w:rPr>
      <w:rFonts w:ascii="Arial Cirilica" w:hAnsi="Arial Cirilica"/>
    </w:rPr>
  </w:style>
  <w:style w:type="paragraph" w:styleId="P7">
    <w:name w:val="Header"/>
    <w:basedOn w:val="P0"/>
    <w:next w:val="P7"/>
    <w:pPr>
      <w:tabs>
        <w:tab w:val="center" w:pos="4320" w:leader="none"/>
        <w:tab w:val="right" w:pos="8640" w:leader="none"/>
      </w:tabs>
    </w:pPr>
    <w:rPr/>
  </w:style>
  <w:style w:type="paragraph" w:styleId="P8">
    <w:name w:val="Foot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a15jz03</dc:creator>
  <dcterms:created xsi:type="dcterms:W3CDTF">2008-10-07T10:17:00Z</dcterms:created>
  <cp:lastModifiedBy>Nikola Kapetanovic</cp:lastModifiedBy>
  <cp:lastPrinted>2008-10-07T10:18:00Z</cp:lastPrinted>
  <dcterms:modified xsi:type="dcterms:W3CDTF">2020-01-10T11:46:27Z</dcterms:modified>
  <cp:revision>4</cp:revision>
  <dc:title>Republic of Serbia</dc:title>
</cp:coreProperties>
</file>