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&#65279;<?xml version="1.0" encoding="utf-8"?><Relationships xmlns="http://schemas.openxmlformats.org/package/2006/relationships"><Relationship Id="RD1272F6" Type="http://schemas.openxmlformats.org/officeDocument/2006/relationships/officeDocument" Target="/word/document.xml" /><Relationship Id="coreRD1272F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578" w:type="dxa"/>
        <w:tblInd w:w="15"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atLeast" w:val="115"/>
        </w:trPr>
        <w:tc>
          <w:tcPr>
            <w:tcW w:w="6891" w:type="dxa"/>
            <w:vMerge w:val="restart"/>
            <w:tcBorders>
              <w:top w:val="single" w:sz="18" w:space="0" w:shadow="0" w:frame="0"/>
              <w:left w:val="none" w:sz="0" w:space="0" w:shadow="0" w:frame="0"/>
              <w:bottom w:val="none" w:sz="0" w:space="0" w:shadow="0" w:frame="0"/>
            </w:tcBorders>
            <w:vAlign w:val="center"/>
          </w:tcPr>
          <w:p>
            <w:pPr>
              <w:rPr>
                <w:rFonts w:ascii="Arial" w:hAnsi="Arial"/>
              </w:rPr>
            </w:pPr>
            <w:r>
              <w:rPr>
                <w:rFonts w:ascii="Arial" w:hAnsi="Arial"/>
              </w:rPr>
              <w:t>Republic of Serbia</w:t>
            </w:r>
          </w:p>
          <w:p>
            <w:pPr>
              <w:rPr>
                <w:rFonts w:ascii="Arial" w:hAnsi="Arial"/>
              </w:rPr>
            </w:pPr>
            <w:r>
              <w:rPr>
                <w:rFonts w:ascii="Arial" w:hAnsi="Arial"/>
              </w:rPr>
              <w:t>Statistical Office of the Republic of Serbia</w:t>
            </w:r>
          </w:p>
        </w:tc>
        <w:tc>
          <w:tcPr>
            <w:tcW w:w="2687"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31"/>
        </w:trPr>
        <w:tc>
          <w:tcPr>
            <w:tcW w:w="2687" w:type="nil"/>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7"/>
            </w:pPr>
            <w:r>
              <w:t>ISSN 0353-9555</w:t>
            </w:r>
          </w:p>
        </w:tc>
      </w:tr>
      <w:tr>
        <w:trPr>
          <w:wAfter w:w="0" w:type="dxa"/>
          <w:trHeight w:hRule="atLeast" w:val="120"/>
        </w:trPr>
        <w:tc>
          <w:tcPr>
            <w:tcW w:w="6891"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687"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200"/>
        </w:trPr>
        <w:tc>
          <w:tcPr>
            <w:tcW w:w="6891" w:type="dxa"/>
            <w:tcBorders>
              <w:top w:val="none" w:sz="0" w:space="0" w:shadow="0" w:frame="0"/>
              <w:left w:val="none" w:sz="0" w:space="0" w:shadow="0" w:frame="0"/>
              <w:bottom w:val="none" w:sz="0" w:space="0" w:shadow="0" w:frame="0"/>
              <w:right w:val="none" w:sz="0" w:space="0" w:shadow="0" w:frame="0"/>
            </w:tcBorders>
          </w:tcPr>
          <w:p>
            <w:pPr>
              <w:pStyle w:val="P4"/>
            </w:pPr>
            <w:r>
              <w:t>COMMUNICATION</w:t>
            </w:r>
          </w:p>
          <w:p>
            <w:pPr>
              <w:rPr>
                <w:rFonts w:ascii="Arial" w:hAnsi="Arial"/>
                <w:b w:val="1"/>
              </w:rPr>
            </w:pPr>
            <w:r>
              <w:rPr>
                <w:rFonts w:ascii="Arial" w:hAnsi="Arial"/>
                <w:b w:val="1"/>
              </w:rPr>
              <w:t>Number</w:t>
            </w:r>
            <w:r>
              <w:rPr>
                <w:rFonts w:ascii="Arial" w:hAnsi="Arial"/>
                <w:b w:val="1"/>
              </w:rPr>
              <w:t xml:space="preserve"> </w:t>
            </w:r>
            <w:r>
              <w:rPr>
                <w:rFonts w:ascii="Arial" w:hAnsi="Arial"/>
                <w:b w:val="1"/>
              </w:rPr>
              <w:t>2</w:t>
            </w:r>
            <w:r>
              <w:rPr>
                <w:rFonts w:ascii="Arial" w:hAnsi="Arial"/>
                <w:b w:val="1"/>
              </w:rPr>
              <w:t>28</w:t>
            </w:r>
            <w:r>
              <w:rPr>
                <w:rFonts w:ascii="Arial" w:hAnsi="Arial"/>
                <w:b w:val="1"/>
              </w:rPr>
              <w:t xml:space="preserve"> • </w:t>
            </w:r>
            <w:r>
              <w:rPr>
                <w:rFonts w:ascii="Arial" w:hAnsi="Arial"/>
                <w:b w:val="1"/>
              </w:rPr>
              <w:t>Year</w:t>
            </w:r>
            <w:r>
              <w:rPr>
                <w:rFonts w:ascii="Arial" w:hAnsi="Arial"/>
                <w:b w:val="1"/>
              </w:rPr>
              <w:t xml:space="preserve"> LV</w:t>
            </w:r>
            <w:r>
              <w:rPr>
                <w:rFonts w:ascii="Arial" w:hAnsi="Arial"/>
                <w:b w:val="1"/>
              </w:rPr>
              <w:t>III</w:t>
            </w:r>
            <w:r>
              <w:rPr>
                <w:rFonts w:ascii="Arial" w:hAnsi="Arial"/>
                <w:b w:val="1"/>
              </w:rPr>
              <w:t xml:space="preserve">, </w:t>
            </w:r>
            <w:r>
              <w:rPr>
                <w:rFonts w:ascii="Arial" w:hAnsi="Arial"/>
                <w:b w:val="1"/>
              </w:rPr>
              <w:t>1</w:t>
            </w:r>
            <w:r>
              <w:rPr>
                <w:rFonts w:ascii="Arial" w:hAnsi="Arial"/>
                <w:b w:val="1"/>
              </w:rPr>
              <w:t>2</w:t>
            </w:r>
            <w:r>
              <w:rPr>
                <w:rFonts w:ascii="Arial" w:hAnsi="Arial"/>
                <w:b w:val="1"/>
              </w:rPr>
              <w:t>/</w:t>
            </w:r>
            <w:r>
              <w:rPr>
                <w:rFonts w:ascii="Arial" w:hAnsi="Arial"/>
                <w:b w:val="1"/>
              </w:rPr>
              <w:t>0</w:t>
            </w:r>
            <w:r>
              <w:rPr>
                <w:rFonts w:ascii="Arial" w:hAnsi="Arial"/>
                <w:b w:val="1"/>
              </w:rPr>
              <w:t>8</w:t>
            </w:r>
            <w:r>
              <w:rPr>
                <w:rFonts w:ascii="Arial" w:hAnsi="Arial"/>
                <w:b w:val="1"/>
              </w:rPr>
              <w:t>/</w:t>
            </w:r>
            <w:r>
              <w:rPr>
                <w:rFonts w:ascii="Arial" w:hAnsi="Arial"/>
                <w:b w:val="1"/>
              </w:rPr>
              <w:t>2008</w:t>
            </w: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sz w:val="72"/>
              </w:rPr>
            </w:pPr>
            <w:r>
              <w:rPr>
                <w:rFonts w:ascii="Arial" w:hAnsi="Arial"/>
                <w:b w:val="1"/>
                <w:sz w:val="72"/>
              </w:rPr>
              <w:t>GR</w:t>
            </w:r>
            <w:r>
              <w:rPr>
                <w:rFonts w:ascii="Arial" w:hAnsi="Arial"/>
                <w:b w:val="1"/>
                <w:sz w:val="72"/>
              </w:rPr>
              <w:t>30</w:t>
            </w:r>
          </w:p>
        </w:tc>
      </w:tr>
      <w:tr>
        <w:trPr>
          <w:wAfter w:w="0" w:type="dxa"/>
          <w:trHeight w:hRule="exact" w:val="320"/>
        </w:trPr>
        <w:tc>
          <w:tcPr>
            <w:tcW w:w="6891" w:type="dxa"/>
            <w:vMerge w:val="restart"/>
            <w:tcBorders>
              <w:top w:val="none" w:sz="0" w:space="0" w:shadow="0" w:frame="0"/>
              <w:left w:val="none" w:sz="0" w:space="0" w:shadow="0" w:frame="0"/>
              <w:bottom w:val="none" w:sz="0" w:space="0" w:shadow="0" w:frame="0"/>
              <w:right w:val="none" w:sz="0" w:space="0" w:shadow="0" w:frame="0"/>
            </w:tcBorders>
            <w:vAlign w:val="center"/>
          </w:tcPr>
          <w:p>
            <w:pPr>
              <w:rPr>
                <w:rFonts w:ascii="Arial" w:hAnsi="Arial"/>
                <w:b w:val="1"/>
              </w:rPr>
            </w:pPr>
            <w:r>
              <w:rPr>
                <w:rFonts w:ascii="Arial" w:hAnsi="Arial"/>
                <w:b w:val="1"/>
              </w:rPr>
              <w:t>Construction statistics</w:t>
            </w: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SERB</w:t>
            </w:r>
            <w:r>
              <w:rPr>
                <w:b w:val="1"/>
                <w:sz w:val="20"/>
              </w:rPr>
              <w:t xml:space="preserve"> </w:t>
            </w:r>
            <w:r>
              <w:rPr>
                <w:b w:val="1"/>
                <w:sz w:val="20"/>
              </w:rPr>
              <w:t>228</w:t>
            </w:r>
            <w:r>
              <w:rPr>
                <w:b w:val="1"/>
                <w:sz w:val="20"/>
              </w:rPr>
              <w:t xml:space="preserve"> </w:t>
            </w:r>
            <w:r>
              <w:rPr>
                <w:b w:val="1"/>
                <w:sz w:val="20"/>
              </w:rPr>
              <w:t>GR</w:t>
            </w:r>
            <w:r>
              <w:rPr>
                <w:b w:val="1"/>
                <w:sz w:val="20"/>
              </w:rPr>
              <w:t>30</w:t>
            </w:r>
            <w:r>
              <w:rPr>
                <w:b w:val="1"/>
                <w:sz w:val="20"/>
              </w:rPr>
              <w:t xml:space="preserve"> </w:t>
            </w:r>
            <w:r>
              <w:rPr>
                <w:b w:val="1"/>
                <w:sz w:val="20"/>
              </w:rPr>
              <w:t>120808</w:t>
            </w:r>
          </w:p>
        </w:tc>
      </w:tr>
      <w:tr>
        <w:trPr>
          <w:wAfter w:w="0" w:type="dxa"/>
          <w:trHeight w:hRule="exact" w:val="120"/>
        </w:trPr>
        <w:tc>
          <w:tcPr>
            <w:tcW w:w="2687" w:type="nil"/>
            <w:vMerge w:val="continue"/>
            <w:tcBorders>
              <w:top w:val="none" w:sz="0" w:space="0" w:shadow="0" w:frame="0"/>
              <w:left w:val="none" w:sz="0" w:space="0" w:shadow="0" w:frame="0"/>
              <w:bottom w:val="single" w:sz="18" w:space="0" w:shadow="0" w:frame="0"/>
            </w:tcBorders>
          </w:tcPr>
          <w:p>
            <w:pPr>
              <w:pStyle w:val="P1"/>
              <w:ind w:left="144"/>
              <w:rPr>
                <w:b w:val="1"/>
              </w:rPr>
            </w:pPr>
          </w:p>
        </w:tc>
        <w:tc>
          <w:tcPr>
            <w:tcW w:w="2687"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jc w:val="center"/>
        <w:rPr>
          <w:rFonts w:ascii="Arial" w:hAnsi="Arial"/>
          <w:b w:val="1"/>
        </w:rPr>
      </w:pPr>
    </w:p>
    <w:p>
      <w:pPr>
        <w:jc w:val="center"/>
        <w:rPr>
          <w:rFonts w:ascii="Arial" w:hAnsi="Arial"/>
          <w:b w:val="1"/>
          <w:sz w:val="20"/>
        </w:rPr>
      </w:pPr>
    </w:p>
    <w:p>
      <w:pPr>
        <w:spacing w:lineRule="auto" w:line="360"/>
        <w:jc w:val="center"/>
        <w:rPr>
          <w:rFonts w:ascii="Arial" w:hAnsi="Arial"/>
          <w:b w:val="1"/>
          <w:sz w:val="28"/>
        </w:rPr>
      </w:pPr>
      <w:r>
        <w:rPr>
          <w:rFonts w:ascii="Arial" w:hAnsi="Arial"/>
          <w:b w:val="1"/>
          <w:sz w:val="28"/>
        </w:rPr>
        <w:t>Issued building permits in the Republic of Serbia</w:t>
      </w:r>
      <w:r>
        <w:rPr>
          <w:rFonts w:ascii="Arial" w:hAnsi="Arial"/>
          <w:b w:val="1"/>
          <w:sz w:val="28"/>
          <w:vertAlign w:val="superscript"/>
        </w:rPr>
        <w:t>1)</w:t>
      </w:r>
      <w:r>
        <w:rPr>
          <w:rFonts w:ascii="Arial" w:hAnsi="Arial"/>
          <w:b w:val="1"/>
          <w:sz w:val="28"/>
        </w:rPr>
        <w:t xml:space="preserve">, </w:t>
      </w:r>
      <w:r>
        <w:rPr>
          <w:rFonts w:ascii="Arial" w:hAnsi="Arial"/>
          <w:b w:val="1"/>
          <w:sz w:val="28"/>
        </w:rPr>
        <w:t>June</w:t>
      </w:r>
      <w:r>
        <w:rPr>
          <w:rFonts w:ascii="Arial" w:hAnsi="Arial"/>
          <w:b w:val="1"/>
          <w:sz w:val="28"/>
        </w:rPr>
        <w:t xml:space="preserve"> 2008 </w:t>
      </w:r>
      <w:r>
        <w:rPr>
          <w:rFonts w:ascii="Arial" w:hAnsi="Arial"/>
          <w:b w:val="1"/>
          <w:sz w:val="28"/>
        </w:rPr>
        <w:t xml:space="preserve"> </w:t>
      </w:r>
    </w:p>
    <w:p>
      <w:pPr>
        <w:jc w:val="center"/>
        <w:rPr>
          <w:rFonts w:ascii="Arial" w:hAnsi="Arial"/>
          <w:b w:val="1"/>
        </w:rPr>
      </w:pPr>
      <w:r>
        <w:rPr>
          <w:rFonts w:ascii="Arial" w:hAnsi="Arial"/>
          <w:b w:val="1"/>
        </w:rPr>
        <w:t xml:space="preserve">– </w:t>
      </w:r>
      <w:r>
        <w:rPr>
          <w:rFonts w:ascii="Arial" w:hAnsi="Arial"/>
          <w:b w:val="1"/>
        </w:rPr>
        <w:t>Preliminary results</w:t>
      </w:r>
      <w:r>
        <w:rPr>
          <w:rFonts w:ascii="Arial" w:hAnsi="Arial"/>
          <w:b w:val="1"/>
        </w:rPr>
        <w:t xml:space="preserve"> –</w:t>
      </w:r>
    </w:p>
    <w:p>
      <w:pPr>
        <w:jc w:val="center"/>
        <w:rPr>
          <w:rFonts w:ascii="Arial" w:hAnsi="Arial"/>
          <w:sz w:val="20"/>
        </w:rPr>
      </w:pPr>
    </w:p>
    <w:p>
      <w:pPr>
        <w:ind w:firstLine="720"/>
        <w:jc w:val="both"/>
        <w:rPr>
          <w:rFonts w:ascii="Arial" w:hAnsi="Arial"/>
          <w:sz w:val="20"/>
          <w:vertAlign w:val="superscript"/>
        </w:rPr>
      </w:pPr>
      <w:r>
        <w:rPr>
          <w:rFonts w:ascii="Arial" w:hAnsi="Arial"/>
          <w:sz w:val="20"/>
        </w:rPr>
        <w:t>On the basis of the number of issued permits in June 2008, building of 1719 dwellings with average area of 67.1 m</w:t>
      </w:r>
      <w:r>
        <w:rPr>
          <w:rFonts w:ascii="Arial" w:hAnsi="Arial"/>
          <w:sz w:val="20"/>
          <w:vertAlign w:val="superscript"/>
        </w:rPr>
        <w:t xml:space="preserve">2 </w:t>
      </w:r>
      <w:r>
        <w:rPr>
          <w:rFonts w:ascii="Arial" w:hAnsi="Arial"/>
          <w:sz w:val="20"/>
        </w:rPr>
        <w:t>was recorded. According to the issued permits, number of dwellings increased a little bit by 0.4 % when compared to June 2007. Out of the total number of dwellings in residential buildings, 12.3 % of dwellings will be built in single – dwelling buildings, with average area of 128.3 m</w:t>
      </w:r>
      <w:r>
        <w:rPr>
          <w:rFonts w:ascii="Arial" w:hAnsi="Arial"/>
          <w:sz w:val="20"/>
          <w:vertAlign w:val="superscript"/>
        </w:rPr>
        <w:t>2,</w:t>
      </w:r>
      <w:r>
        <w:rPr>
          <w:rFonts w:ascii="Arial" w:hAnsi="Arial"/>
          <w:sz w:val="20"/>
        </w:rPr>
        <w:t xml:space="preserve"> 74.8 % of dwellings will be in the buildings with three and more dwellings, with significantly smaller average area of 57.2 m</w:t>
      </w:r>
      <w:r>
        <w:rPr>
          <w:rFonts w:ascii="Arial" w:hAnsi="Arial"/>
          <w:sz w:val="20"/>
          <w:vertAlign w:val="superscript"/>
        </w:rPr>
        <w:t>2</w:t>
      </w:r>
      <w:r>
        <w:rPr>
          <w:rFonts w:ascii="Arial" w:hAnsi="Arial"/>
          <w:sz w:val="20"/>
        </w:rPr>
        <w:t xml:space="preserve">. </w:t>
      </w:r>
      <w:r>
        <w:rPr>
          <w:rFonts w:ascii="Arial" w:hAnsi="Arial"/>
          <w:sz w:val="20"/>
          <w:vertAlign w:val="superscript"/>
        </w:rPr>
        <w:t xml:space="preserve"> </w:t>
      </w:r>
    </w:p>
    <w:p>
      <w:pPr>
        <w:ind w:firstLine="720"/>
        <w:jc w:val="both"/>
        <w:rPr>
          <w:rFonts w:ascii="Arial" w:hAnsi="Arial"/>
          <w:b w:val="1"/>
          <w:sz w:val="20"/>
        </w:rPr>
      </w:pPr>
      <w:r>
        <w:rPr>
          <w:rFonts w:ascii="Arial" w:hAnsi="Arial"/>
          <w:sz w:val="20"/>
        </w:rPr>
        <w:t xml:space="preserve">In June 2008, 895 building permits were issued, presenting the decrease of 9.4 % when compared to June 2007, while this number  in the period January – June 2008 decreased by 1.7% when compared the same period in 2007. Index of anticipated value in June 2008 is by 3.7 % higher than in June 2007. </w:t>
      </w:r>
    </w:p>
    <w:p>
      <w:pPr>
        <w:ind w:firstLine="720"/>
        <w:jc w:val="both"/>
        <w:rPr>
          <w:rFonts w:ascii="Arial" w:hAnsi="Arial"/>
          <w:sz w:val="20"/>
        </w:rPr>
      </w:pPr>
      <w:r>
        <w:rPr>
          <w:rFonts w:ascii="Arial" w:hAnsi="Arial"/>
          <w:sz w:val="20"/>
        </w:rPr>
        <w:t xml:space="preserve">Observed by types of constructions, in June 2008, 77.8 % of permits related to buildings and 22.2 % to civil engineering. When referring only to buildings, 76.0 % related to residential buildings and 24.0 % to non – residential ones, while regarding civil engineering, the greatest number related to pipelines, communication and electric power lines, 82.9 %.   </w:t>
      </w:r>
    </w:p>
    <w:p>
      <w:pPr>
        <w:ind w:firstLine="720"/>
        <w:jc w:val="both"/>
        <w:rPr>
          <w:rFonts w:ascii="Arial" w:hAnsi="Arial"/>
          <w:sz w:val="20"/>
        </w:rPr>
      </w:pPr>
      <w:r>
        <w:rPr>
          <w:rFonts w:ascii="Arial" w:hAnsi="Arial"/>
          <w:sz w:val="20"/>
        </w:rPr>
        <w:t xml:space="preserve">Anticipated value of works on new building amounts to 67.9% in June, of totally anticipated value of works. Observed by districts, the greatest construction activity was noted in the city of Belgrade, amounting to 23.3 %, then in Srem District-18,0%, South Backa District- 11.2 % and - 9.3 %, followed by Raska District, 8.1 %, and Nisava district by 5.5.% of anticipated value of works on new building while shares of other districts were smaller, between 0.4 % and 4.8%.   </w:t>
      </w:r>
    </w:p>
    <w:p>
      <w:pPr>
        <w:jc w:val="both"/>
        <w:rPr>
          <w:rFonts w:ascii="Arial" w:hAnsi="Arial"/>
          <w:b w:val="1"/>
        </w:rPr>
      </w:pPr>
      <w:r>
        <w:rPr>
          <w:rFonts w:ascii="Arial" w:hAnsi="Arial"/>
        </w:rPr>
        <w:tab/>
      </w:r>
      <w:r>
        <w:rPr>
          <w:rFonts w:ascii="Arial" w:hAnsi="Arial"/>
          <w:sz w:val="20"/>
        </w:rPr>
        <w:t xml:space="preserve">Besides the presented data, detailed monthly data regarding this activity are available on the website of the Office </w:t>
      </w:r>
      <w:r>
        <w:rPr>
          <w:rFonts w:ascii="Arial" w:hAnsi="Arial"/>
          <w:sz w:val="20"/>
        </w:rPr>
        <w:fldChar w:fldCharType="begin"/>
      </w:r>
      <w:r>
        <w:rPr>
          <w:rFonts w:ascii="Arial" w:hAnsi="Arial"/>
          <w:sz w:val="20"/>
        </w:rPr>
        <w:instrText xml:space="preserve"> HYPERLINK "http://www.stat.gov.rs" </w:instrText>
      </w:r>
      <w:r>
        <w:rPr>
          <w:rFonts w:ascii="Arial" w:hAnsi="Arial"/>
          <w:sz w:val="20"/>
        </w:rPr>
        <w:fldChar w:fldCharType="separate"/>
      </w:r>
      <w:r>
        <w:rPr>
          <w:rStyle w:val="C2"/>
          <w:rFonts w:ascii="Arial" w:hAnsi="Arial"/>
          <w:sz w:val="20"/>
        </w:rPr>
        <w:t>www.stat.gov.rs</w:t>
      </w:r>
      <w:r>
        <w:rPr>
          <w:rStyle w:val="C2"/>
          <w:rFonts w:ascii="Arial" w:hAnsi="Arial"/>
          <w:sz w:val="20"/>
        </w:rPr>
        <w:fldChar w:fldCharType="end"/>
      </w:r>
      <w:r>
        <w:rPr>
          <w:rFonts w:ascii="Arial" w:hAnsi="Arial"/>
          <w:sz w:val="20"/>
        </w:rPr>
        <w:t xml:space="preserve"> (construction activity and database). </w:t>
      </w:r>
    </w:p>
    <w:p>
      <w:pPr>
        <w:jc w:val="center"/>
        <w:rPr>
          <w:rFonts w:ascii="Arial" w:hAnsi="Arial"/>
          <w:sz w:val="20"/>
        </w:rPr>
      </w:pPr>
    </w:p>
    <w:p>
      <w:pPr>
        <w:jc w:val="center"/>
        <w:rPr>
          <w:rFonts w:ascii="Arial" w:hAnsi="Arial"/>
          <w:b w:val="1"/>
          <w:color w:val="000000"/>
          <w:sz w:val="20"/>
        </w:rPr>
      </w:pPr>
    </w:p>
    <w:p>
      <w:pPr>
        <w:jc w:val="center"/>
        <w:rPr>
          <w:rFonts w:ascii="Arial" w:hAnsi="Arial"/>
          <w:b w:val="1"/>
          <w:sz w:val="20"/>
        </w:rPr>
      </w:pPr>
      <w:r>
        <w:rPr>
          <w:rFonts w:ascii="Arial" w:hAnsi="Arial"/>
          <w:b w:val="1"/>
          <w:color w:val="000000"/>
          <w:sz w:val="20"/>
        </w:rPr>
        <w:t xml:space="preserve">1. </w:t>
      </w:r>
      <w:r>
        <w:rPr>
          <w:rFonts w:ascii="Arial" w:hAnsi="Arial"/>
          <w:b w:val="1"/>
          <w:color w:val="000000"/>
          <w:sz w:val="20"/>
        </w:rPr>
        <w:t>Indices of issued building permits in the Republic of Serbia</w:t>
      </w:r>
      <w:r>
        <w:rPr>
          <w:rStyle w:val="C3"/>
          <w:rFonts w:ascii="Times New Roman" w:hAnsi="Times New Roman"/>
          <w:b w:val="1"/>
          <w:sz w:val="20"/>
        </w:rPr>
        <w:footnoteReference w:id="0"/>
      </w:r>
    </w:p>
    <w:tbl>
      <w:tblPr>
        <w:tblStyle w:val="T2"/>
        <w:tblpPr w:leftFromText="181" w:rightFromText="181" w:tblpX="1" w:tblpY="131" w:horzAnchor="margin" w:vertAnchor="text" w:tblpXSpec="center"/>
        <w:tblW w:w="963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left w:w="28" w:type="dxa"/>
          <w:bottom w:w="0" w:type="dxa"/>
          <w:right w:w="28" w:type="dxa"/>
        </w:tblCellMar>
      </w:tblPr>
      <w:tblGrid/>
      <w:tr>
        <w:trPr>
          <w:wAfter w:w="0" w:type="dxa"/>
          <w:trHeight w:hRule="atLeast" w:val="456"/>
        </w:trPr>
        <w:tc>
          <w:tcPr>
            <w:tcW w:w="3728" w:type="dxa"/>
            <w:gridSpan w:val="2"/>
            <w:tcBorders>
              <w:top w:val="single" w:sz="4" w:space="0" w:shadow="0" w:frame="0"/>
              <w:left w:val="none" w:sz="0" w:space="0" w:shadow="0" w:frame="0"/>
              <w:bottom w:val="single" w:sz="4" w:space="0" w:shadow="0" w:frame="0"/>
              <w:right w:val="single" w:sz="4" w:space="0" w:shadow="0" w:frame="0"/>
            </w:tcBorders>
          </w:tcPr>
          <w:p>
            <w:pPr>
              <w:framePr w:w="0" w:h="0" w:hRule="auto" w:vSpace="0" w:hSpace="0" w:wrap="auto" w:vAnchor="margin" w:hAnchor="text" w:x="0" w:xAlign="left" w:y="0" w:yAlign="inline"/>
              <w:jc w:val="center"/>
              <w:rPr>
                <w:rFonts w:ascii="Arial" w:hAnsi="Arial"/>
                <w:b w:val="1"/>
                <w:sz w:val="16"/>
              </w:rPr>
            </w:pPr>
          </w:p>
        </w:tc>
        <w:tc>
          <w:tcPr>
            <w:tcW w:w="1477" w:type="dxa"/>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spacing w:before="60"/>
              <w:jc w:val="center"/>
              <w:rPr>
                <w:rFonts w:ascii="Arial" w:hAnsi="Arial"/>
                <w:color w:val="000000"/>
                <w:sz w:val="16"/>
                <w:u w:val="single"/>
              </w:rPr>
            </w:pPr>
            <w:r>
              <w:rPr>
                <w:rFonts w:ascii="Arial" w:hAnsi="Arial"/>
                <w:color w:val="000000"/>
                <w:sz w:val="16"/>
                <w:u w:val="single"/>
              </w:rPr>
              <w:t>I–VI 2008</w:t>
            </w:r>
          </w:p>
          <w:p>
            <w:pPr>
              <w:framePr w:w="0" w:h="0" w:hRule="auto" w:vSpace="0" w:hSpace="0" w:wrap="auto" w:vAnchor="margin" w:hAnchor="text" w:x="0" w:xAlign="left" w:y="0" w:yAlign="inline"/>
              <w:spacing w:after="60"/>
              <w:jc w:val="center"/>
              <w:rPr>
                <w:rFonts w:ascii="Arial" w:hAnsi="Arial"/>
                <w:color w:val="000000"/>
                <w:sz w:val="16"/>
                <w:u w:val="single"/>
              </w:rPr>
            </w:pPr>
            <w:r>
              <w:rPr>
                <w:rFonts w:ascii="Arial" w:hAnsi="Arial"/>
                <w:color w:val="000000"/>
                <w:sz w:val="16"/>
              </w:rPr>
              <w:t>I–VI 2007</w:t>
            </w:r>
          </w:p>
        </w:tc>
        <w:tc>
          <w:tcPr>
            <w:tcW w:w="1478" w:type="dxa"/>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spacing w:before="60"/>
              <w:jc w:val="center"/>
              <w:rPr>
                <w:rFonts w:ascii="Arial" w:hAnsi="Arial"/>
                <w:color w:val="000000"/>
                <w:sz w:val="16"/>
                <w:u w:val="single"/>
              </w:rPr>
            </w:pPr>
            <w:r>
              <w:rPr>
                <w:rFonts w:ascii="Arial" w:hAnsi="Arial"/>
                <w:color w:val="000000"/>
                <w:sz w:val="16"/>
                <w:u w:val="single"/>
              </w:rPr>
              <w:t>VI 2008</w:t>
            </w:r>
          </w:p>
          <w:p>
            <w:pPr>
              <w:framePr w:w="0" w:h="0" w:hRule="auto" w:vSpace="0" w:hSpace="0" w:wrap="auto" w:vAnchor="margin" w:hAnchor="text" w:x="0" w:xAlign="left" w:y="0" w:yAlign="inline"/>
              <w:spacing w:after="60"/>
              <w:jc w:val="center"/>
              <w:rPr>
                <w:rFonts w:ascii="Arial" w:hAnsi="Arial"/>
                <w:color w:val="000000"/>
                <w:sz w:val="16"/>
                <w:u w:val="single"/>
              </w:rPr>
            </w:pPr>
            <w:r>
              <w:rPr>
                <w:rFonts w:ascii="Arial" w:hAnsi="Arial"/>
                <w:color w:val="000000"/>
                <w:sz w:val="16"/>
              </w:rPr>
              <w:t xml:space="preserve">V  2008</w:t>
            </w:r>
          </w:p>
        </w:tc>
        <w:tc>
          <w:tcPr>
            <w:tcW w:w="1478" w:type="dxa"/>
            <w:tcBorders>
              <w:top w:val="single" w:sz="4" w:space="0" w:shadow="0" w:frame="0"/>
              <w:left w:val="single" w:sz="4" w:space="0" w:shadow="0" w:frame="0"/>
              <w:bottom w:val="single" w:sz="4" w:space="0" w:shadow="0" w:frame="0"/>
              <w:right w:val="single" w:sz="4" w:space="0" w:shadow="0" w:frame="0"/>
            </w:tcBorders>
            <w:vAlign w:val="center"/>
          </w:tcPr>
          <w:p>
            <w:pPr>
              <w:framePr w:w="0" w:h="0" w:hRule="auto" w:vSpace="0" w:hSpace="0" w:wrap="auto" w:vAnchor="margin" w:hAnchor="text" w:x="0" w:xAlign="left" w:y="0" w:yAlign="inline"/>
              <w:spacing w:before="60"/>
              <w:jc w:val="center"/>
              <w:rPr>
                <w:rFonts w:ascii="Arial" w:hAnsi="Arial"/>
                <w:color w:val="000000"/>
                <w:sz w:val="16"/>
                <w:u w:val="single"/>
              </w:rPr>
            </w:pPr>
            <w:r>
              <w:rPr>
                <w:rFonts w:ascii="Arial" w:hAnsi="Arial"/>
                <w:color w:val="000000"/>
                <w:sz w:val="16"/>
                <w:u w:val="single"/>
              </w:rPr>
              <w:t xml:space="preserve"> VI 2008</w:t>
            </w:r>
          </w:p>
          <w:p>
            <w:pPr>
              <w:framePr w:w="0" w:h="0" w:hRule="auto" w:vSpace="0" w:hSpace="0" w:wrap="auto" w:vAnchor="margin" w:hAnchor="text" w:x="0" w:xAlign="left" w:y="0" w:yAlign="inline"/>
              <w:spacing w:after="60"/>
              <w:jc w:val="center"/>
              <w:rPr>
                <w:rFonts w:ascii="Arial" w:hAnsi="Arial"/>
                <w:color w:val="000000"/>
                <w:sz w:val="16"/>
                <w:u w:val="single"/>
              </w:rPr>
            </w:pPr>
            <w:r>
              <w:rPr>
                <w:rFonts w:ascii="Arial" w:hAnsi="Arial"/>
                <w:color w:val="000000"/>
                <w:sz w:val="16"/>
              </w:rPr>
              <w:t xml:space="preserve"> VI 2007</w:t>
            </w:r>
          </w:p>
        </w:tc>
        <w:tc>
          <w:tcPr>
            <w:tcW w:w="1478" w:type="dxa"/>
            <w:tcBorders>
              <w:top w:val="single" w:sz="4" w:space="0" w:shadow="0" w:frame="0"/>
              <w:left w:val="single" w:sz="4" w:space="0" w:shadow="0" w:frame="0"/>
              <w:bottom w:val="single" w:sz="4" w:space="0" w:shadow="0" w:frame="0"/>
              <w:right w:val="none" w:sz="0" w:space="0" w:shadow="0" w:frame="0"/>
            </w:tcBorders>
            <w:vAlign w:val="center"/>
          </w:tcPr>
          <w:p>
            <w:pPr>
              <w:framePr w:w="0" w:h="0" w:hRule="auto" w:vSpace="0" w:hSpace="0" w:wrap="auto" w:vAnchor="margin" w:hAnchor="text" w:x="0" w:xAlign="left" w:y="0" w:yAlign="inline"/>
              <w:spacing w:before="60"/>
              <w:jc w:val="center"/>
              <w:rPr>
                <w:rFonts w:ascii="Arial" w:hAnsi="Arial"/>
                <w:color w:val="000000"/>
                <w:sz w:val="16"/>
                <w:u w:val="single"/>
              </w:rPr>
            </w:pPr>
            <w:r>
              <w:rPr>
                <w:rFonts w:ascii="Arial" w:hAnsi="Arial"/>
                <w:color w:val="000000"/>
                <w:sz w:val="16"/>
                <w:u w:val="single"/>
              </w:rPr>
              <w:t>VI 2008</w:t>
            </w:r>
          </w:p>
          <w:p>
            <w:pPr>
              <w:framePr w:w="0" w:h="0" w:hRule="auto" w:vSpace="0" w:hSpace="0" w:wrap="auto" w:vAnchor="margin" w:hAnchor="text" w:x="0" w:xAlign="left" w:y="0" w:yAlign="inline"/>
              <w:spacing w:after="60"/>
              <w:jc w:val="center"/>
              <w:rPr>
                <w:rFonts w:ascii="Arial" w:hAnsi="Arial"/>
                <w:color w:val="000000"/>
                <w:sz w:val="16"/>
                <w:u w:val="single"/>
              </w:rPr>
            </w:pPr>
            <w:r>
              <w:rPr>
                <w:rFonts w:ascii="Arial" w:hAnsi="Arial"/>
                <w:color w:val="000000"/>
                <w:sz w:val="16"/>
              </w:rPr>
              <w:t>Ø 2007</w:t>
            </w:r>
          </w:p>
        </w:tc>
      </w:tr>
      <w:tr>
        <w:trPr>
          <w:wAfter w:w="0" w:type="dxa"/>
          <w:trHeight w:hRule="atLeast" w:val="261"/>
        </w:trPr>
        <w:tc>
          <w:tcPr>
            <w:tcW w:w="3728" w:type="dxa"/>
            <w:gridSpan w:val="2"/>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Total</w:t>
            </w:r>
          </w:p>
        </w:tc>
        <w:tc>
          <w:tcPr>
            <w:tcW w:w="1477" w:type="dxa"/>
            <w:tcBorders>
              <w:top w:val="none" w:sz="0" w:space="0" w:shadow="0" w:frame="0"/>
              <w:left w:val="none" w:sz="0" w:space="0" w:shadow="0" w:frame="0"/>
              <w:bottom w:val="none" w:sz="0" w:space="0" w:shadow="0" w:frame="0"/>
              <w:right w:val="none" w:sz="0" w:space="0" w:shadow="0" w:frame="0"/>
            </w:tcBorders>
          </w:tcPr>
          <w:p>
            <w:pPr>
              <w:framePr w:w="0" w:h="0" w:hRule="auto" w:vSpace="0" w:hSpace="0" w:wrap="auto" w:vAnchor="margin" w:hAnchor="text" w:x="0" w:xAlign="left" w:y="0" w:yAlign="inline"/>
              <w:jc w:val="center"/>
              <w:rPr>
                <w:rFonts w:ascii="Arial" w:hAnsi="Arial"/>
                <w:sz w:val="16"/>
              </w:rPr>
            </w:pP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jc w:val="center"/>
              <w:rPr>
                <w:rFonts w:ascii="Arial" w:hAnsi="Arial"/>
                <w:sz w:val="16"/>
              </w:rPr>
            </w:pP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jc w:val="center"/>
              <w:rPr>
                <w:rFonts w:ascii="Arial" w:hAnsi="Arial"/>
                <w:sz w:val="16"/>
              </w:rPr>
            </w:pP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jc w:val="center"/>
              <w:rPr>
                <w:rFonts w:ascii="Arial" w:hAnsi="Arial"/>
                <w:sz w:val="16"/>
              </w:rPr>
            </w:pPr>
          </w:p>
        </w:tc>
      </w:tr>
      <w:tr>
        <w:trPr>
          <w:wAfter w:w="0" w:type="dxa"/>
          <w:trHeight w:hRule="atLeast" w:val="251"/>
        </w:trPr>
        <w:tc>
          <w:tcPr>
            <w:tcW w:w="270"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rPr>
                <w:rFonts w:ascii="Arial" w:hAnsi="Arial"/>
                <w:sz w:val="16"/>
              </w:rPr>
            </w:pPr>
            <w:r>
              <w:rPr>
                <w:rFonts w:ascii="Arial" w:hAnsi="Arial"/>
                <w:sz w:val="16"/>
              </w:rPr>
              <w:t xml:space="preserve">    </w:t>
            </w:r>
          </w:p>
        </w:tc>
        <w:tc>
          <w:tcPr>
            <w:tcW w:w="3458"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Number</w:t>
            </w:r>
          </w:p>
        </w:tc>
        <w:tc>
          <w:tcPr>
            <w:tcW w:w="1477"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98,3</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91,9</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90,6</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98,1</w:t>
            </w:r>
          </w:p>
        </w:tc>
      </w:tr>
      <w:tr>
        <w:trPr>
          <w:wAfter w:w="0" w:type="dxa"/>
          <w:trHeight w:hRule="atLeast" w:val="270"/>
        </w:trPr>
        <w:tc>
          <w:tcPr>
            <w:tcW w:w="270"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rPr>
                <w:rFonts w:ascii="Arial" w:hAnsi="Arial"/>
                <w:sz w:val="16"/>
              </w:rPr>
            </w:pPr>
            <w:r>
              <w:rPr>
                <w:rFonts w:ascii="Arial" w:hAnsi="Arial"/>
                <w:sz w:val="16"/>
              </w:rPr>
              <w:t xml:space="preserve">    </w:t>
            </w:r>
          </w:p>
        </w:tc>
        <w:tc>
          <w:tcPr>
            <w:tcW w:w="3458"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Anticipated value of works, thous. din.</w:t>
            </w:r>
          </w:p>
        </w:tc>
        <w:tc>
          <w:tcPr>
            <w:tcW w:w="1477"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87,2</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97,8</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103,7</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119,4</w:t>
            </w:r>
          </w:p>
        </w:tc>
      </w:tr>
      <w:tr>
        <w:trPr>
          <w:wAfter w:w="0" w:type="dxa"/>
          <w:trHeight w:hRule="atLeast" w:val="273"/>
        </w:trPr>
        <w:tc>
          <w:tcPr>
            <w:tcW w:w="3728" w:type="dxa"/>
            <w:gridSpan w:val="2"/>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Buildings</w:t>
            </w:r>
          </w:p>
        </w:tc>
        <w:tc>
          <w:tcPr>
            <w:tcW w:w="1477" w:type="dxa"/>
            <w:tcBorders>
              <w:top w:val="none" w:sz="0" w:space="0" w:shadow="0" w:frame="0"/>
              <w:left w:val="single" w:sz="4"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right="113"/>
              <w:jc w:val="right"/>
              <w:rPr>
                <w:rFonts w:ascii="Arial" w:hAnsi="Arial"/>
                <w:sz w:val="16"/>
              </w:rPr>
            </w:pP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p>
        </w:tc>
      </w:tr>
      <w:tr>
        <w:trPr>
          <w:wAfter w:w="0" w:type="dxa"/>
          <w:trHeight w:hRule="atLeast" w:val="264"/>
        </w:trPr>
        <w:tc>
          <w:tcPr>
            <w:tcW w:w="270"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rPr>
                <w:rFonts w:ascii="Arial" w:hAnsi="Arial"/>
                <w:sz w:val="16"/>
              </w:rPr>
            </w:pPr>
            <w:r>
              <w:rPr>
                <w:rFonts w:ascii="Arial" w:hAnsi="Arial"/>
                <w:sz w:val="16"/>
              </w:rPr>
              <w:t xml:space="preserve">      </w:t>
            </w:r>
          </w:p>
        </w:tc>
        <w:tc>
          <w:tcPr>
            <w:tcW w:w="3458"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Number</w:t>
            </w:r>
          </w:p>
        </w:tc>
        <w:tc>
          <w:tcPr>
            <w:tcW w:w="1477"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98,4</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90,2</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88,4</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97,2</w:t>
            </w:r>
          </w:p>
        </w:tc>
      </w:tr>
      <w:tr>
        <w:trPr>
          <w:wAfter w:w="0" w:type="dxa"/>
          <w:trHeight w:hRule="atLeast" w:val="302"/>
        </w:trPr>
        <w:tc>
          <w:tcPr>
            <w:tcW w:w="270"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rPr>
                <w:rFonts w:ascii="Arial" w:hAnsi="Arial"/>
                <w:sz w:val="16"/>
              </w:rPr>
            </w:pPr>
          </w:p>
        </w:tc>
        <w:tc>
          <w:tcPr>
            <w:tcW w:w="3458"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Anticipated value of works, thous. din .</w:t>
            </w:r>
          </w:p>
        </w:tc>
        <w:tc>
          <w:tcPr>
            <w:tcW w:w="1477" w:type="dxa"/>
            <w:tcBorders>
              <w:top w:val="none" w:sz="0" w:space="0" w:shadow="0" w:frame="0"/>
              <w:left w:val="single" w:sz="4"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77,6</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114,5</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98,4</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101,5</w:t>
            </w:r>
          </w:p>
        </w:tc>
      </w:tr>
      <w:tr>
        <w:trPr>
          <w:wAfter w:w="0" w:type="dxa"/>
          <w:trHeight w:hRule="atLeast" w:val="256"/>
        </w:trPr>
        <w:tc>
          <w:tcPr>
            <w:tcW w:w="270"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rPr>
                <w:rFonts w:ascii="Arial" w:hAnsi="Arial"/>
                <w:sz w:val="16"/>
              </w:rPr>
            </w:pPr>
          </w:p>
        </w:tc>
        <w:tc>
          <w:tcPr>
            <w:tcW w:w="3458"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Area, m²</w:t>
            </w:r>
          </w:p>
        </w:tc>
        <w:tc>
          <w:tcPr>
            <w:tcW w:w="1477" w:type="dxa"/>
            <w:tcBorders>
              <w:top w:val="none" w:sz="0" w:space="0" w:shadow="0" w:frame="0"/>
              <w:left w:val="single" w:sz="4"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88,9</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109,0</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98,5</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113,1</w:t>
            </w:r>
          </w:p>
        </w:tc>
      </w:tr>
      <w:tr>
        <w:trPr>
          <w:wAfter w:w="0" w:type="dxa"/>
          <w:trHeight w:hRule="atLeast" w:val="286"/>
        </w:trPr>
        <w:tc>
          <w:tcPr>
            <w:tcW w:w="270"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rPr>
                <w:rFonts w:ascii="Arial" w:hAnsi="Arial"/>
                <w:sz w:val="16"/>
              </w:rPr>
            </w:pPr>
          </w:p>
        </w:tc>
        <w:tc>
          <w:tcPr>
            <w:tcW w:w="3458"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Volume, m³</w:t>
            </w:r>
          </w:p>
        </w:tc>
        <w:tc>
          <w:tcPr>
            <w:tcW w:w="1477" w:type="dxa"/>
            <w:tcBorders>
              <w:top w:val="none" w:sz="0" w:space="0" w:shadow="0" w:frame="0"/>
              <w:left w:val="single" w:sz="4"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83,2</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97,8</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86,0</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100,8</w:t>
            </w:r>
          </w:p>
        </w:tc>
      </w:tr>
      <w:tr>
        <w:trPr>
          <w:wAfter w:w="0" w:type="dxa"/>
          <w:trHeight w:hRule="atLeast" w:val="256"/>
        </w:trPr>
        <w:tc>
          <w:tcPr>
            <w:tcW w:w="3728" w:type="dxa"/>
            <w:gridSpan w:val="2"/>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Civil engineering</w:t>
            </w:r>
          </w:p>
        </w:tc>
        <w:tc>
          <w:tcPr>
            <w:tcW w:w="1477" w:type="dxa"/>
            <w:tcBorders>
              <w:top w:val="none" w:sz="0" w:space="0" w:shadow="0" w:frame="0"/>
              <w:left w:val="single" w:sz="4"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right="113"/>
              <w:jc w:val="right"/>
              <w:rPr>
                <w:rFonts w:ascii="Arial" w:hAnsi="Arial"/>
                <w:sz w:val="16"/>
              </w:rPr>
            </w:pP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p>
        </w:tc>
      </w:tr>
      <w:tr>
        <w:trPr>
          <w:wAfter w:w="0" w:type="dxa"/>
          <w:trHeight w:hRule="atLeast" w:val="238"/>
        </w:trPr>
        <w:tc>
          <w:tcPr>
            <w:tcW w:w="270"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rPr>
                <w:rFonts w:ascii="Arial" w:hAnsi="Arial"/>
                <w:sz w:val="16"/>
              </w:rPr>
            </w:pPr>
          </w:p>
        </w:tc>
        <w:tc>
          <w:tcPr>
            <w:tcW w:w="3458"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Number</w:t>
            </w:r>
          </w:p>
        </w:tc>
        <w:tc>
          <w:tcPr>
            <w:tcW w:w="1477" w:type="dxa"/>
            <w:tcBorders>
              <w:top w:val="none" w:sz="0" w:space="0" w:shadow="0" w:frame="0"/>
              <w:left w:val="single" w:sz="4"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98,0</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98,5</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99,0</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102,1</w:t>
            </w:r>
          </w:p>
        </w:tc>
      </w:tr>
      <w:tr>
        <w:trPr>
          <w:wAfter w:w="0" w:type="dxa"/>
          <w:trHeight w:hRule="atLeast" w:val="294"/>
        </w:trPr>
        <w:tc>
          <w:tcPr>
            <w:tcW w:w="270"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rPr>
                <w:rFonts w:ascii="Arial" w:hAnsi="Arial"/>
                <w:sz w:val="16"/>
              </w:rPr>
            </w:pPr>
          </w:p>
        </w:tc>
        <w:tc>
          <w:tcPr>
            <w:tcW w:w="3458"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Anticipated value of works, thous. din .</w:t>
            </w:r>
          </w:p>
        </w:tc>
        <w:tc>
          <w:tcPr>
            <w:tcW w:w="1477" w:type="dxa"/>
            <w:tcBorders>
              <w:top w:val="none" w:sz="0" w:space="0" w:shadow="0" w:frame="0"/>
              <w:left w:val="single" w:sz="4"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123,6</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76,8</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115,4</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178,5</w:t>
            </w:r>
          </w:p>
        </w:tc>
      </w:tr>
      <w:tr>
        <w:trPr>
          <w:wAfter w:w="0" w:type="dxa"/>
          <w:trHeight w:hRule="atLeast" w:val="245"/>
        </w:trPr>
        <w:tc>
          <w:tcPr>
            <w:tcW w:w="3728" w:type="dxa"/>
            <w:gridSpan w:val="2"/>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Dwellings</w:t>
            </w:r>
          </w:p>
        </w:tc>
        <w:tc>
          <w:tcPr>
            <w:tcW w:w="1477" w:type="dxa"/>
            <w:tcBorders>
              <w:top w:val="none" w:sz="0" w:space="0" w:shadow="0" w:frame="0"/>
              <w:left w:val="single" w:sz="4"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right="113"/>
              <w:jc w:val="right"/>
              <w:rPr>
                <w:rFonts w:ascii="Arial" w:hAnsi="Arial"/>
                <w:sz w:val="16"/>
              </w:rPr>
            </w:pP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p>
        </w:tc>
      </w:tr>
      <w:tr>
        <w:trPr>
          <w:wAfter w:w="0" w:type="dxa"/>
          <w:trHeight w:hRule="atLeast" w:val="278"/>
        </w:trPr>
        <w:tc>
          <w:tcPr>
            <w:tcW w:w="270"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rPr>
                <w:rFonts w:ascii="Arial" w:hAnsi="Arial"/>
                <w:sz w:val="16"/>
              </w:rPr>
            </w:pPr>
          </w:p>
        </w:tc>
        <w:tc>
          <w:tcPr>
            <w:tcW w:w="3458"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Number</w:t>
            </w:r>
          </w:p>
        </w:tc>
        <w:tc>
          <w:tcPr>
            <w:tcW w:w="1477" w:type="dxa"/>
            <w:tcBorders>
              <w:top w:val="none" w:sz="0" w:space="0" w:shadow="0" w:frame="0"/>
              <w:left w:val="single" w:sz="4"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93,1</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117,1</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100,4</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124,5</w:t>
            </w:r>
          </w:p>
        </w:tc>
      </w:tr>
      <w:tr>
        <w:trPr>
          <w:wAfter w:w="0" w:type="dxa"/>
          <w:trHeight w:hRule="atLeast" w:val="274"/>
        </w:trPr>
        <w:tc>
          <w:tcPr>
            <w:tcW w:w="270"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ind w:left="57"/>
              <w:rPr>
                <w:rFonts w:ascii="Arial" w:hAnsi="Arial"/>
                <w:sz w:val="16"/>
              </w:rPr>
            </w:pPr>
          </w:p>
        </w:tc>
        <w:tc>
          <w:tcPr>
            <w:tcW w:w="3458" w:type="dxa"/>
            <w:tcBorders>
              <w:top w:val="none" w:sz="0" w:space="0" w:shadow="0" w:frame="0"/>
              <w:left w:val="none" w:sz="0" w:space="0" w:shadow="0" w:frame="0"/>
              <w:bottom w:val="none" w:sz="0" w:space="0" w:shadow="0" w:frame="0"/>
              <w:right w:val="single" w:sz="4" w:space="0" w:shadow="0" w:frame="0"/>
            </w:tcBorders>
            <w:vAlign w:val="center"/>
          </w:tcPr>
          <w:p>
            <w:pPr>
              <w:framePr w:w="0" w:h="0" w:hRule="auto" w:vSpace="0" w:hSpace="0" w:wrap="auto" w:vAnchor="margin" w:hAnchor="text" w:x="0" w:xAlign="left" w:y="0" w:yAlign="inline"/>
              <w:rPr>
                <w:rFonts w:ascii="Arial" w:hAnsi="Arial"/>
                <w:sz w:val="16"/>
              </w:rPr>
            </w:pPr>
            <w:r>
              <w:rPr>
                <w:rFonts w:ascii="Arial" w:hAnsi="Arial"/>
                <w:sz w:val="16"/>
              </w:rPr>
              <w:t>Useful area, m²</w:t>
            </w:r>
          </w:p>
        </w:tc>
        <w:tc>
          <w:tcPr>
            <w:tcW w:w="1477"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95,7</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115,3</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103,6</w:t>
            </w:r>
          </w:p>
        </w:tc>
        <w:tc>
          <w:tcPr>
            <w:tcW w:w="1478" w:type="dxa"/>
            <w:tcBorders>
              <w:top w:val="none" w:sz="0" w:space="0" w:shadow="0" w:frame="0"/>
              <w:left w:val="none" w:sz="0" w:space="0" w:shadow="0" w:frame="0"/>
              <w:bottom w:val="none" w:sz="0" w:space="0" w:shadow="0" w:frame="0"/>
              <w:right w:val="none" w:sz="0" w:space="0" w:shadow="0" w:frame="0"/>
            </w:tcBorders>
            <w:vAlign w:val="center"/>
          </w:tcPr>
          <w:p>
            <w:pPr>
              <w:framePr w:w="0" w:h="0" w:hRule="auto" w:vSpace="0" w:hSpace="0" w:wrap="auto" w:vAnchor="margin" w:hAnchor="text" w:x="0" w:xAlign="left" w:y="0" w:yAlign="inline"/>
              <w:spacing w:before="20" w:after="20"/>
              <w:ind w:right="284"/>
              <w:jc w:val="right"/>
              <w:rPr>
                <w:rFonts w:ascii="Arial" w:hAnsi="Arial"/>
                <w:sz w:val="16"/>
              </w:rPr>
            </w:pPr>
            <w:r>
              <w:rPr>
                <w:rFonts w:ascii="Arial" w:hAnsi="Arial"/>
                <w:sz w:val="16"/>
              </w:rPr>
              <w:t>126,0</w:t>
            </w:r>
          </w:p>
        </w:tc>
      </w:tr>
    </w:tbl>
    <w:p>
      <w:pPr>
        <w:pStyle w:val="P8"/>
        <w:spacing w:before="0" w:after="0"/>
        <w:jc w:val="left"/>
        <w:rPr>
          <w:sz w:val="19"/>
        </w:rPr>
      </w:pPr>
    </w:p>
    <w:p>
      <w:pPr>
        <w:pStyle w:val="P8"/>
        <w:spacing w:before="0" w:after="0"/>
        <w:jc w:val="left"/>
        <w:rPr>
          <w:sz w:val="19"/>
        </w:rPr>
      </w:pPr>
      <w:r>
        <w:rPr>
          <w:sz w:val="19"/>
        </w:rPr>
        <w:t>Notes:</w:t>
      </w:r>
    </w:p>
    <w:p>
      <w:pPr>
        <w:jc w:val="both"/>
        <w:rPr>
          <w:rFonts w:ascii="Arial" w:hAnsi="Arial"/>
          <w:sz w:val="19"/>
        </w:rPr>
      </w:pPr>
    </w:p>
    <w:p>
      <w:pPr>
        <w:jc w:val="both"/>
        <w:rPr>
          <w:rFonts w:ascii="Arial" w:hAnsi="Arial"/>
          <w:sz w:val="19"/>
        </w:rPr>
      </w:pPr>
      <w:r>
        <w:rPr>
          <w:rFonts w:ascii="Arial" w:hAnsi="Arial"/>
          <w:sz w:val="19"/>
        </w:rPr>
        <w:t>The presented data are collected in the scope of monthly survey on building permits. The report is filled by the Ministry competent for construction affairs, responsible authorities of the Autonomous Province, city or municipality that, according to the Law on planning and construction (“Official Journal of the Republic of Serbia“, number 47/2003, article 89), issue permits for construction, requests for starting of construction and occupancy permits.</w:t>
      </w:r>
    </w:p>
    <w:p>
      <w:pPr>
        <w:jc w:val="both"/>
        <w:rPr>
          <w:rFonts w:ascii="Arial" w:hAnsi="Arial"/>
          <w:sz w:val="10"/>
        </w:rPr>
      </w:pPr>
    </w:p>
    <w:p>
      <w:pPr>
        <w:jc w:val="both"/>
        <w:rPr>
          <w:rFonts w:ascii="Arial" w:hAnsi="Arial"/>
          <w:sz w:val="19"/>
        </w:rPr>
      </w:pPr>
      <w:r>
        <w:rPr>
          <w:rFonts w:ascii="Arial" w:hAnsi="Arial"/>
          <w:sz w:val="19"/>
        </w:rPr>
        <w:t xml:space="preserve">In the scope of this survey, the concept of „building permits“ unites two documents issued by the competent authotity: building permit for construction and request for starting works. </w:t>
      </w:r>
    </w:p>
    <w:p>
      <w:pPr>
        <w:jc w:val="both"/>
        <w:rPr>
          <w:rFonts w:ascii="Arial" w:hAnsi="Arial"/>
          <w:sz w:val="10"/>
        </w:rPr>
      </w:pPr>
      <w:r>
        <w:rPr>
          <w:rFonts w:ascii="Arial" w:hAnsi="Arial"/>
          <w:b w:val="1"/>
          <w:sz w:val="10"/>
        </w:rPr>
        <w:t xml:space="preserve"> </w:t>
      </w:r>
      <w:r>
        <w:rPr>
          <w:rFonts w:ascii="Arial" w:hAnsi="Arial"/>
          <w:sz w:val="10"/>
        </w:rPr>
        <w:tab/>
      </w:r>
    </w:p>
    <w:p>
      <w:pPr>
        <w:jc w:val="both"/>
        <w:rPr>
          <w:rFonts w:ascii="Arial" w:hAnsi="Arial"/>
          <w:sz w:val="19"/>
        </w:rPr>
      </w:pPr>
      <w:r>
        <w:rPr>
          <w:rFonts w:ascii="Arial" w:hAnsi="Arial"/>
          <w:sz w:val="19"/>
        </w:rPr>
        <w:t>This statistical survey comprises the issued building permits for all types of constructions described in the Classification of Types of Constructions, i.e. buildings and other civil engineering works and these are presented by territories where the works are performed.</w:t>
      </w:r>
    </w:p>
    <w:p>
      <w:pPr>
        <w:jc w:val="both"/>
        <w:rPr>
          <w:rFonts w:ascii="Arial" w:hAnsi="Arial"/>
          <w:sz w:val="10"/>
        </w:rPr>
      </w:pPr>
    </w:p>
    <w:p>
      <w:pPr>
        <w:jc w:val="both"/>
        <w:rPr>
          <w:rFonts w:ascii="Arial" w:hAnsi="Arial"/>
          <w:sz w:val="19"/>
        </w:rPr>
      </w:pPr>
      <w:r>
        <w:rPr>
          <w:rFonts w:ascii="Arial" w:hAnsi="Arial"/>
          <w:sz w:val="19"/>
        </w:rPr>
        <w:t xml:space="preserve">Data on issued building permits show the dynamics of construction activity and enable an insight in investments’ structure on state and local self – government level. </w:t>
      </w:r>
    </w:p>
    <w:p>
      <w:pPr>
        <w:jc w:val="both"/>
        <w:rPr>
          <w:rFonts w:ascii="Arial" w:hAnsi="Arial"/>
          <w:b w:val="1"/>
          <w:sz w:val="10"/>
        </w:rPr>
      </w:pPr>
    </w:p>
    <w:p>
      <w:pPr>
        <w:jc w:val="both"/>
        <w:rPr>
          <w:rFonts w:ascii="Arial" w:hAnsi="Arial"/>
          <w:b w:val="1"/>
          <w:sz w:val="19"/>
        </w:rPr>
      </w:pPr>
      <w:r>
        <w:rPr>
          <w:rFonts w:ascii="Arial" w:hAnsi="Arial"/>
          <w:sz w:val="19"/>
        </w:rPr>
        <w:t>A</w:t>
      </w:r>
      <w:r>
        <w:rPr>
          <w:rFonts w:ascii="Arial" w:hAnsi="Arial"/>
          <w:b w:val="1"/>
          <w:sz w:val="19"/>
        </w:rPr>
        <w:t xml:space="preserve"> construction </w:t>
      </w:r>
      <w:r>
        <w:rPr>
          <w:rFonts w:ascii="Arial" w:hAnsi="Arial"/>
          <w:sz w:val="19"/>
        </w:rPr>
        <w:t xml:space="preserve">comprises construction connected with the ground (any underground, over ground, as well as hydro technical structure – water works), for which construction works are performed, made of construction material, building – in finished products and parts. Land works, related to preparation of the surface, sowing or seeding are agriculture related activities and are not included in construction works.    </w:t>
      </w:r>
      <w:r>
        <w:rPr>
          <w:rFonts w:ascii="Arial" w:hAnsi="Arial"/>
          <w:b w:val="1"/>
          <w:sz w:val="19"/>
        </w:rPr>
        <w:t xml:space="preserve">  </w:t>
      </w:r>
    </w:p>
    <w:p>
      <w:pPr>
        <w:jc w:val="both"/>
        <w:rPr>
          <w:rFonts w:ascii="Arial" w:hAnsi="Arial"/>
          <w:b w:val="1"/>
          <w:sz w:val="10"/>
        </w:rPr>
      </w:pPr>
    </w:p>
    <w:p>
      <w:pPr>
        <w:jc w:val="both"/>
        <w:rPr>
          <w:rFonts w:ascii="Arial" w:hAnsi="Arial"/>
          <w:sz w:val="19"/>
        </w:rPr>
      </w:pPr>
      <w:r>
        <w:rPr>
          <w:rFonts w:ascii="Arial" w:hAnsi="Arial"/>
          <w:b w:val="1"/>
          <w:sz w:val="19"/>
        </w:rPr>
        <w:t xml:space="preserve">Buildings </w:t>
      </w:r>
      <w:r>
        <w:rPr>
          <w:rFonts w:ascii="Arial" w:hAnsi="Arial"/>
          <w:sz w:val="19"/>
        </w:rPr>
        <w:t xml:space="preserve">refer to permanent constructions containing roof and outer walls, constructed as separate units that provide protection from weather and other outside effects, with the purpose of living, performing some activities or keeping animals, goods and equipment needed for versatile production or service activities. </w:t>
      </w:r>
    </w:p>
    <w:p>
      <w:pPr>
        <w:jc w:val="both"/>
        <w:rPr>
          <w:rFonts w:ascii="Arial" w:hAnsi="Arial"/>
          <w:b w:val="1"/>
          <w:sz w:val="10"/>
        </w:rPr>
      </w:pPr>
    </w:p>
    <w:p>
      <w:pPr>
        <w:jc w:val="both"/>
        <w:rPr>
          <w:rFonts w:ascii="Arial" w:hAnsi="Arial"/>
          <w:b w:val="1"/>
          <w:sz w:val="19"/>
        </w:rPr>
      </w:pPr>
      <w:r>
        <w:rPr>
          <w:rFonts w:ascii="Arial" w:hAnsi="Arial"/>
          <w:sz w:val="19"/>
        </w:rPr>
        <w:t xml:space="preserve">Buildings also comprise constructions that contain roof but without all walls (e.g. eaves), as well as constructions that are prevailingly or completely placed under the ground surface (shelters, underground garages, shops or other business premises placed in subways, etc.). </w:t>
      </w:r>
    </w:p>
    <w:p>
      <w:pPr>
        <w:jc w:val="both"/>
        <w:rPr>
          <w:rFonts w:ascii="Arial" w:hAnsi="Arial"/>
          <w:b w:val="1"/>
          <w:sz w:val="10"/>
        </w:rPr>
      </w:pPr>
    </w:p>
    <w:p>
      <w:pPr>
        <w:jc w:val="both"/>
        <w:rPr>
          <w:rFonts w:ascii="Arial" w:hAnsi="Arial"/>
          <w:b w:val="1"/>
          <w:sz w:val="19"/>
        </w:rPr>
      </w:pPr>
      <w:r>
        <w:rPr>
          <w:rFonts w:ascii="Arial" w:hAnsi="Arial"/>
          <w:b w:val="1"/>
          <w:sz w:val="19"/>
        </w:rPr>
        <w:t xml:space="preserve">Other civil engineering constructions </w:t>
      </w:r>
      <w:r>
        <w:rPr>
          <w:rFonts w:ascii="Arial" w:hAnsi="Arial"/>
          <w:sz w:val="19"/>
        </w:rPr>
        <w:t xml:space="preserve">relate to all constructions that are not buildings: railways, roads, bridges, highways, airport runways, pools, etc. </w:t>
      </w:r>
      <w:r>
        <w:rPr>
          <w:rFonts w:ascii="Arial" w:hAnsi="Arial"/>
          <w:b w:val="1"/>
          <w:sz w:val="19"/>
        </w:rPr>
        <w:t xml:space="preserve"> </w:t>
      </w:r>
    </w:p>
    <w:p>
      <w:pPr>
        <w:pStyle w:val="P13"/>
        <w:rPr>
          <w:b w:val="1"/>
          <w:i w:val="1"/>
          <w:sz w:val="10"/>
        </w:rPr>
      </w:pPr>
      <w:r>
        <w:rPr>
          <w:b w:val="1"/>
          <w:i w:val="1"/>
          <w:sz w:val="10"/>
        </w:rPr>
        <w:tab/>
        <w:tab/>
      </w:r>
    </w:p>
    <w:p>
      <w:pPr>
        <w:pStyle w:val="P13"/>
        <w:rPr>
          <w:b w:val="1"/>
          <w:sz w:val="19"/>
        </w:rPr>
      </w:pPr>
      <w:r>
        <w:rPr>
          <w:b w:val="1"/>
          <w:sz w:val="19"/>
        </w:rPr>
        <w:t>Gross building area (m</w:t>
      </w:r>
      <w:r>
        <w:rPr>
          <w:b w:val="1"/>
          <w:sz w:val="19"/>
          <w:vertAlign w:val="superscript"/>
        </w:rPr>
        <w:t>2</w:t>
      </w:r>
      <w:r>
        <w:rPr>
          <w:b w:val="1"/>
          <w:sz w:val="19"/>
        </w:rPr>
        <w:t xml:space="preserve">) </w:t>
      </w:r>
      <w:r>
        <w:rPr>
          <w:sz w:val="19"/>
        </w:rPr>
        <w:t>presents the sum of all floor areas in the building that are comprised by outer walls, also including the thickness of outer walls.</w:t>
      </w:r>
    </w:p>
    <w:p>
      <w:pPr>
        <w:jc w:val="both"/>
        <w:rPr>
          <w:rFonts w:ascii="Arial" w:hAnsi="Arial"/>
          <w:b w:val="1"/>
          <w:sz w:val="10"/>
        </w:rPr>
      </w:pPr>
    </w:p>
    <w:p>
      <w:pPr>
        <w:jc w:val="both"/>
        <w:rPr>
          <w:rFonts w:ascii="Arial" w:hAnsi="Arial"/>
          <w:sz w:val="19"/>
        </w:rPr>
      </w:pPr>
      <w:r>
        <w:rPr>
          <w:rFonts w:ascii="Arial" w:hAnsi="Arial"/>
          <w:b w:val="1"/>
          <w:sz w:val="19"/>
        </w:rPr>
        <w:t xml:space="preserve">Useful dwelling area </w:t>
      </w:r>
      <w:r>
        <w:rPr>
          <w:rFonts w:ascii="Arial" w:hAnsi="Arial"/>
          <w:sz w:val="19"/>
        </w:rPr>
        <w:t xml:space="preserve">is the floor area, measured inside the outer walls of the dwelling and presents the sum of all floor areas, rooms, kitchen, bathroom, toilet and other auxiliary spaces in the dwelling. </w:t>
      </w:r>
    </w:p>
    <w:p>
      <w:pPr>
        <w:jc w:val="both"/>
        <w:rPr>
          <w:rFonts w:ascii="Arial" w:hAnsi="Arial"/>
          <w:b w:val="1"/>
          <w:sz w:val="10"/>
        </w:rPr>
      </w:pPr>
    </w:p>
    <w:p>
      <w:pPr>
        <w:jc w:val="both"/>
        <w:rPr>
          <w:rFonts w:ascii="Arial" w:hAnsi="Arial"/>
          <w:sz w:val="19"/>
        </w:rPr>
      </w:pPr>
      <w:r>
        <w:rPr>
          <w:rFonts w:ascii="Arial" w:hAnsi="Arial"/>
          <w:b w:val="1"/>
          <w:sz w:val="19"/>
        </w:rPr>
        <w:t xml:space="preserve">Anticipated value of works </w:t>
      </w:r>
      <w:r>
        <w:rPr>
          <w:rFonts w:ascii="Arial" w:hAnsi="Arial"/>
          <w:sz w:val="19"/>
        </w:rPr>
        <w:t xml:space="preserve">presents the planed value of works on a construction. </w:t>
      </w:r>
    </w:p>
    <w:p>
      <w:pPr>
        <w:jc w:val="both"/>
        <w:rPr>
          <w:rFonts w:ascii="Arial" w:hAnsi="Arial"/>
          <w:sz w:val="10"/>
        </w:rPr>
      </w:pPr>
    </w:p>
    <w:p>
      <w:pPr>
        <w:jc w:val="both"/>
        <w:rPr>
          <w:rFonts w:ascii="Arial" w:hAnsi="Arial"/>
          <w:sz w:val="19"/>
        </w:rPr>
      </w:pPr>
      <w:r>
        <w:rPr>
          <w:rFonts w:ascii="Arial" w:hAnsi="Arial"/>
          <w:sz w:val="19"/>
        </w:rPr>
        <w:t xml:space="preserve">Detailed methodological notes of this survey can be found in the edition of SORS Methodologies and standards: Monthly surveys on building permits, book 22 and Classification of types of constructions, book number 15. </w:t>
      </w:r>
    </w:p>
    <w:p>
      <w:pPr>
        <w:jc w:val="both"/>
        <w:rPr>
          <w:rStyle w:val="C5"/>
          <w:rFonts w:ascii="Arial" w:hAnsi="Arial"/>
          <w:b w:val="1"/>
          <w:i w:val="0"/>
          <w:sz w:val="20"/>
        </w:rPr>
      </w:pPr>
    </w:p>
    <w:p>
      <w:pPr>
        <w:rPr>
          <w:rFonts w:ascii="Arial" w:hAnsi="Arial"/>
          <w:sz w:val="20"/>
        </w:rPr>
      </w:pPr>
      <w:r>
        <w:rPr>
          <w:rFonts w:ascii="Arial" w:hAnsi="Arial"/>
          <w:sz w:val="20"/>
        </w:rPr>
        <w:tab/>
      </w:r>
    </w:p>
    <w:p>
      <w:pPr>
        <w:jc w:val="center"/>
        <w:rPr>
          <w:rFonts w:ascii="Arial" w:hAnsi="Arial"/>
          <w:sz w:val="20"/>
        </w:rPr>
      </w:pPr>
      <w:r>
        <w:rPr>
          <w:rFonts w:ascii="Arial" w:hAnsi="Arial"/>
          <w:sz w:val="20"/>
        </w:rPr>
        <w:t xml:space="preserve">Published and printed by: Statistical Office of the Republic of Serbia, Belgrade, Milana Rakica 5 </w:t>
        <w:br w:type="textWrapping"/>
        <w:t xml:space="preserve">Phone: +381 11 2412922 ● Fax: +381 11 2411260 ● www.stat.gov.rs  </w:t>
        <w:br w:type="textWrapping"/>
        <w:t>Responsible: Dragan Vukmirovic, PhD, Director</w:t>
      </w:r>
    </w:p>
    <w:p>
      <w:pPr>
        <w:jc w:val="center"/>
        <w:rPr>
          <w:rFonts w:ascii="Arial" w:hAnsi="Arial"/>
          <w:sz w:val="20"/>
        </w:rPr>
      </w:pPr>
      <w:r>
        <w:rPr>
          <w:rFonts w:ascii="Arial" w:hAnsi="Arial"/>
          <w:sz w:val="20"/>
        </w:rPr>
        <w:t>Circulation: 150 ● Issued: Monthly</w:t>
      </w: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134" w:right="1134" w:top="1134" w:bottom="1134"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2"/>
      <w:pBdr>
        <w:top w:val="single" w:sz="4" w:space="0" w:shadow="0" w:frame="0"/>
      </w:pBdr>
      <w:tabs>
        <w:tab w:val="clear" w:pos="8640" w:leader="none"/>
        <w:tab w:val="right" w:pos="9636"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ИН</w:t>
    </w:r>
    <w:r>
      <w:rPr>
        <w:rFonts w:ascii="Arial" w:hAnsi="Arial"/>
        <w:sz w:val="16"/>
      </w:rPr>
      <w:t>10 260304</w:t>
    </w:r>
    <w:r>
      <w:rPr>
        <w:rStyle w:val="C4"/>
        <w:rFonts w:ascii="Arial" w:hAnsi="Arial"/>
        <w:sz w:val="16"/>
      </w:rPr>
      <w:tab/>
    </w:r>
  </w:p>
  <w:p>
    <w:pPr>
      <w:pStyle w:val="P12"/>
    </w:pPr>
  </w:p>
  <w:p>
    <w:pPr>
      <w:pStyle w:val="P12"/>
      <w:rPr>
        <w:sz w:val="16"/>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2"/>
      <w:pBdr>
        <w:top w:val="single" w:sz="4" w:space="0" w:shadow="0" w:frame="0"/>
      </w:pBdr>
      <w:tabs>
        <w:tab w:val="clear" w:pos="8640" w:leader="none"/>
        <w:tab w:val="right" w:pos="9624" w:leader="none"/>
        <w:tab w:val="right" w:pos="10206" w:leader="none"/>
      </w:tabs>
      <w:rPr>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SERB 228 GR30 120808</w:t>
    </w:r>
  </w:p>
</w:ftr>
</file>

<file path=word/footnotes.xml><?xml version="1.0" encoding="utf-8"?>
<w:footnotes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footnote w:id="0">
    <w:p>
      <w:pPr>
        <w:pStyle w:val="P9"/>
        <w:rPr>
          <w:rFonts w:ascii="Arial" w:hAnsi="Arial"/>
          <w:sz w:val="14"/>
        </w:rPr>
      </w:pPr>
      <w:r>
        <w:rPr>
          <w:rStyle w:val="C3"/>
          <w:rFonts w:ascii="Times New Roman" w:hAnsi="Times New Roman"/>
          <w:sz w:val="14"/>
        </w:rPr>
        <w:footnoteRef/>
      </w:r>
      <w:r>
        <w:rPr>
          <w:rFonts w:ascii="Arial" w:hAnsi="Arial"/>
          <w:sz w:val="14"/>
        </w:rPr>
        <w:t xml:space="preserve">  Without data for Kosovo and Metohia.</w:t>
      </w:r>
    </w:p>
  </w:footnote>
</w:footnotes>
</file>

<file path=word/numbering.xml><?xml version="1.0" encoding="utf-8"?>
<w:numbering xmlns:w="http://schemas.openxmlformats.org/wordprocessingml/2006/main">
  <w:abstractNum w:abstractNumId="0">
    <w:nsid w:val="342414F2"/>
    <w:multiLevelType w:val="hybridMultilevel"/>
    <w:lvl w:ilvl="0" w:tplc="7999EA62">
      <w:start w:val="1"/>
      <w:numFmt w:val="bullet"/>
      <w:suff w:val="tab"/>
      <w:lvlText w:val="–"/>
      <w:lvlJc w:val="left"/>
      <w:pPr>
        <w:ind w:hanging="360" w:left="507"/>
        <w:tabs>
          <w:tab w:val="left" w:pos="507" w:leader="none"/>
        </w:tabs>
      </w:pPr>
      <w:rPr>
        <w:rFonts w:ascii="Times New Roman" w:hAnsi="Times New Roman"/>
      </w:rPr>
    </w:lvl>
    <w:lvl w:ilvl="1" w:tplc="5B672A66">
      <w:start w:val="1"/>
      <w:numFmt w:val="bullet"/>
      <w:suff w:val="tab"/>
      <w:lvlText w:val="o"/>
      <w:lvlJc w:val="left"/>
      <w:pPr>
        <w:ind w:hanging="360" w:left="1227"/>
        <w:tabs>
          <w:tab w:val="left" w:pos="1227" w:leader="none"/>
        </w:tabs>
      </w:pPr>
      <w:rPr>
        <w:rFonts w:ascii="Courier New" w:hAnsi="Courier New"/>
      </w:rPr>
    </w:lvl>
    <w:lvl w:ilvl="2" w:tplc="5921F4D7">
      <w:start w:val="1"/>
      <w:numFmt w:val="bullet"/>
      <w:suff w:val="tab"/>
      <w:lvlText w:val=""/>
      <w:lvlJc w:val="left"/>
      <w:pPr>
        <w:ind w:hanging="360" w:left="1947"/>
        <w:tabs>
          <w:tab w:val="left" w:pos="1947" w:leader="none"/>
        </w:tabs>
      </w:pPr>
      <w:rPr>
        <w:rFonts w:ascii="Wingdings" w:hAnsi="Wingdings"/>
      </w:rPr>
    </w:lvl>
    <w:lvl w:ilvl="3" w:tplc="3231D8B6">
      <w:start w:val="1"/>
      <w:numFmt w:val="bullet"/>
      <w:suff w:val="tab"/>
      <w:lvlText w:val=""/>
      <w:lvlJc w:val="left"/>
      <w:pPr>
        <w:ind w:hanging="360" w:left="2667"/>
        <w:tabs>
          <w:tab w:val="left" w:pos="2667" w:leader="none"/>
        </w:tabs>
      </w:pPr>
      <w:rPr>
        <w:rFonts w:ascii="Symbol" w:hAnsi="Symbol"/>
      </w:rPr>
    </w:lvl>
    <w:lvl w:ilvl="4" w:tplc="5DC413BD">
      <w:start w:val="1"/>
      <w:numFmt w:val="bullet"/>
      <w:suff w:val="tab"/>
      <w:lvlText w:val="o"/>
      <w:lvlJc w:val="left"/>
      <w:pPr>
        <w:ind w:hanging="360" w:left="3387"/>
        <w:tabs>
          <w:tab w:val="left" w:pos="3387" w:leader="none"/>
        </w:tabs>
      </w:pPr>
      <w:rPr>
        <w:rFonts w:ascii="Courier New" w:hAnsi="Courier New"/>
      </w:rPr>
    </w:lvl>
    <w:lvl w:ilvl="5" w:tplc="646DE977">
      <w:start w:val="1"/>
      <w:numFmt w:val="bullet"/>
      <w:suff w:val="tab"/>
      <w:lvlText w:val=""/>
      <w:lvlJc w:val="left"/>
      <w:pPr>
        <w:ind w:hanging="360" w:left="4107"/>
        <w:tabs>
          <w:tab w:val="left" w:pos="4107" w:leader="none"/>
        </w:tabs>
      </w:pPr>
      <w:rPr>
        <w:rFonts w:ascii="Wingdings" w:hAnsi="Wingdings"/>
      </w:rPr>
    </w:lvl>
    <w:lvl w:ilvl="6" w:tplc="25A6862F">
      <w:start w:val="1"/>
      <w:numFmt w:val="bullet"/>
      <w:suff w:val="tab"/>
      <w:lvlText w:val=""/>
      <w:lvlJc w:val="left"/>
      <w:pPr>
        <w:ind w:hanging="360" w:left="4827"/>
        <w:tabs>
          <w:tab w:val="left" w:pos="4827" w:leader="none"/>
        </w:tabs>
      </w:pPr>
      <w:rPr>
        <w:rFonts w:ascii="Symbol" w:hAnsi="Symbol"/>
      </w:rPr>
    </w:lvl>
    <w:lvl w:ilvl="7" w:tplc="7A2C9259">
      <w:start w:val="1"/>
      <w:numFmt w:val="bullet"/>
      <w:suff w:val="tab"/>
      <w:lvlText w:val="o"/>
      <w:lvlJc w:val="left"/>
      <w:pPr>
        <w:ind w:hanging="360" w:left="5547"/>
        <w:tabs>
          <w:tab w:val="left" w:pos="5547" w:leader="none"/>
        </w:tabs>
      </w:pPr>
      <w:rPr>
        <w:rFonts w:ascii="Courier New" w:hAnsi="Courier New"/>
      </w:rPr>
    </w:lvl>
    <w:lvl w:ilvl="8" w:tplc="0D8D0AFD">
      <w:start w:val="1"/>
      <w:numFmt w:val="bullet"/>
      <w:suff w:val="tab"/>
      <w:lvlText w:val=""/>
      <w:lvlJc w:val="left"/>
      <w:pPr>
        <w:ind w:hanging="360" w:left="6267"/>
        <w:tabs>
          <w:tab w:val="left" w:pos="6267" w:leader="none"/>
        </w:tabs>
      </w:pPr>
      <w:rPr>
        <w:rFonts w:ascii="Wingdings" w:hAnsi="Wingdings"/>
      </w:rPr>
    </w:lvl>
  </w:abstractNum>
  <w:abstractNum w:abstractNumId="1">
    <w:nsid w:val="40D735AF"/>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
    <w:nsid w:val="5DF55415"/>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
    <w:nsid w:val="7E571AD5"/>
    <w:multiLevelType w:val="hybridMultilevel"/>
    <w:lvl w:ilvl="0" w:tplc="4975C81D">
      <w:start w:val="0"/>
      <w:numFmt w:val="bullet"/>
      <w:suff w:val="tab"/>
      <w:lvlText w:val="-"/>
      <w:lvlJc w:val="left"/>
      <w:pPr>
        <w:ind w:hanging="360" w:left="720"/>
        <w:tabs>
          <w:tab w:val="left" w:pos="720" w:leader="none"/>
        </w:tabs>
      </w:pPr>
      <w:rPr>
        <w:rFonts w:ascii="Times New Roman" w:hAnsi="Times New Roman"/>
        <w:b w:val="1"/>
      </w:rPr>
    </w:lvl>
    <w:lvl w:ilvl="1" w:tplc="3DB58A56">
      <w:start w:val="1"/>
      <w:numFmt w:val="bullet"/>
      <w:suff w:val="tab"/>
      <w:lvlText w:val="o"/>
      <w:lvlJc w:val="left"/>
      <w:pPr>
        <w:ind w:hanging="360" w:left="1440"/>
        <w:tabs>
          <w:tab w:val="left" w:pos="1440" w:leader="none"/>
        </w:tabs>
      </w:pPr>
      <w:rPr>
        <w:rFonts w:ascii="Courier New" w:hAnsi="Courier New"/>
      </w:rPr>
    </w:lvl>
    <w:lvl w:ilvl="2" w:tplc="12C7F9EF">
      <w:start w:val="1"/>
      <w:numFmt w:val="bullet"/>
      <w:suff w:val="tab"/>
      <w:lvlText w:val=""/>
      <w:lvlJc w:val="left"/>
      <w:pPr>
        <w:ind w:hanging="360" w:left="2160"/>
        <w:tabs>
          <w:tab w:val="left" w:pos="2160" w:leader="none"/>
        </w:tabs>
      </w:pPr>
      <w:rPr>
        <w:rFonts w:ascii="Wingdings" w:hAnsi="Wingdings"/>
      </w:rPr>
    </w:lvl>
    <w:lvl w:ilvl="3" w:tplc="790E1223">
      <w:start w:val="1"/>
      <w:numFmt w:val="bullet"/>
      <w:suff w:val="tab"/>
      <w:lvlText w:val=""/>
      <w:lvlJc w:val="left"/>
      <w:pPr>
        <w:ind w:hanging="360" w:left="2880"/>
        <w:tabs>
          <w:tab w:val="left" w:pos="2880" w:leader="none"/>
        </w:tabs>
      </w:pPr>
      <w:rPr>
        <w:rFonts w:ascii="Symbol" w:hAnsi="Symbol"/>
      </w:rPr>
    </w:lvl>
    <w:lvl w:ilvl="4" w:tplc="60B2C0A6">
      <w:start w:val="1"/>
      <w:numFmt w:val="bullet"/>
      <w:suff w:val="tab"/>
      <w:lvlText w:val="o"/>
      <w:lvlJc w:val="left"/>
      <w:pPr>
        <w:ind w:hanging="360" w:left="3600"/>
        <w:tabs>
          <w:tab w:val="left" w:pos="3600" w:leader="none"/>
        </w:tabs>
      </w:pPr>
      <w:rPr>
        <w:rFonts w:ascii="Courier New" w:hAnsi="Courier New"/>
      </w:rPr>
    </w:lvl>
    <w:lvl w:ilvl="5" w:tplc="17F5BB55">
      <w:start w:val="1"/>
      <w:numFmt w:val="bullet"/>
      <w:suff w:val="tab"/>
      <w:lvlText w:val=""/>
      <w:lvlJc w:val="left"/>
      <w:pPr>
        <w:ind w:hanging="360" w:left="4320"/>
        <w:tabs>
          <w:tab w:val="left" w:pos="4320" w:leader="none"/>
        </w:tabs>
      </w:pPr>
      <w:rPr>
        <w:rFonts w:ascii="Wingdings" w:hAnsi="Wingdings"/>
      </w:rPr>
    </w:lvl>
    <w:lvl w:ilvl="6" w:tplc="23618E65">
      <w:start w:val="1"/>
      <w:numFmt w:val="bullet"/>
      <w:suff w:val="tab"/>
      <w:lvlText w:val=""/>
      <w:lvlJc w:val="left"/>
      <w:pPr>
        <w:ind w:hanging="360" w:left="5040"/>
        <w:tabs>
          <w:tab w:val="left" w:pos="5040" w:leader="none"/>
        </w:tabs>
      </w:pPr>
      <w:rPr>
        <w:rFonts w:ascii="Symbol" w:hAnsi="Symbol"/>
      </w:rPr>
    </w:lvl>
    <w:lvl w:ilvl="7" w:tplc="785D09E2">
      <w:start w:val="1"/>
      <w:numFmt w:val="bullet"/>
      <w:suff w:val="tab"/>
      <w:lvlText w:val="o"/>
      <w:lvlJc w:val="left"/>
      <w:pPr>
        <w:ind w:hanging="360" w:left="5760"/>
        <w:tabs>
          <w:tab w:val="left" w:pos="5760" w:leader="none"/>
        </w:tabs>
      </w:pPr>
      <w:rPr>
        <w:rFonts w:ascii="Courier New" w:hAnsi="Courier New"/>
      </w:rPr>
    </w:lvl>
    <w:lvl w:ilvl="8" w:tplc="704EBEDB">
      <w:start w:val="1"/>
      <w:numFmt w:val="bullet"/>
      <w:suff w:val="tab"/>
      <w:lvlText w:val=""/>
      <w:lvlJc w:val="left"/>
      <w:pPr>
        <w:ind w:hanging="360" w:left="6480"/>
        <w:tabs>
          <w:tab w:val="left" w:pos="6480" w:leader="none"/>
        </w:tabs>
      </w:pPr>
      <w:rPr>
        <w:rFonts w:ascii="Wingdings" w:hAnsi="Wingdings"/>
      </w:rPr>
    </w:lvl>
  </w:abstractNum>
  <w:num w:numId="1">
    <w:abstractNumId w:val="3"/>
  </w:num>
  <w:num w:numId="2">
    <w:abstractNumId w:val="1"/>
  </w:num>
  <w:num w:numId="3">
    <w:abstractNumId w:val="0"/>
  </w:num>
  <w:num w:numId="4">
    <w:abstractNumId w:val="2"/>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outlineLvl w:val="0"/>
    </w:pPr>
    <w:rPr>
      <w:rFonts w:ascii="Arial" w:hAnsi="Arial"/>
      <w:b w:val="1"/>
      <w:sz w:val="16"/>
    </w:rPr>
  </w:style>
  <w:style w:type="paragraph" w:styleId="P3">
    <w:name w:val="Heading 2"/>
    <w:basedOn w:val="P0"/>
    <w:next w:val="P0"/>
    <w:pPr>
      <w:keepNext w:val="1"/>
      <w:jc w:val="center"/>
      <w:outlineLvl w:val="1"/>
    </w:pPr>
    <w:rPr>
      <w:rFonts w:ascii="Arial" w:hAnsi="Arial"/>
      <w:sz w:val="16"/>
      <w:u w:val="single"/>
    </w:rPr>
  </w:style>
  <w:style w:type="paragraph" w:styleId="P4">
    <w:name w:val="Heading 3"/>
    <w:basedOn w:val="P0"/>
    <w:next w:val="P0"/>
    <w:pPr>
      <w:keepNext w:val="1"/>
      <w:outlineLvl w:val="2"/>
    </w:pPr>
    <w:rPr>
      <w:rFonts w:ascii="Arial" w:hAnsi="Arial"/>
      <w:b w:val="1"/>
      <w:sz w:val="72"/>
    </w:rPr>
  </w:style>
  <w:style w:type="paragraph" w:styleId="P5">
    <w:name w:val="Heading 4"/>
    <w:basedOn w:val="P0"/>
    <w:next w:val="P0"/>
    <w:pPr>
      <w:keepNext w:val="1"/>
      <w:outlineLvl w:val="3"/>
    </w:pPr>
    <w:rPr>
      <w:rFonts w:ascii="Arial" w:hAnsi="Arial"/>
      <w:b w:val="1"/>
      <w:i w:val="1"/>
      <w:sz w:val="16"/>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8"/>
    <w:basedOn w:val="P0"/>
    <w:next w:val="P0"/>
    <w:pPr>
      <w:keepNext w:val="1"/>
      <w:spacing w:before="80" w:after="80"/>
      <w:jc w:val="center"/>
      <w:outlineLvl w:val="7"/>
    </w:pPr>
    <w:rPr>
      <w:rFonts w:ascii="Arial" w:hAnsi="Arial"/>
      <w:b w:val="1"/>
      <w:sz w:val="16"/>
    </w:rPr>
  </w:style>
  <w:style w:type="paragraph" w:styleId="P9">
    <w:name w:val="Footnote Text"/>
    <w:basedOn w:val="P0"/>
    <w:next w:val="P9"/>
    <w:pPr/>
    <w:rPr>
      <w:sz w:val="20"/>
    </w:rPr>
  </w:style>
  <w:style w:type="paragraph" w:styleId="P10">
    <w:name w:val="Header"/>
    <w:basedOn w:val="P0"/>
    <w:next w:val="P10"/>
    <w:pPr>
      <w:tabs>
        <w:tab w:val="center" w:pos="4320" w:leader="none"/>
        <w:tab w:val="right" w:pos="8640" w:leader="none"/>
      </w:tabs>
    </w:pPr>
    <w:rPr/>
  </w:style>
  <w:style w:type="paragraph" w:styleId="P11">
    <w:name w:val="Body Text"/>
    <w:basedOn w:val="P0"/>
    <w:next w:val="P11"/>
    <w:pPr>
      <w:tabs>
        <w:tab w:val="left" w:pos="142" w:leader="none"/>
      </w:tabs>
      <w:jc w:val="both"/>
    </w:pPr>
    <w:rPr>
      <w:rFonts w:ascii="Arial" w:hAnsi="Arial"/>
      <w:sz w:val="22"/>
    </w:rPr>
  </w:style>
  <w:style w:type="paragraph" w:styleId="P12">
    <w:name w:val="Footer"/>
    <w:basedOn w:val="P0"/>
    <w:next w:val="P12"/>
    <w:pPr>
      <w:tabs>
        <w:tab w:val="center" w:pos="4320" w:leader="none"/>
        <w:tab w:val="right" w:pos="8640" w:leader="none"/>
      </w:tabs>
    </w:pPr>
    <w:rPr/>
  </w:style>
  <w:style w:type="paragraph" w:styleId="P13">
    <w:name w:val="Body Text 2"/>
    <w:basedOn w:val="P0"/>
    <w:next w:val="P13"/>
    <w:pPr>
      <w:tabs>
        <w:tab w:val="left" w:pos="142" w:leader="none"/>
      </w:tabs>
      <w:jc w:val="both"/>
    </w:pPr>
    <w:rPr>
      <w:rFonts w:ascii="Arial" w:hAnsi="Arial"/>
    </w:rPr>
  </w:style>
  <w:style w:type="paragraph" w:styleId="P14">
    <w:name w:val="Body Text 3"/>
    <w:basedOn w:val="P0"/>
    <w:next w:val="P14"/>
    <w:pPr>
      <w:framePr w:wrap="around" w:vAnchor="text" w:hAnchor="margin" w:y="121"/>
      <w:jc w:val="center"/>
    </w:pPr>
    <w:rPr>
      <w:rFonts w:ascii="Arial" w:hAnsi="Arial"/>
      <w:sz w:val="16"/>
    </w:rPr>
  </w:style>
  <w:style w:type="paragraph" w:styleId="P15">
    <w:name w:val="Balloon Text"/>
    <w:basedOn w:val="P0"/>
    <w:next w:val="P15"/>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Footnote Reference"/>
    <w:basedOn w:val="C0"/>
    <w:rPr>
      <w:vertAlign w:val="superscript"/>
    </w:rPr>
  </w:style>
  <w:style w:type="character" w:styleId="C4">
    <w:name w:val="Page Number"/>
    <w:basedOn w:val="C0"/>
    <w:rPr/>
  </w:style>
  <w:style w:type="character" w:styleId="C5">
    <w:name w:val="Emphasis"/>
    <w:basedOn w:val="C0"/>
    <w:rPr>
      <w:i w:val="1"/>
    </w:rPr>
  </w:style>
  <w:style w:type="character" w:styleId="C6">
    <w:name w:val="Strong"/>
    <w:basedOn w:val="C0"/>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Fnt1" Type="http://schemas.openxmlformats.org/officeDocument/2006/relationships/footnotes" Target="footnotes.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Ivan</dc:creator>
  <dcterms:created xsi:type="dcterms:W3CDTF">2008-08-13T12:03:00Z</dcterms:created>
  <cp:lastModifiedBy>Nikola Kapetanovic</cp:lastModifiedBy>
  <cp:lastPrinted>2008-08-13T12:19:00Z</cp:lastPrinted>
  <dcterms:modified xsi:type="dcterms:W3CDTF">2020-01-10T11:46:26Z</dcterms:modified>
  <cp:revision>6</cp:revision>
  <dc:title>Република Србија</dc:title>
</cp:coreProperties>
</file>