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9071F85" Type="http://schemas.openxmlformats.org/officeDocument/2006/relationships/officeDocument" Target="/word/document.xml" /><Relationship Id="coreR79071F85" Type="http://schemas.openxmlformats.org/package/2006/relationships/metadata/core-properties" Target="/docProps/core.xml" /><Relationship Id="customR79071F85" Type="http://schemas.openxmlformats.org/officeDocument/2006/relationships/custom-properties" Target="/docProps/custom.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623" w:type="dxa"/>
        <w:tblInd w:w="-3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atLeast" w:val="282"/>
        </w:trPr>
        <w:tc>
          <w:tcPr>
            <w:tcW w:w="6936" w:type="dxa"/>
            <w:vMerge w:val="restart"/>
            <w:tcBorders>
              <w:top w:val="single" w:sz="18" w:space="0" w:shadow="0" w:frame="0"/>
              <w:left w:val="none" w:sz="0" w:space="0" w:shadow="0" w:frame="0"/>
              <w:bottom w:val="none" w:sz="0" w:space="0" w:shadow="0" w:frame="0"/>
            </w:tcBorders>
            <w:vAlign w:val="center"/>
          </w:tcPr>
          <w:p>
            <w:pPr>
              <w:rPr>
                <w:rFonts w:ascii="Arial" w:hAnsi="Arial"/>
              </w:rPr>
            </w:pPr>
            <w:r>
              <w:rPr>
                <w:rFonts w:ascii="Arial" w:hAnsi="Arial"/>
              </w:rPr>
              <w:t>Republic of Serbia</w:t>
            </w:r>
          </w:p>
          <w:p>
            <w:r>
              <w:rPr>
                <w:rFonts w:ascii="Arial" w:hAnsi="Arial"/>
              </w:rPr>
              <w:t>Statistical Office of the Republic of Serbia</w:t>
            </w:r>
          </w:p>
        </w:tc>
        <w:tc>
          <w:tcPr>
            <w:tcW w:w="2687"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31"/>
        </w:trPr>
        <w:tc>
          <w:tcPr>
            <w:tcW w:w="2687"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7"/>
            </w:pPr>
            <w:r>
              <w:t>ISSN 0353-9555</w:t>
            </w:r>
          </w:p>
        </w:tc>
      </w:tr>
      <w:tr>
        <w:trPr>
          <w:wAfter w:w="0" w:type="dxa"/>
          <w:trHeight w:hRule="atLeast" w:val="120"/>
        </w:trPr>
        <w:tc>
          <w:tcPr>
            <w:tcW w:w="6936"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687"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200"/>
        </w:trPr>
        <w:tc>
          <w:tcPr>
            <w:tcW w:w="6936" w:type="dxa"/>
            <w:tcBorders>
              <w:top w:val="none" w:sz="0" w:space="0" w:shadow="0" w:frame="0"/>
              <w:left w:val="none" w:sz="0" w:space="0" w:shadow="0" w:frame="0"/>
              <w:bottom w:val="none" w:sz="0" w:space="0" w:shadow="0" w:frame="0"/>
              <w:right w:val="none" w:sz="0" w:space="0" w:shadow="0" w:frame="0"/>
            </w:tcBorders>
          </w:tcPr>
          <w:p>
            <w:pPr>
              <w:pStyle w:val="P4"/>
            </w:pPr>
            <w:r>
              <w:t>COMMUNICATION</w:t>
            </w:r>
          </w:p>
          <w:p>
            <w:pPr>
              <w:rPr>
                <w:b w:val="1"/>
              </w:rPr>
            </w:pPr>
            <w:r>
              <w:rPr>
                <w:rFonts w:ascii="Arial" w:hAnsi="Arial"/>
                <w:b w:val="1"/>
              </w:rPr>
              <w:t xml:space="preserve">number </w:t>
            </w:r>
            <w:r>
              <w:rPr>
                <w:rFonts w:ascii="Arial" w:hAnsi="Arial"/>
                <w:b w:val="1"/>
              </w:rPr>
              <w:t>160</w:t>
            </w:r>
            <w:r>
              <w:rPr>
                <w:rFonts w:ascii="Arial" w:hAnsi="Arial"/>
                <w:b w:val="1"/>
              </w:rPr>
              <w:t xml:space="preserve"> • year LVII</w:t>
            </w:r>
            <w:r>
              <w:rPr>
                <w:rFonts w:ascii="Arial" w:hAnsi="Arial"/>
                <w:b w:val="1"/>
              </w:rPr>
              <w:t>I</w:t>
            </w:r>
            <w:r>
              <w:rPr>
                <w:rFonts w:ascii="Arial" w:hAnsi="Arial"/>
                <w:b w:val="1"/>
              </w:rPr>
              <w:t xml:space="preserve">, </w:t>
            </w:r>
            <w:r>
              <w:rPr>
                <w:rFonts w:ascii="Arial" w:hAnsi="Arial"/>
                <w:b w:val="1"/>
              </w:rPr>
              <w:t>16</w:t>
            </w:r>
            <w:r>
              <w:rPr>
                <w:rFonts w:ascii="Arial" w:hAnsi="Arial"/>
                <w:b w:val="1"/>
              </w:rPr>
              <w:t>.0</w:t>
            </w:r>
            <w:r>
              <w:rPr>
                <w:rFonts w:ascii="Arial" w:hAnsi="Arial"/>
                <w:b w:val="1"/>
              </w:rPr>
              <w:t>6</w:t>
            </w:r>
            <w:r>
              <w:rPr>
                <w:rFonts w:ascii="Arial" w:hAnsi="Arial"/>
                <w:b w:val="1"/>
              </w:rPr>
              <w:t>.200</w:t>
            </w:r>
            <w:r>
              <w:rPr>
                <w:rFonts w:ascii="Arial" w:hAnsi="Arial"/>
                <w:b w:val="1"/>
              </w:rPr>
              <w:t>8</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sz w:val="72"/>
              </w:rPr>
            </w:pPr>
            <w:r>
              <w:rPr>
                <w:rFonts w:ascii="Arial" w:hAnsi="Arial"/>
                <w:b w:val="1"/>
                <w:sz w:val="72"/>
              </w:rPr>
              <w:t>CN11</w:t>
            </w:r>
          </w:p>
        </w:tc>
      </w:tr>
      <w:tr>
        <w:trPr>
          <w:wAfter w:w="0" w:type="dxa"/>
          <w:trHeight w:hRule="exact" w:val="320"/>
        </w:trPr>
        <w:tc>
          <w:tcPr>
            <w:tcW w:w="6936"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Price statistics</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SERB</w:t>
            </w:r>
            <w:r>
              <w:rPr>
                <w:b w:val="1"/>
                <w:sz w:val="20"/>
              </w:rPr>
              <w:t xml:space="preserve"> </w:t>
            </w:r>
            <w:r>
              <w:rPr>
                <w:b w:val="1"/>
                <w:sz w:val="20"/>
              </w:rPr>
              <w:t>160</w:t>
            </w:r>
            <w:r>
              <w:rPr>
                <w:b w:val="1"/>
                <w:sz w:val="20"/>
              </w:rPr>
              <w:t xml:space="preserve"> CN11 </w:t>
            </w:r>
            <w:r>
              <w:rPr>
                <w:b w:val="1"/>
                <w:sz w:val="20"/>
              </w:rPr>
              <w:t>16</w:t>
            </w:r>
            <w:r>
              <w:rPr>
                <w:b w:val="1"/>
                <w:sz w:val="20"/>
              </w:rPr>
              <w:t>0</w:t>
            </w:r>
            <w:r>
              <w:rPr>
                <w:b w:val="1"/>
                <w:sz w:val="20"/>
              </w:rPr>
              <w:t>6</w:t>
            </w:r>
            <w:r>
              <w:rPr>
                <w:b w:val="1"/>
                <w:sz w:val="20"/>
              </w:rPr>
              <w:t>0</w:t>
            </w:r>
            <w:r>
              <w:rPr>
                <w:b w:val="1"/>
                <w:sz w:val="20"/>
              </w:rPr>
              <w:t>8</w:t>
            </w:r>
          </w:p>
        </w:tc>
      </w:tr>
      <w:tr>
        <w:trPr>
          <w:wAfter w:w="0" w:type="dxa"/>
          <w:trHeight w:hRule="exact" w:val="120"/>
        </w:trPr>
        <w:tc>
          <w:tcPr>
            <w:tcW w:w="2687"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2687"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jc w:val="center"/>
        <w:rPr>
          <w:rFonts w:ascii="Arial" w:hAnsi="Arial"/>
          <w:b w:val="1"/>
          <w:sz w:val="32"/>
        </w:rPr>
      </w:pPr>
    </w:p>
    <w:p>
      <w:pPr>
        <w:jc w:val="center"/>
        <w:rPr>
          <w:rFonts w:ascii="Arial" w:hAnsi="Arial"/>
          <w:b w:val="1"/>
          <w:sz w:val="32"/>
        </w:rPr>
      </w:pPr>
    </w:p>
    <w:p>
      <w:pPr>
        <w:jc w:val="center"/>
        <w:rPr>
          <w:rFonts w:ascii="Arial" w:hAnsi="Arial"/>
        </w:rPr>
      </w:pPr>
      <w:r>
        <w:rPr>
          <w:rFonts w:ascii="Arial" w:hAnsi="Arial"/>
          <w:b w:val="1"/>
          <w:sz w:val="32"/>
        </w:rPr>
        <w:t xml:space="preserve">Consumer price index by COICOP – </w:t>
      </w:r>
      <w:r>
        <w:rPr>
          <w:rFonts w:ascii="Arial" w:hAnsi="Arial"/>
          <w:b w:val="1"/>
          <w:sz w:val="32"/>
        </w:rPr>
        <w:t>May</w:t>
      </w:r>
      <w:r>
        <w:rPr>
          <w:rFonts w:ascii="Arial" w:hAnsi="Arial"/>
          <w:b w:val="1"/>
          <w:sz w:val="32"/>
        </w:rPr>
        <w:t xml:space="preserve"> 200</w:t>
      </w:r>
      <w:r>
        <w:rPr>
          <w:rFonts w:ascii="Arial" w:hAnsi="Arial"/>
          <w:b w:val="1"/>
          <w:sz w:val="32"/>
        </w:rPr>
        <w:t>8</w:t>
      </w:r>
    </w:p>
    <w:p>
      <w:pPr>
        <w:jc w:val="both"/>
        <w:rPr>
          <w:rFonts w:ascii="Arial" w:hAnsi="Arial"/>
          <w:sz w:val="20"/>
        </w:rPr>
      </w:pPr>
    </w:p>
    <w:p>
      <w:pPr>
        <w:jc w:val="center"/>
        <w:rPr>
          <w:rFonts w:ascii="Arial" w:hAnsi="Arial"/>
          <w:b w:val="1"/>
          <w:sz w:val="22"/>
        </w:rPr>
      </w:pPr>
    </w:p>
    <w:p>
      <w:pPr>
        <w:jc w:val="center"/>
        <w:rPr>
          <w:rFonts w:ascii="Arial" w:hAnsi="Arial"/>
          <w:b w:val="1"/>
          <w:sz w:val="22"/>
        </w:rPr>
      </w:pPr>
      <w:r>
        <w:rPr>
          <w:rFonts w:ascii="Arial" w:hAnsi="Arial"/>
          <w:b w:val="1"/>
          <w:sz w:val="22"/>
        </w:rPr>
        <w:t>Consumer price index by COICOP</w:t>
      </w:r>
    </w:p>
    <w:p>
      <w:pPr>
        <w:rPr>
          <w:rFonts w:ascii="Arial" w:hAnsi="Arial"/>
          <w:b w:val="1"/>
          <w:sz w:val="18"/>
        </w:rPr>
      </w:pPr>
      <w:r>
        <w:rPr>
          <w:rFonts w:ascii="Arial" w:hAnsi="Arial"/>
          <w:b w:val="1"/>
          <w:sz w:val="18"/>
        </w:rPr>
        <w:t>Republic of Serbia</w:t>
      </w:r>
    </w:p>
    <w:tbl>
      <w:tblPr>
        <w:tblStyle w:val="T2"/>
        <w:tblW w:w="9639"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
      <w:tblGrid/>
      <w:tr>
        <w:trPr>
          <w:wAfter w:w="0" w:type="dxa"/>
        </w:trPr>
        <w:tc>
          <w:tcPr>
            <w:tcW w:w="4098" w:type="dxa"/>
            <w:tcBorders>
              <w:top w:val="single" w:sz="4" w:space="0" w:shadow="0" w:frame="0"/>
              <w:left w:val="none" w:sz="0" w:space="0" w:shadow="0" w:frame="0"/>
              <w:bottom w:val="single" w:sz="4" w:space="0" w:shadow="0" w:frame="0"/>
              <w:right w:val="single" w:sz="4" w:space="0" w:shadow="0" w:frame="0"/>
            </w:tcBorders>
          </w:tcPr>
          <w:p>
            <w:pPr>
              <w:spacing w:before="40" w:after="40"/>
              <w:jc w:val="center"/>
              <w:rPr>
                <w:rFonts w:ascii="Arial" w:hAnsi="Arial"/>
                <w:b w:val="1"/>
                <w:sz w:val="18"/>
              </w:rPr>
            </w:pPr>
          </w:p>
          <w:p>
            <w:pPr>
              <w:spacing w:before="40" w:after="40"/>
              <w:jc w:val="center"/>
              <w:rPr>
                <w:rFonts w:ascii="Arial" w:hAnsi="Arial"/>
                <w:b w:val="1"/>
                <w:sz w:val="18"/>
              </w:rPr>
            </w:pPr>
          </w:p>
        </w:tc>
        <w:tc>
          <w:tcPr>
            <w:tcW w:w="1122"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rFonts w:ascii="Arial" w:hAnsi="Arial"/>
                <w:sz w:val="18"/>
              </w:rPr>
            </w:pPr>
            <w:r>
              <w:rPr>
                <w:rFonts w:ascii="Arial" w:hAnsi="Arial"/>
                <w:sz w:val="18"/>
              </w:rPr>
              <w:t>Structure</w:t>
            </w:r>
          </w:p>
          <w:p>
            <w:pPr>
              <w:spacing w:before="40" w:after="40"/>
              <w:jc w:val="center"/>
              <w:rPr>
                <w:rFonts w:ascii="Arial" w:hAnsi="Arial"/>
                <w:sz w:val="18"/>
              </w:rPr>
            </w:pPr>
            <w:r>
              <w:rPr>
                <w:rFonts w:ascii="Arial" w:hAnsi="Arial"/>
                <w:sz w:val="18"/>
              </w:rPr>
              <w:t>(%)</w:t>
            </w:r>
          </w:p>
        </w:tc>
        <w:tc>
          <w:tcPr>
            <w:tcW w:w="1200" w:type="dxa"/>
            <w:tcBorders>
              <w:top w:val="single" w:sz="4" w:space="0" w:shadow="0" w:frame="0"/>
              <w:left w:val="single" w:sz="4" w:space="0" w:shadow="0" w:frame="0"/>
              <w:bottom w:val="single" w:sz="4" w:space="0" w:shadow="0" w:frame="0"/>
              <w:right w:val="single" w:sz="4" w:space="0" w:shadow="0" w:frame="0"/>
            </w:tcBorders>
          </w:tcPr>
          <w:p>
            <w:pPr>
              <w:spacing w:before="40" w:after="40"/>
              <w:jc w:val="center"/>
              <w:rPr>
                <w:rFonts w:ascii="Arial" w:hAnsi="Arial"/>
                <w:sz w:val="18"/>
                <w:u w:val="single"/>
              </w:rPr>
            </w:pPr>
            <w:r>
              <w:rPr>
                <w:rFonts w:ascii="Arial" w:hAnsi="Arial"/>
                <w:sz w:val="18"/>
                <w:u w:val="single"/>
              </w:rPr>
              <w:t xml:space="preserve">V   2008 </w:t>
            </w:r>
          </w:p>
          <w:p>
            <w:pPr>
              <w:spacing w:before="40" w:after="40"/>
              <w:jc w:val="center"/>
              <w:rPr>
                <w:rFonts w:ascii="Arial" w:hAnsi="Arial"/>
                <w:sz w:val="18"/>
              </w:rPr>
            </w:pPr>
            <w:r>
              <w:rPr>
                <w:rFonts w:ascii="Arial" w:hAnsi="Arial"/>
                <w:sz w:val="18"/>
              </w:rPr>
              <w:t>Ø 2007</w:t>
            </w:r>
          </w:p>
        </w:tc>
        <w:tc>
          <w:tcPr>
            <w:tcW w:w="1260" w:type="dxa"/>
            <w:tcBorders>
              <w:top w:val="single" w:sz="4" w:space="0" w:shadow="0" w:frame="0"/>
              <w:left w:val="single" w:sz="4" w:space="0" w:shadow="0" w:frame="0"/>
              <w:bottom w:val="single" w:sz="4" w:space="0" w:shadow="0" w:frame="0"/>
              <w:right w:val="single" w:sz="4" w:space="0" w:shadow="0" w:frame="0"/>
            </w:tcBorders>
          </w:tcPr>
          <w:p>
            <w:pPr>
              <w:spacing w:before="40" w:after="40"/>
              <w:jc w:val="center"/>
              <w:rPr>
                <w:rFonts w:ascii="Arial" w:hAnsi="Arial"/>
                <w:sz w:val="18"/>
                <w:u w:val="single"/>
              </w:rPr>
            </w:pPr>
            <w:r>
              <w:rPr>
                <w:rFonts w:ascii="Arial" w:hAnsi="Arial"/>
                <w:sz w:val="18"/>
                <w:u w:val="single"/>
              </w:rPr>
              <w:t xml:space="preserve">V  2008</w:t>
            </w:r>
          </w:p>
          <w:p>
            <w:pPr>
              <w:spacing w:before="40" w:after="40"/>
              <w:jc w:val="center"/>
              <w:rPr>
                <w:rFonts w:ascii="Arial" w:hAnsi="Arial"/>
                <w:sz w:val="18"/>
              </w:rPr>
            </w:pPr>
            <w:r>
              <w:rPr>
                <w:rFonts w:ascii="Arial" w:hAnsi="Arial"/>
                <w:sz w:val="18"/>
              </w:rPr>
              <w:t>IV 2008</w:t>
            </w:r>
          </w:p>
        </w:tc>
        <w:tc>
          <w:tcPr>
            <w:tcW w:w="1200" w:type="dxa"/>
            <w:tcBorders>
              <w:top w:val="single" w:sz="4" w:space="0" w:shadow="0" w:frame="0"/>
              <w:left w:val="single" w:sz="4" w:space="0" w:shadow="0" w:frame="0"/>
              <w:bottom w:val="single" w:sz="4" w:space="0" w:shadow="0" w:frame="0"/>
              <w:right w:val="none" w:sz="0" w:space="0" w:shadow="0" w:frame="0"/>
            </w:tcBorders>
          </w:tcPr>
          <w:p>
            <w:pPr>
              <w:spacing w:before="40" w:after="40"/>
              <w:jc w:val="center"/>
              <w:rPr>
                <w:rFonts w:ascii="Arial" w:hAnsi="Arial"/>
                <w:sz w:val="18"/>
                <w:u w:val="single"/>
              </w:rPr>
            </w:pPr>
            <w:r>
              <w:rPr>
                <w:rFonts w:ascii="Arial" w:hAnsi="Arial"/>
                <w:sz w:val="18"/>
                <w:u w:val="single"/>
              </w:rPr>
              <w:t>V 2008</w:t>
            </w:r>
          </w:p>
          <w:p>
            <w:pPr>
              <w:spacing w:before="40" w:after="40"/>
              <w:jc w:val="center"/>
              <w:rPr>
                <w:rFonts w:ascii="Arial" w:hAnsi="Arial"/>
                <w:b w:val="1"/>
                <w:sz w:val="18"/>
              </w:rPr>
            </w:pPr>
            <w:r>
              <w:rPr>
                <w:rFonts w:ascii="Arial" w:hAnsi="Arial"/>
                <w:sz w:val="18"/>
              </w:rPr>
              <w:t>V 2007</w:t>
            </w:r>
          </w:p>
        </w:tc>
        <w:tc>
          <w:tcPr>
            <w:tcW w:w="1062" w:type="dxa"/>
            <w:tcBorders>
              <w:top w:val="single" w:sz="4" w:space="0" w:shadow="0" w:frame="0"/>
              <w:left w:val="single" w:sz="4" w:space="0" w:shadow="0" w:frame="0"/>
              <w:bottom w:val="single" w:sz="4" w:space="0" w:shadow="0" w:frame="0"/>
              <w:right w:val="none" w:sz="0" w:space="0" w:shadow="0" w:frame="0"/>
            </w:tcBorders>
          </w:tcPr>
          <w:p>
            <w:pPr>
              <w:spacing w:before="40" w:after="40"/>
              <w:jc w:val="center"/>
              <w:rPr>
                <w:rFonts w:ascii="Arial" w:hAnsi="Arial"/>
                <w:sz w:val="18"/>
                <w:u w:val="single"/>
              </w:rPr>
            </w:pPr>
            <w:r>
              <w:rPr>
                <w:rFonts w:ascii="Arial" w:hAnsi="Arial"/>
                <w:sz w:val="18"/>
                <w:u w:val="single"/>
              </w:rPr>
              <w:t xml:space="preserve">V  2008</w:t>
            </w:r>
          </w:p>
          <w:p>
            <w:pPr>
              <w:spacing w:before="40" w:after="40"/>
              <w:jc w:val="center"/>
              <w:rPr>
                <w:rFonts w:ascii="Arial" w:hAnsi="Arial"/>
                <w:sz w:val="18"/>
              </w:rPr>
            </w:pPr>
            <w:r>
              <w:rPr>
                <w:rFonts w:ascii="Arial" w:hAnsi="Arial"/>
                <w:sz w:val="18"/>
              </w:rPr>
              <w:t>XII 2007</w:t>
            </w:r>
          </w:p>
        </w:tc>
      </w:tr>
      <w:tr>
        <w:trPr>
          <w:wAfter w:w="0" w:type="dxa"/>
        </w:trPr>
        <w:tc>
          <w:tcPr>
            <w:tcW w:w="4098" w:type="dxa"/>
            <w:tcBorders>
              <w:top w:val="single" w:sz="4" w:space="0" w:shadow="0" w:frame="0"/>
              <w:left w:val="none" w:sz="0" w:space="0" w:shadow="0" w:frame="0"/>
              <w:bottom w:val="none" w:sz="0" w:space="0" w:shadow="0" w:frame="0"/>
              <w:right w:val="single" w:sz="4" w:space="0" w:shadow="0" w:frame="0"/>
            </w:tcBorders>
          </w:tcPr>
          <w:p>
            <w:pPr>
              <w:spacing w:before="120"/>
              <w:rPr>
                <w:rFonts w:ascii="Arial" w:hAnsi="Arial"/>
                <w:b w:val="1"/>
                <w:sz w:val="18"/>
              </w:rPr>
            </w:pPr>
            <w:r>
              <w:rPr>
                <w:rFonts w:ascii="Arial" w:hAnsi="Arial"/>
                <w:b w:val="1"/>
                <w:sz w:val="18"/>
              </w:rPr>
              <w:t>Total</w:t>
            </w:r>
          </w:p>
        </w:tc>
        <w:tc>
          <w:tcPr>
            <w:tcW w:w="1122" w:type="dxa"/>
            <w:tcBorders>
              <w:top w:val="single" w:sz="4" w:space="0" w:shadow="0" w:frame="0"/>
              <w:left w:val="single" w:sz="4" w:space="0" w:shadow="0" w:frame="0"/>
              <w:bottom w:val="none" w:sz="0" w:space="0" w:shadow="0" w:frame="0"/>
              <w:right w:val="single" w:sz="4" w:space="0" w:shadow="0" w:frame="0"/>
            </w:tcBorders>
            <w:vAlign w:val="bottom"/>
          </w:tcPr>
          <w:p>
            <w:pPr>
              <w:ind w:right="113"/>
              <w:jc w:val="right"/>
              <w:rPr>
                <w:rFonts w:ascii="Arial" w:hAnsi="Arial"/>
                <w:b w:val="1"/>
                <w:sz w:val="18"/>
              </w:rPr>
            </w:pPr>
            <w:r>
              <w:rPr>
                <w:rFonts w:ascii="Arial" w:hAnsi="Arial"/>
                <w:b w:val="1"/>
                <w:sz w:val="18"/>
              </w:rPr>
              <w:t>100,00</w:t>
            </w:r>
          </w:p>
        </w:tc>
        <w:tc>
          <w:tcPr>
            <w:tcW w:w="1200" w:type="dxa"/>
            <w:tcBorders>
              <w:top w:val="single" w:sz="4" w:space="0" w:shadow="0" w:frame="0"/>
              <w:left w:val="single" w:sz="4"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112,3</w:t>
            </w:r>
          </w:p>
        </w:tc>
        <w:tc>
          <w:tcPr>
            <w:tcW w:w="1260" w:type="dxa"/>
            <w:tcBorders>
              <w:top w:val="single" w:sz="4"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101,8</w:t>
            </w:r>
          </w:p>
        </w:tc>
        <w:tc>
          <w:tcPr>
            <w:tcW w:w="1200" w:type="dxa"/>
            <w:tcBorders>
              <w:top w:val="single" w:sz="4"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114,5</w:t>
            </w:r>
          </w:p>
        </w:tc>
        <w:tc>
          <w:tcPr>
            <w:tcW w:w="1062" w:type="dxa"/>
            <w:tcBorders>
              <w:top w:val="single" w:sz="4"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106,5</w:t>
            </w:r>
          </w:p>
        </w:tc>
      </w:tr>
      <w:tr>
        <w:trPr>
          <w:wAfter w:w="0" w:type="dxa"/>
          <w:trHeight w:hRule="atLeast" w:val="219"/>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rPr>
                <w:rFonts w:ascii="Arial" w:hAnsi="Arial"/>
                <w:sz w:val="20"/>
              </w:rPr>
            </w:pP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rPr>
                <w:rFonts w:ascii="Arial" w:hAnsi="Arial"/>
                <w:sz w:val="20"/>
              </w:rPr>
            </w:pP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rPr>
                <w:rFonts w:ascii="Arial" w:hAnsi="Arial"/>
                <w:sz w:val="20"/>
              </w:rPr>
            </w:pP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rPr>
                <w:rFonts w:ascii="Arial" w:hAnsi="Arial"/>
                <w:sz w:val="20"/>
              </w:rPr>
            </w:pPr>
          </w:p>
        </w:tc>
      </w:tr>
      <w:tr>
        <w:trPr>
          <w:wAfter w:w="0" w:type="dxa"/>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b w:val="1"/>
                <w:sz w:val="18"/>
              </w:rPr>
            </w:pPr>
            <w:r>
              <w:rPr>
                <w:rFonts w:ascii="Arial" w:hAnsi="Arial"/>
                <w:sz w:val="18"/>
              </w:rPr>
              <w:t>Food and non – alcoholic beverages</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35,18</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124,5</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103,8</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130,2</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113,4</w:t>
            </w:r>
          </w:p>
        </w:tc>
      </w:tr>
      <w:tr>
        <w:trPr>
          <w:wAfter w:w="0" w:type="dxa"/>
          <w:trHeight w:hRule="atLeast" w:val="258"/>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Alcoholic beverages and tobacco</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5,57</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108,3</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100,1</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111,9</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101,4</w:t>
            </w:r>
          </w:p>
        </w:tc>
      </w:tr>
      <w:tr>
        <w:trPr>
          <w:wAfter w:w="0" w:type="dxa"/>
          <w:trHeight w:hRule="atLeast" w:val="25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Clothing and footwear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6,86</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105,5</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101,1</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106,2</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102,9</w:t>
            </w:r>
          </w:p>
        </w:tc>
      </w:tr>
      <w:tr>
        <w:trPr>
          <w:wAfter w:w="0" w:type="dxa"/>
          <w:trHeight w:hRule="atLeast" w:val="261"/>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Housing, water, electricity, gas and other fuels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16,27</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104,4</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100,3</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102,6</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102,4</w:t>
            </w:r>
          </w:p>
        </w:tc>
      </w:tr>
      <w:tr>
        <w:trPr>
          <w:wAfter w:w="0" w:type="dxa"/>
          <w:trHeight w:hRule="atLeast" w:val="25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Furniture, household equipment, routine maintenance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5,27</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102,3</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100,8</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105,0</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99,5</w:t>
            </w:r>
          </w:p>
        </w:tc>
      </w:tr>
      <w:tr>
        <w:trPr>
          <w:wAfter w:w="0" w:type="dxa"/>
          <w:trHeight w:hRule="atLeast" w:val="28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Health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4,22</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102,9</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100,0</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104,6</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100,5</w:t>
            </w:r>
          </w:p>
        </w:tc>
      </w:tr>
      <w:tr>
        <w:trPr>
          <w:wAfter w:w="0" w:type="dxa"/>
          <w:trHeight w:hRule="atLeast" w:val="279"/>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Transport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11,46</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111,6</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101,3</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113,4</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106,1</w:t>
            </w:r>
          </w:p>
        </w:tc>
      </w:tr>
      <w:tr>
        <w:trPr>
          <w:wAfter w:w="0" w:type="dxa"/>
          <w:trHeight w:hRule="atLeast" w:val="294"/>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Communication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3,23</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98,1</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100,0</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97,4</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99,9</w:t>
            </w:r>
          </w:p>
        </w:tc>
      </w:tr>
      <w:tr>
        <w:trPr>
          <w:wAfter w:w="0" w:type="dxa"/>
          <w:trHeight w:hRule="atLeast" w:val="297"/>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Recreation and culture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5,44</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104,4</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99,6</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105,9</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101,8</w:t>
            </w:r>
          </w:p>
        </w:tc>
      </w:tr>
      <w:tr>
        <w:trPr>
          <w:wAfter w:w="0" w:type="dxa"/>
          <w:trHeight w:hRule="atLeast" w:val="264"/>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Education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1,23</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103,6</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100,1</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105,7</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100,4</w:t>
            </w:r>
          </w:p>
        </w:tc>
      </w:tr>
      <w:tr>
        <w:trPr>
          <w:wAfter w:w="0" w:type="dxa"/>
          <w:trHeight w:hRule="atLeast" w:val="297"/>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Restaurants and hotels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1,48</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106,4</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101,0</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107,3</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103,0</w:t>
            </w:r>
          </w:p>
        </w:tc>
      </w:tr>
      <w:tr>
        <w:trPr>
          <w:wAfter w:w="0" w:type="dxa"/>
          <w:trHeight w:hRule="atLeast" w:val="240"/>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Miscellanous goods and services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3,79</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105,1</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100,8</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105,8</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102,7</w:t>
            </w:r>
          </w:p>
        </w:tc>
      </w:tr>
    </w:tbl>
    <w:p>
      <w:pPr>
        <w:jc w:val="center"/>
        <w:rPr>
          <w:rFonts w:ascii="Arial" w:hAnsi="Arial"/>
          <w:b w:val="1"/>
          <w:sz w:val="22"/>
        </w:rPr>
      </w:pPr>
    </w:p>
    <w:p>
      <w:pPr>
        <w:jc w:val="center"/>
        <w:rPr>
          <w:rFonts w:ascii="Arial" w:hAnsi="Arial"/>
          <w:b w:val="1"/>
          <w:sz w:val="22"/>
        </w:rPr>
      </w:pPr>
    </w:p>
    <w:p>
      <w:pPr>
        <w:jc w:val="center"/>
        <w:rPr>
          <w:rFonts w:ascii="Arial" w:hAnsi="Arial"/>
          <w:b w:val="1"/>
          <w:sz w:val="22"/>
        </w:rPr>
      </w:pPr>
      <w:r>
        <w:rPr>
          <w:rFonts w:ascii="Arial" w:hAnsi="Arial"/>
          <w:b w:val="1"/>
          <w:sz w:val="22"/>
        </w:rPr>
        <w:t xml:space="preserve">Methodological notes </w:t>
      </w:r>
    </w:p>
    <w:p>
      <w:pPr>
        <w:spacing w:before="40"/>
        <w:ind w:firstLine="720"/>
        <w:jc w:val="both"/>
        <w:rPr>
          <w:rFonts w:ascii="Arial" w:hAnsi="Arial"/>
          <w:sz w:val="18"/>
        </w:rPr>
      </w:pPr>
      <w:r>
        <w:rPr>
          <w:rFonts w:ascii="Arial" w:hAnsi="Arial"/>
          <w:sz w:val="18"/>
        </w:rPr>
        <w:t>Consumer price index by COICOP (CPI - COICOP) presents a specific index of retail prices, calculated according to the methodology that is harmonized with the recommendations for calculation of retail prices index in the European Union (Harmonized Price Index) and its coverage is particularly adjusted to our conditions.</w:t>
      </w:r>
    </w:p>
    <w:p>
      <w:pPr>
        <w:spacing w:before="40"/>
        <w:ind w:firstLine="720"/>
        <w:jc w:val="both"/>
        <w:rPr>
          <w:rFonts w:ascii="Arial" w:hAnsi="Arial"/>
          <w:sz w:val="18"/>
        </w:rPr>
      </w:pPr>
      <w:r>
        <w:rPr>
          <w:rFonts w:ascii="Arial" w:hAnsi="Arial"/>
          <w:sz w:val="18"/>
        </w:rPr>
        <w:t xml:space="preserve">Index is calculated and published for the Republic of Serbia. </w:t>
      </w:r>
    </w:p>
    <w:p>
      <w:pPr>
        <w:spacing w:before="40"/>
        <w:ind w:firstLine="720"/>
        <w:jc w:val="both"/>
        <w:rPr>
          <w:rFonts w:ascii="Arial" w:hAnsi="Arial"/>
          <w:sz w:val="18"/>
        </w:rPr>
      </w:pPr>
      <w:r>
        <w:rPr>
          <w:rFonts w:ascii="Arial" w:hAnsi="Arial"/>
          <w:sz w:val="18"/>
        </w:rPr>
        <w:t xml:space="preserve">The main differences between CPI-COICOP  and Index of retail prices are the following: </w:t>
      </w:r>
    </w:p>
    <w:p>
      <w:pPr>
        <w:spacing w:before="40"/>
        <w:ind w:left="720"/>
        <w:jc w:val="both"/>
        <w:rPr>
          <w:rFonts w:ascii="Arial" w:hAnsi="Arial"/>
          <w:sz w:val="18"/>
        </w:rPr>
      </w:pPr>
      <w:r>
        <w:rPr>
          <w:rFonts w:ascii="Arial" w:hAnsi="Arial"/>
          <w:b w:val="1"/>
          <w:sz w:val="18"/>
        </w:rPr>
        <w:t xml:space="preserve">- Coverage </w:t>
      </w:r>
      <w:r>
        <w:rPr>
          <w:rFonts w:ascii="Arial" w:hAnsi="Arial"/>
          <w:sz w:val="18"/>
        </w:rPr>
        <w:t xml:space="preserve">– list of products and services also includes rent, financial services, educational services as well as catering trade services </w:t>
      </w:r>
    </w:p>
    <w:p>
      <w:pPr>
        <w:spacing w:before="40"/>
        <w:ind w:firstLine="720"/>
        <w:jc w:val="both"/>
        <w:rPr>
          <w:rFonts w:ascii="Arial" w:hAnsi="Arial"/>
          <w:b w:val="1"/>
          <w:sz w:val="18"/>
        </w:rPr>
      </w:pPr>
      <w:r>
        <w:rPr>
          <w:rFonts w:ascii="Arial" w:hAnsi="Arial"/>
          <w:b w:val="1"/>
          <w:sz w:val="18"/>
        </w:rPr>
        <w:t>- Weights</w:t>
      </w:r>
    </w:p>
    <w:p>
      <w:pPr>
        <w:spacing w:before="40"/>
        <w:ind w:firstLine="153" w:left="567"/>
        <w:jc w:val="both"/>
        <w:rPr>
          <w:rFonts w:ascii="Arial" w:hAnsi="Arial"/>
          <w:sz w:val="18"/>
        </w:rPr>
      </w:pPr>
      <w:r>
        <w:rPr>
          <w:rFonts w:ascii="Arial" w:hAnsi="Arial"/>
          <w:b w:val="1"/>
          <w:sz w:val="18"/>
        </w:rPr>
        <w:t>- Classification</w:t>
      </w:r>
      <w:r>
        <w:rPr>
          <w:rFonts w:ascii="Arial" w:hAnsi="Arial"/>
          <w:b w:val="1"/>
          <w:i w:val="1"/>
          <w:sz w:val="18"/>
        </w:rPr>
        <w:t xml:space="preserve"> </w:t>
      </w:r>
      <w:r>
        <w:rPr>
          <w:rFonts w:ascii="Arial" w:hAnsi="Arial"/>
          <w:sz w:val="18"/>
        </w:rPr>
        <w:t>- COICOP HICP classification</w:t>
      </w:r>
    </w:p>
    <w:p>
      <w:pPr>
        <w:spacing w:before="40"/>
        <w:ind w:firstLine="153" w:left="567"/>
        <w:jc w:val="both"/>
        <w:rPr>
          <w:rFonts w:ascii="Arial" w:hAnsi="Arial"/>
          <w:sz w:val="18"/>
        </w:rPr>
      </w:pPr>
      <w:r>
        <w:rPr>
          <w:rFonts w:ascii="Arial" w:hAnsi="Arial"/>
          <w:b w:val="1"/>
          <w:sz w:val="18"/>
        </w:rPr>
        <w:t xml:space="preserve">- Formulae for the index calculation at the lowest level of aggregating – </w:t>
      </w:r>
      <w:r>
        <w:rPr>
          <w:rFonts w:ascii="Arial" w:hAnsi="Arial"/>
          <w:sz w:val="18"/>
        </w:rPr>
        <w:t xml:space="preserve">geometrical mean </w:t>
      </w:r>
    </w:p>
    <w:p>
      <w:pPr>
        <w:spacing w:before="40"/>
        <w:rPr>
          <w:rFonts w:ascii="Arial" w:hAnsi="Arial"/>
          <w:sz w:val="18"/>
        </w:rPr>
      </w:pPr>
    </w:p>
    <w:p>
      <w:pPr>
        <w:pStyle w:val="P2"/>
        <w:spacing w:before="40"/>
      </w:pPr>
      <w:r>
        <w:t xml:space="preserve">Definition of consumer price index </w:t>
      </w:r>
    </w:p>
    <w:p>
      <w:pPr>
        <w:spacing w:before="40"/>
        <w:ind w:firstLine="720"/>
        <w:jc w:val="both"/>
        <w:rPr>
          <w:rFonts w:ascii="Arial" w:hAnsi="Arial"/>
          <w:sz w:val="18"/>
        </w:rPr>
      </w:pPr>
      <w:r>
        <w:rPr>
          <w:rFonts w:ascii="Arial" w:hAnsi="Arial"/>
          <w:sz w:val="18"/>
        </w:rPr>
        <w:t xml:space="preserve">CPI-COICOP is defined as the </w:t>
      </w:r>
      <w:r>
        <w:rPr>
          <w:rFonts w:ascii="Arial" w:hAnsi="Arial"/>
          <w:b w:val="1"/>
          <w:sz w:val="18"/>
        </w:rPr>
        <w:t>measure of the average change</w:t>
      </w:r>
      <w:r>
        <w:rPr>
          <w:rFonts w:ascii="Arial" w:hAnsi="Arial"/>
          <w:sz w:val="18"/>
        </w:rPr>
        <w:t xml:space="preserve"> of prices of the </w:t>
      </w:r>
      <w:r>
        <w:rPr>
          <w:rFonts w:ascii="Arial" w:hAnsi="Arial"/>
          <w:b w:val="1"/>
          <w:sz w:val="18"/>
        </w:rPr>
        <w:t>fixed basket of goods and services</w:t>
      </w:r>
      <w:r>
        <w:rPr>
          <w:rFonts w:ascii="Arial" w:hAnsi="Arial"/>
          <w:sz w:val="18"/>
        </w:rPr>
        <w:t xml:space="preserve">, which is purchased by households and which aims to </w:t>
      </w:r>
      <w:r>
        <w:rPr>
          <w:rFonts w:ascii="Arial" w:hAnsi="Arial"/>
          <w:b w:val="1"/>
          <w:sz w:val="18"/>
        </w:rPr>
        <w:t>satisfy the households’ needs</w:t>
      </w:r>
      <w:r>
        <w:rPr>
          <w:rFonts w:ascii="Arial" w:hAnsi="Arial"/>
          <w:sz w:val="18"/>
        </w:rPr>
        <w:t xml:space="preserve">. The index measures price changes in time and the consumption structure of the base period is used for both of the comparative periods (Laspeyre’s type index). </w:t>
      </w:r>
    </w:p>
    <w:p>
      <w:pPr>
        <w:pStyle w:val="P2"/>
        <w:spacing w:before="40"/>
      </w:pPr>
      <w:r>
        <w:t xml:space="preserve">Purpose </w:t>
      </w:r>
    </w:p>
    <w:p>
      <w:pPr>
        <w:spacing w:before="40"/>
        <w:ind w:firstLine="720"/>
        <w:jc w:val="both"/>
        <w:rPr>
          <w:rFonts w:ascii="Arial" w:hAnsi="Arial"/>
          <w:sz w:val="18"/>
        </w:rPr>
      </w:pPr>
      <w:r>
        <w:rPr>
          <w:rFonts w:ascii="Arial" w:hAnsi="Arial"/>
          <w:sz w:val="18"/>
        </w:rPr>
        <w:t xml:space="preserve">CPI-COICOP presents index of retail prices that is comparable with the Harmonized Price Index of the European Union. It is used as the deflator of the households’ final consumption. </w:t>
      </w:r>
    </w:p>
    <w:p>
      <w:pPr>
        <w:pStyle w:val="P2"/>
        <w:spacing w:before="40"/>
      </w:pPr>
      <w:r>
        <w:t xml:space="preserve">Population coverage </w:t>
      </w:r>
    </w:p>
    <w:p>
      <w:pPr>
        <w:spacing w:before="40"/>
        <w:ind w:firstLine="720"/>
        <w:jc w:val="both"/>
        <w:rPr>
          <w:rFonts w:ascii="Arial" w:hAnsi="Arial"/>
          <w:sz w:val="18"/>
        </w:rPr>
      </w:pPr>
      <w:r>
        <w:rPr>
          <w:rFonts w:ascii="Arial" w:hAnsi="Arial"/>
          <w:sz w:val="18"/>
        </w:rPr>
        <w:t xml:space="preserve">All private households that are permanently settled on the economic territory of the country are covered. Neither consumption of the collective households, nor non – residents consumption are covered.  </w:t>
      </w:r>
    </w:p>
    <w:p>
      <w:pPr>
        <w:pStyle w:val="P2"/>
        <w:spacing w:before="40"/>
      </w:pPr>
      <w:r>
        <w:t xml:space="preserve">Geographical coverage </w:t>
      </w:r>
    </w:p>
    <w:p>
      <w:pPr>
        <w:spacing w:before="40"/>
        <w:ind w:firstLine="720"/>
        <w:jc w:val="both"/>
        <w:rPr>
          <w:rFonts w:ascii="Arial" w:hAnsi="Arial"/>
          <w:sz w:val="18"/>
        </w:rPr>
      </w:pPr>
      <w:r>
        <w:rPr>
          <w:rFonts w:ascii="Arial" w:hAnsi="Arial"/>
          <w:sz w:val="18"/>
        </w:rPr>
        <w:t xml:space="preserve">The territory of the Republic of Serbia, excluding Kosovo and Metohia, is covered. Prices are collected in 15 towns – major administrative and trade centers, including Belgrade, Valjevo, Zajecar, Kragujevac, Kraljevo, Leskovac, Nis, Smederevo, Uzice, Sabac, Novi Sad, Sremska Mitrovica, Zrenjanin, Subotica and Pancevo.   </w:t>
      </w:r>
    </w:p>
    <w:p>
      <w:pPr>
        <w:pStyle w:val="P2"/>
        <w:spacing w:before="40"/>
      </w:pPr>
      <w:r>
        <w:t xml:space="preserve">Products coverage </w:t>
      </w:r>
    </w:p>
    <w:p>
      <w:pPr>
        <w:spacing w:before="40"/>
        <w:ind w:firstLine="720"/>
        <w:jc w:val="both"/>
        <w:rPr>
          <w:rFonts w:ascii="Arial" w:hAnsi="Arial"/>
          <w:sz w:val="18"/>
        </w:rPr>
      </w:pPr>
      <w:r>
        <w:rPr>
          <w:rFonts w:ascii="Arial" w:hAnsi="Arial"/>
          <w:sz w:val="18"/>
        </w:rPr>
        <w:t xml:space="preserve">The most significant products and services that are purchased by the households and that satisfy the households’ final consumption are covered. Purchasing of the second – hand goods, remuneration in kind, life insurance and gifts are excluded. This list also excludes imputed rent, outlays for investments (dwellings, land, etc.) and outlays for lottery games. The list of products is regularly revised in order to preserve its representative role, referring to structure of consumption and consumers’ habits. Products are included in the list when their share within the total consumption of the households becomes greater than 0.1 %.  </w:t>
      </w:r>
    </w:p>
    <w:p>
      <w:pPr>
        <w:pStyle w:val="P2"/>
        <w:spacing w:before="40"/>
      </w:pPr>
      <w:r>
        <w:t xml:space="preserve">Collection of prices data  </w:t>
      </w:r>
    </w:p>
    <w:p>
      <w:pPr>
        <w:spacing w:before="40"/>
        <w:ind w:firstLine="720"/>
        <w:jc w:val="both"/>
        <w:rPr>
          <w:rFonts w:ascii="Arial" w:hAnsi="Arial"/>
          <w:sz w:val="18"/>
        </w:rPr>
      </w:pPr>
      <w:r>
        <w:rPr>
          <w:rFonts w:ascii="Arial" w:hAnsi="Arial"/>
          <w:sz w:val="18"/>
        </w:rPr>
        <w:t xml:space="preserve">Majority of prices is collected in the field, by visiting the shops in the selected towns. Price collectors, full – time employees of the Republican Statistical Office, visit these shops every month, according to the defined plan of prices collection and collect the prices referring to the representative list of goods and services. Method of selection of products and shops is defined by the methodology and it provides comparability of prices in time, but not the territorial comparability of price levels by towns, where the prices are recorded. </w:t>
      </w:r>
    </w:p>
    <w:p>
      <w:pPr>
        <w:spacing w:before="40"/>
        <w:ind w:firstLine="720"/>
        <w:jc w:val="both"/>
        <w:rPr>
          <w:rFonts w:ascii="Arial" w:hAnsi="Arial"/>
          <w:sz w:val="18"/>
        </w:rPr>
      </w:pPr>
      <w:r>
        <w:rPr>
          <w:rFonts w:ascii="Arial" w:hAnsi="Arial"/>
          <w:sz w:val="18"/>
        </w:rPr>
        <w:t>Prices of approximately 10 % of products and services (prices that are controlled by the Republic or prices that are the same on the whole territory) are collected in centralized manner, by phone, via the Internet or by particular reports provided by enterprises and sent to the Republican Statistical Office. For the products and services of this group, the valid prices are those as of the 15</w:t>
      </w:r>
      <w:r>
        <w:rPr>
          <w:rFonts w:ascii="Arial" w:hAnsi="Arial"/>
          <w:sz w:val="18"/>
          <w:vertAlign w:val="superscript"/>
        </w:rPr>
        <w:t>th</w:t>
      </w:r>
      <w:r>
        <w:rPr>
          <w:rFonts w:ascii="Arial" w:hAnsi="Arial"/>
          <w:sz w:val="18"/>
        </w:rPr>
        <w:t xml:space="preserve"> of the month.   </w:t>
      </w:r>
    </w:p>
    <w:p>
      <w:pPr>
        <w:pStyle w:val="P2"/>
        <w:spacing w:before="40"/>
      </w:pPr>
      <w:r>
        <w:t xml:space="preserve">Weights </w:t>
      </w:r>
    </w:p>
    <w:p>
      <w:pPr>
        <w:spacing w:before="40"/>
        <w:ind w:firstLine="720"/>
        <w:jc w:val="both"/>
        <w:rPr>
          <w:rFonts w:ascii="Arial" w:hAnsi="Arial"/>
          <w:sz w:val="18"/>
        </w:rPr>
      </w:pPr>
      <w:r>
        <w:rPr>
          <w:rFonts w:ascii="Arial" w:hAnsi="Arial"/>
          <w:sz w:val="18"/>
        </w:rPr>
        <w:t xml:space="preserve">Weights present share of the selected goods and services in the overall consumption of the households. The main sources of weights are the Household Consumption Survey and structure of the final consumption of the households, taken from the Gross Domestic Product. When calculating consumers’ prices index for 2007, consumption structure of 2005, revised by prices growth in 2006, is used.  </w:t>
      </w:r>
    </w:p>
    <w:p>
      <w:pPr>
        <w:pStyle w:val="P2"/>
        <w:spacing w:before="40"/>
      </w:pPr>
      <w:r>
        <w:t xml:space="preserve">Classification </w:t>
      </w:r>
    </w:p>
    <w:p>
      <w:pPr>
        <w:spacing w:before="40"/>
        <w:ind w:firstLine="720"/>
        <w:jc w:val="both"/>
        <w:rPr>
          <w:rFonts w:ascii="Arial" w:hAnsi="Arial"/>
          <w:sz w:val="18"/>
        </w:rPr>
      </w:pPr>
      <w:r>
        <w:rPr>
          <w:rFonts w:ascii="Arial" w:hAnsi="Arial"/>
          <w:sz w:val="18"/>
        </w:rPr>
        <w:t xml:space="preserve">For calculation of consumers’ prices index, we use the Classification of goods and services of individual consumption by purpose, adjusted to the requirements of Harmonized Price Index calculation (Classification of Individual Consumption by Purpose, COICOP HICP). </w:t>
      </w:r>
    </w:p>
    <w:p>
      <w:pPr>
        <w:pStyle w:val="P2"/>
        <w:spacing w:before="40"/>
      </w:pPr>
      <w:r>
        <w:t xml:space="preserve">Calculation of average monthly price </w:t>
      </w:r>
    </w:p>
    <w:p>
      <w:pPr>
        <w:spacing w:before="40"/>
        <w:ind w:firstLine="720"/>
        <w:jc w:val="both"/>
        <w:rPr>
          <w:rFonts w:ascii="Arial" w:hAnsi="Arial"/>
          <w:sz w:val="18"/>
        </w:rPr>
      </w:pPr>
      <w:r>
        <w:rPr>
          <w:rFonts w:ascii="Arial" w:hAnsi="Arial"/>
          <w:sz w:val="18"/>
        </w:rPr>
        <w:t xml:space="preserve">Average monthly price of a product is first calculated at the town level, then at the level of the territory of Central Serbia and Autonomous Province of Vojvodina and finally at the level for the Republic of Serbia. Referring to the town level, simple geometrical mean of the collected prices is used, while referring to the level of territories, we use weighted geometrical mean of the average prices by towns. Average monthly price for the Republic of Serbia is weighted geometrical mean of the average prices of the territories.  </w:t>
      </w:r>
    </w:p>
    <w:p>
      <w:pPr>
        <w:pStyle w:val="P2"/>
        <w:spacing w:before="40"/>
      </w:pPr>
      <w:r>
        <w:t>Index computation</w:t>
      </w:r>
    </w:p>
    <w:p>
      <w:pPr>
        <w:spacing w:before="40"/>
        <w:ind w:firstLine="720"/>
        <w:jc w:val="both"/>
        <w:rPr>
          <w:rFonts w:ascii="Arial" w:hAnsi="Arial"/>
          <w:sz w:val="18"/>
        </w:rPr>
      </w:pPr>
      <w:r>
        <w:rPr>
          <w:rFonts w:ascii="Arial" w:hAnsi="Arial"/>
          <w:sz w:val="18"/>
        </w:rPr>
        <w:t xml:space="preserve">Monthly base index of a product is computed as relation between average monthly price and base price, which is, referring to calculation of consumers’ price index, average annual price of the previous year.  </w:t>
      </w:r>
    </w:p>
    <w:p>
      <w:pPr>
        <w:spacing w:before="40"/>
        <w:ind w:firstLine="720"/>
        <w:jc w:val="both"/>
        <w:rPr>
          <w:rFonts w:ascii="Arial" w:hAnsi="Arial"/>
          <w:sz w:val="18"/>
        </w:rPr>
      </w:pPr>
      <w:r>
        <w:rPr>
          <w:rFonts w:ascii="Arial" w:hAnsi="Arial"/>
          <w:sz w:val="18"/>
        </w:rPr>
        <w:t xml:space="preserve">For computation of monthly base indices at higher levels of aggregating, Laspeyre’s formula is applied. </w:t>
      </w: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666750" cy="49466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666750" cy="494665"/>
                    </a:xfrm>
                    <a:prstGeom prst="rect"/>
                    <a:noFill/>
                  </pic:spPr>
                </pic:pic>
              </a:graphicData>
            </a:graphic>
          </wp:inline>
        </w:drawing>
      </w:r>
      <w:r>
        <w:rPr>
          <w:rFonts w:ascii="Times New Roman" w:hAnsi="Times New Roman"/>
          <w:sz w:val="18"/>
        </w:rPr>
        <w:fldChar w:fldCharType="end"/>
      </w:r>
      <w:r>
        <w:rPr>
          <w:rFonts w:ascii="Arial" w:hAnsi="Arial"/>
          <w:sz w:val="18"/>
        </w:rPr>
        <w:t xml:space="preserve">, </w:t>
      </w:r>
    </w:p>
    <w:p>
      <w:pPr>
        <w:spacing w:before="40"/>
        <w:ind w:firstLine="720"/>
        <w:jc w:val="both"/>
        <w:rPr>
          <w:rFonts w:ascii="Arial" w:hAnsi="Arial"/>
          <w:sz w:val="18"/>
        </w:rPr>
      </w:pPr>
      <w:r>
        <w:rPr>
          <w:rFonts w:ascii="Arial" w:hAnsi="Arial"/>
          <w:sz w:val="18"/>
        </w:rPr>
        <w:t xml:space="preserve"> where </w:t>
      </w: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200660" cy="22860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200660" cy="228600"/>
                    </a:xfrm>
                    <a:prstGeom prst="rect"/>
                    <a:noFill/>
                  </pic:spPr>
                </pic:pic>
              </a:graphicData>
            </a:graphic>
          </wp:inline>
        </w:drawing>
      </w:r>
      <w:r>
        <w:rPr>
          <w:rFonts w:ascii="Times New Roman" w:hAnsi="Times New Roman"/>
          <w:sz w:val="18"/>
        </w:rPr>
        <w:fldChar w:fldCharType="end"/>
      </w:r>
      <w:r>
        <w:rPr>
          <w:rFonts w:ascii="Arial" w:hAnsi="Arial"/>
          <w:sz w:val="18"/>
        </w:rPr>
        <w:t xml:space="preserve"> presents weight, and </w:t>
      </w: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221615" cy="25336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221615" cy="253365"/>
                    </a:xfrm>
                    <a:prstGeom prst="rect"/>
                    <a:noFill/>
                  </pic:spPr>
                </pic:pic>
              </a:graphicData>
            </a:graphic>
          </wp:inline>
        </w:drawing>
      </w:r>
      <w:r>
        <w:rPr>
          <w:rFonts w:ascii="Times New Roman" w:hAnsi="Times New Roman"/>
          <w:sz w:val="18"/>
        </w:rPr>
        <w:fldChar w:fldCharType="end"/>
      </w:r>
      <w:r>
        <w:rPr>
          <w:rFonts w:ascii="Arial" w:hAnsi="Arial"/>
          <w:sz w:val="18"/>
        </w:rPr>
        <w:t xml:space="preserve"> is individual base monthly index of the product k. </w:t>
      </w:r>
    </w:p>
    <w:p>
      <w:pPr>
        <w:pStyle w:val="P2"/>
      </w:pPr>
    </w:p>
    <w:p>
      <w:pPr>
        <w:pStyle w:val="P2"/>
      </w:pPr>
      <w:r>
        <w:t xml:space="preserve">Publishing of the data </w:t>
      </w:r>
    </w:p>
    <w:p>
      <w:pPr>
        <w:spacing w:before="120" w:after="100" w:afterAutospacing="1"/>
        <w:ind w:firstLine="720"/>
        <w:jc w:val="both"/>
        <w:rPr>
          <w:rFonts w:ascii="Arial" w:hAnsi="Arial"/>
          <w:sz w:val="20"/>
        </w:rPr>
      </w:pPr>
      <w:r>
        <w:rPr>
          <w:rFonts w:ascii="Arial" w:hAnsi="Arial"/>
          <w:sz w:val="18"/>
        </w:rPr>
        <w:t>Data are published on the 15</w:t>
      </w:r>
      <w:r>
        <w:rPr>
          <w:rFonts w:ascii="Arial" w:hAnsi="Arial"/>
          <w:sz w:val="18"/>
          <w:vertAlign w:val="superscript"/>
        </w:rPr>
        <w:t>th</w:t>
      </w:r>
      <w:r>
        <w:rPr>
          <w:rFonts w:ascii="Arial" w:hAnsi="Arial"/>
          <w:sz w:val="18"/>
        </w:rPr>
        <w:t xml:space="preserve"> of a month, referring to the previous month, in the edition of Communications, marked with CN11, as well as on the Internet site of the Statistical Office of the Republic of Serbia. </w:t>
      </w:r>
    </w:p>
    <w:p>
      <w:pPr>
        <w:spacing w:before="120" w:after="100" w:afterAutospacing="1"/>
        <w:jc w:val="both"/>
        <w:rPr>
          <w:rFonts w:ascii="Arial" w:hAnsi="Arial"/>
          <w:sz w:val="20"/>
        </w:rPr>
      </w:pPr>
    </w:p>
    <w:p>
      <w:pPr>
        <w:pBdr>
          <w:top w:val="single" w:sz="4" w:space="0" w:shadow="0" w:frame="0"/>
          <w:left w:val="single" w:sz="4" w:space="0" w:shadow="0" w:frame="0"/>
          <w:bottom w:val="single" w:sz="4" w:space="0" w:shadow="0" w:frame="0"/>
          <w:right w:val="single" w:sz="4" w:space="0" w:shadow="0" w:frame="0"/>
        </w:pBdr>
        <w:jc w:val="center"/>
        <w:rPr>
          <w:rFonts w:ascii="Arial" w:hAnsi="Arial"/>
          <w:sz w:val="20"/>
        </w:rPr>
      </w:pPr>
      <w:r>
        <w:rPr>
          <w:rFonts w:ascii="Arial" w:hAnsi="Arial"/>
          <w:sz w:val="20"/>
        </w:rPr>
        <w:t xml:space="preserve">Published and printed by: Statistical Office of the Republic of Serbia, Milana Rakica 5, Belgrade </w:t>
        <w:br w:type="textWrapping"/>
        <w:t>Phone: 2412-922 • Fax: 2411-260 • www.statserb.sr.gov.yu</w:t>
        <w:br w:type="textWrapping"/>
        <w:t xml:space="preserve">Responsible: Dragan Vukmirovic, PhD, Director </w:t>
        <w:br w:type="textWrapping"/>
        <w:t>Circulation: 200 ● Issued monthly</w:t>
      </w: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134" w:right="1134" w:top="1134" w:bottom="1134"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pBdr>
        <w:top w:val="single" w:sz="4" w:space="0" w:shadow="0" w:frame="0"/>
      </w:pBdr>
      <w:tabs>
        <w:tab w:val="clear" w:pos="8640" w:leader="none"/>
        <w:tab w:val="right" w:pos="9636" w:leader="none"/>
        <w:tab w:val="right" w:pos="10206" w:leader="none"/>
      </w:tabs>
      <w:rPr>
        <w:rFonts w:ascii="Arial" w:hAnsi="Arial"/>
        <w:sz w:val="16"/>
      </w:rPr>
    </w:pPr>
    <w:r>
      <w:fldChar w:fldCharType="begin"/>
    </w:r>
    <w:r>
      <w:rPr>
        <w:rStyle w:val="C4"/>
        <w:rFonts w:ascii="Arial" w:hAnsi="Arial"/>
        <w:sz w:val="16"/>
      </w:rPr>
      <w:instrText xml:space="preserve"> MERGEFIELD oznaka </w:instrText>
    </w:r>
    <w:r>
      <w:rPr>
        <w:rStyle w:val="C4"/>
        <w:rFonts w:ascii="Arial" w:hAnsi="Arial"/>
        <w:sz w:val="16"/>
      </w:rPr>
      <w:fldChar w:fldCharType="separate"/>
    </w:r>
    <w:r>
      <w:rPr>
        <w:rStyle w:val="C4"/>
        <w:rFonts w:ascii="Arial" w:hAnsi="Arial"/>
        <w:sz w:val="16"/>
      </w:rPr>
      <w:t>«oznaka»</w:t>
    </w:r>
    <w:r>
      <w:rPr>
        <w:rStyle w:val="C4"/>
        <w:rFonts w:ascii="Arial" w:hAnsi="Arial"/>
        <w:sz w:val="16"/>
      </w:rPr>
      <w:fldChar w:fldCharType="end"/>
    </w:r>
    <w:r>
      <w:rPr>
        <w:rFonts w:ascii="Arial" w:hAnsi="Arial"/>
        <w:sz w:val="16"/>
      </w:rPr>
      <w:tab/>
    </w:r>
    <w:r>
      <w:rPr>
        <w:rStyle w:val="C4"/>
        <w:rFonts w:ascii="Arial" w:hAnsi="Arial"/>
        <w:sz w:val="16"/>
      </w:rPr>
      <w:tab/>
    </w:r>
    <w:r>
      <w:rPr>
        <w:rStyle w:val="C4"/>
        <w:rFonts w:ascii="Arial" w:hAnsi="Arial"/>
        <w:sz w:val="16"/>
      </w:rP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pBdr>
        <w:top w:val="single" w:sz="4" w:space="0" w:shadow="0" w:frame="0"/>
      </w:pBdr>
      <w:tabs>
        <w:tab w:val="clear" w:pos="8640" w:leader="none"/>
        <w:tab w:val="right" w:pos="9624"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SERB 160 CN11 160608</w:t>
      <w:tab/>
    </w:r>
  </w:p>
</w:ftr>
</file>

<file path=word/numbering.xml><?xml version="1.0" encoding="utf-8"?>
<w:numbering xmlns:w="http://schemas.openxmlformats.org/wordprocessingml/2006/main">
  <w:abstractNum w:abstractNumId="0">
    <w:nsid w:val="049322F7"/>
    <w:multiLevelType w:val="hybridMultilevel"/>
    <w:lvl w:ilvl="0" w:tplc="314D4B02">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360"/>
        <w:tabs>
          <w:tab w:val="left" w:pos="360" w:leader="none"/>
        </w:tabs>
      </w:pPr>
      <w:rPr/>
    </w:lvl>
    <w:lvl w:ilvl="2" w:tplc="33473744">
      <w:start w:val="1"/>
      <w:numFmt w:val="bullet"/>
      <w:suff w:val="tab"/>
      <w:lvlText w:val=""/>
      <w:lvlJc w:val="left"/>
      <w:pPr>
        <w:ind w:hanging="360" w:left="540"/>
        <w:tabs>
          <w:tab w:val="left" w:pos="540" w:leader="none"/>
        </w:tabs>
      </w:pPr>
      <w:rPr>
        <w:rFonts w:ascii="Symbol" w:hAnsi="Symbol"/>
      </w:rPr>
    </w:lvl>
    <w:lvl w:ilvl="3" w:tplc="625DE8AD">
      <w:start w:val="1"/>
      <w:numFmt w:val="bullet"/>
      <w:suff w:val="tab"/>
      <w:lvlText w:val=""/>
      <w:lvlJc w:val="left"/>
      <w:pPr>
        <w:ind w:hanging="360" w:left="2880"/>
        <w:tabs>
          <w:tab w:val="left" w:pos="2880" w:leader="none"/>
        </w:tabs>
      </w:pPr>
      <w:rPr>
        <w:rFonts w:ascii="Symbol" w:hAnsi="Symbol"/>
      </w:rPr>
    </w:lvl>
    <w:lvl w:ilvl="4" w:tplc="0740D301">
      <w:start w:val="1"/>
      <w:numFmt w:val="bullet"/>
      <w:suff w:val="tab"/>
      <w:lvlText w:val="o"/>
      <w:lvlJc w:val="left"/>
      <w:pPr>
        <w:ind w:hanging="360" w:left="3600"/>
        <w:tabs>
          <w:tab w:val="left" w:pos="3600" w:leader="none"/>
        </w:tabs>
      </w:pPr>
      <w:rPr>
        <w:rFonts w:ascii="Courier New" w:hAnsi="Courier New"/>
      </w:rPr>
    </w:lvl>
    <w:lvl w:ilvl="5" w:tplc="07289751">
      <w:start w:val="1"/>
      <w:numFmt w:val="bullet"/>
      <w:suff w:val="tab"/>
      <w:lvlText w:val=""/>
      <w:lvlJc w:val="left"/>
      <w:pPr>
        <w:ind w:hanging="360" w:left="4320"/>
        <w:tabs>
          <w:tab w:val="left" w:pos="4320" w:leader="none"/>
        </w:tabs>
      </w:pPr>
      <w:rPr>
        <w:rFonts w:ascii="Wingdings" w:hAnsi="Wingdings"/>
      </w:rPr>
    </w:lvl>
    <w:lvl w:ilvl="6" w:tplc="1B4E8CF2">
      <w:start w:val="1"/>
      <w:numFmt w:val="bullet"/>
      <w:suff w:val="tab"/>
      <w:lvlText w:val=""/>
      <w:lvlJc w:val="left"/>
      <w:pPr>
        <w:ind w:hanging="360" w:left="5040"/>
        <w:tabs>
          <w:tab w:val="left" w:pos="5040" w:leader="none"/>
        </w:tabs>
      </w:pPr>
      <w:rPr>
        <w:rFonts w:ascii="Symbol" w:hAnsi="Symbol"/>
      </w:rPr>
    </w:lvl>
    <w:lvl w:ilvl="7" w:tplc="1340EE97">
      <w:start w:val="1"/>
      <w:numFmt w:val="bullet"/>
      <w:suff w:val="tab"/>
      <w:lvlText w:val="o"/>
      <w:lvlJc w:val="left"/>
      <w:pPr>
        <w:ind w:hanging="360" w:left="5760"/>
        <w:tabs>
          <w:tab w:val="left" w:pos="5760" w:leader="none"/>
        </w:tabs>
      </w:pPr>
      <w:rPr>
        <w:rFonts w:ascii="Courier New" w:hAnsi="Courier New"/>
      </w:rPr>
    </w:lvl>
    <w:lvl w:ilvl="8" w:tplc="5E303D7C">
      <w:start w:val="1"/>
      <w:numFmt w:val="bullet"/>
      <w:suff w:val="tab"/>
      <w:lvlText w:val=""/>
      <w:lvlJc w:val="left"/>
      <w:pPr>
        <w:ind w:hanging="360" w:left="6480"/>
        <w:tabs>
          <w:tab w:val="left" w:pos="6480" w:leader="none"/>
        </w:tabs>
      </w:pPr>
      <w:rPr>
        <w:rFonts w:ascii="Wingdings" w:hAnsi="Wingdings"/>
      </w:rPr>
    </w:lvl>
  </w:abstractNum>
  <w:abstractNum w:abstractNumId="1">
    <w:nsid w:val="060A60D5"/>
    <w:multiLevelType w:val="hybridMultilevel"/>
    <w:lvl w:ilvl="0" w:tplc="43EFB7F5">
      <w:start w:val="1"/>
      <w:numFmt w:val="bullet"/>
      <w:suff w:val="tab"/>
      <w:lvlText w:val=""/>
      <w:lvlJc w:val="left"/>
      <w:pPr>
        <w:ind w:hanging="227" w:left="794"/>
        <w:tabs>
          <w:tab w:val="left" w:pos="794" w:leader="none"/>
        </w:tabs>
      </w:pPr>
      <w:rPr>
        <w:rFonts w:ascii="Symbol" w:hAnsi="Symbol"/>
      </w:rPr>
    </w:lvl>
    <w:lvl w:ilvl="1" w:tplc="6EED430E">
      <w:start w:val="1"/>
      <w:numFmt w:val="bullet"/>
      <w:suff w:val="tab"/>
      <w:lvlText w:val="o"/>
      <w:lvlJc w:val="left"/>
      <w:pPr>
        <w:ind w:hanging="360" w:left="2160"/>
        <w:tabs>
          <w:tab w:val="left" w:pos="2160" w:leader="none"/>
        </w:tabs>
      </w:pPr>
      <w:rPr>
        <w:rFonts w:ascii="Courier New" w:hAnsi="Courier New"/>
      </w:rPr>
    </w:lvl>
    <w:lvl w:ilvl="2" w:tplc="248DFB35">
      <w:start w:val="1"/>
      <w:numFmt w:val="bullet"/>
      <w:suff w:val="tab"/>
      <w:lvlText w:val=""/>
      <w:lvlJc w:val="left"/>
      <w:pPr>
        <w:ind w:hanging="360" w:left="2880"/>
        <w:tabs>
          <w:tab w:val="left" w:pos="2880" w:leader="none"/>
        </w:tabs>
      </w:pPr>
      <w:rPr>
        <w:rFonts w:ascii="Wingdings" w:hAnsi="Wingdings"/>
      </w:rPr>
    </w:lvl>
    <w:lvl w:ilvl="3" w:tplc="7882610A">
      <w:start w:val="1"/>
      <w:numFmt w:val="bullet"/>
      <w:suff w:val="tab"/>
      <w:lvlText w:val=""/>
      <w:lvlJc w:val="left"/>
      <w:pPr>
        <w:ind w:hanging="360" w:left="3600"/>
        <w:tabs>
          <w:tab w:val="left" w:pos="3600" w:leader="none"/>
        </w:tabs>
      </w:pPr>
      <w:rPr>
        <w:rFonts w:ascii="Symbol" w:hAnsi="Symbol"/>
      </w:rPr>
    </w:lvl>
    <w:lvl w:ilvl="4" w:tplc="4856B5DD">
      <w:start w:val="1"/>
      <w:numFmt w:val="bullet"/>
      <w:suff w:val="tab"/>
      <w:lvlText w:val="o"/>
      <w:lvlJc w:val="left"/>
      <w:pPr>
        <w:ind w:hanging="360" w:left="4320"/>
        <w:tabs>
          <w:tab w:val="left" w:pos="4320" w:leader="none"/>
        </w:tabs>
      </w:pPr>
      <w:rPr>
        <w:rFonts w:ascii="Courier New" w:hAnsi="Courier New"/>
      </w:rPr>
    </w:lvl>
    <w:lvl w:ilvl="5" w:tplc="6FB1E3B1">
      <w:start w:val="1"/>
      <w:numFmt w:val="bullet"/>
      <w:suff w:val="tab"/>
      <w:lvlText w:val=""/>
      <w:lvlJc w:val="left"/>
      <w:pPr>
        <w:ind w:hanging="360" w:left="5040"/>
        <w:tabs>
          <w:tab w:val="left" w:pos="5040" w:leader="none"/>
        </w:tabs>
      </w:pPr>
      <w:rPr>
        <w:rFonts w:ascii="Wingdings" w:hAnsi="Wingdings"/>
      </w:rPr>
    </w:lvl>
    <w:lvl w:ilvl="6" w:tplc="5519F1B9">
      <w:start w:val="1"/>
      <w:numFmt w:val="bullet"/>
      <w:suff w:val="tab"/>
      <w:lvlText w:val=""/>
      <w:lvlJc w:val="left"/>
      <w:pPr>
        <w:ind w:hanging="360" w:left="5760"/>
        <w:tabs>
          <w:tab w:val="left" w:pos="5760" w:leader="none"/>
        </w:tabs>
      </w:pPr>
      <w:rPr>
        <w:rFonts w:ascii="Symbol" w:hAnsi="Symbol"/>
      </w:rPr>
    </w:lvl>
    <w:lvl w:ilvl="7" w:tplc="09669161">
      <w:start w:val="1"/>
      <w:numFmt w:val="bullet"/>
      <w:suff w:val="tab"/>
      <w:lvlText w:val="o"/>
      <w:lvlJc w:val="left"/>
      <w:pPr>
        <w:ind w:hanging="360" w:left="6480"/>
        <w:tabs>
          <w:tab w:val="left" w:pos="6480" w:leader="none"/>
        </w:tabs>
      </w:pPr>
      <w:rPr>
        <w:rFonts w:ascii="Courier New" w:hAnsi="Courier New"/>
      </w:rPr>
    </w:lvl>
    <w:lvl w:ilvl="8" w:tplc="3AE7ED9D">
      <w:start w:val="1"/>
      <w:numFmt w:val="bullet"/>
      <w:suff w:val="tab"/>
      <w:lvlText w:val=""/>
      <w:lvlJc w:val="left"/>
      <w:pPr>
        <w:ind w:hanging="360" w:left="7200"/>
        <w:tabs>
          <w:tab w:val="left" w:pos="7200" w:leader="none"/>
        </w:tabs>
      </w:pPr>
      <w:rPr>
        <w:rFonts w:ascii="Wingdings" w:hAnsi="Wingdings"/>
      </w:rPr>
    </w:lvl>
  </w:abstractNum>
  <w:abstractNum w:abstractNumId="2">
    <w:nsid w:val="14105CA9"/>
    <w:multiLevelType w:val="multilevel"/>
    <w:lvl w:ilvl="0">
      <w:start w:val="1"/>
      <w:numFmt w:val="decimal"/>
      <w:suff w:val="tab"/>
      <w:lvlText w:val="%1.     "/>
      <w:lvlJc w:val="left"/>
      <w:pPr>
        <w:ind w:firstLine="0" w:left="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162A0200"/>
    <w:multiLevelType w:val="hybridMultilevel"/>
    <w:lvl w:ilvl="0" w:tplc="7F924A28">
      <w:start w:val="1"/>
      <w:numFmt w:val="bullet"/>
      <w:suff w:val="tab"/>
      <w:lvlText w:val=""/>
      <w:lvlJc w:val="left"/>
      <w:pPr>
        <w:ind w:hanging="57" w:left="624"/>
        <w:tabs>
          <w:tab w:val="left" w:pos="1137" w:leader="none"/>
        </w:tabs>
      </w:pPr>
      <w:rPr>
        <w:rFonts w:ascii="Symbol" w:hAnsi="Symbol"/>
      </w:rPr>
    </w:lvl>
    <w:lvl w:ilvl="1" w:tplc="2AB325D8">
      <w:start w:val="1"/>
      <w:numFmt w:val="bullet"/>
      <w:suff w:val="tab"/>
      <w:lvlText w:val="o"/>
      <w:lvlJc w:val="left"/>
      <w:pPr>
        <w:ind w:hanging="360" w:left="2160"/>
        <w:tabs>
          <w:tab w:val="left" w:pos="2160" w:leader="none"/>
        </w:tabs>
      </w:pPr>
      <w:rPr>
        <w:rFonts w:ascii="Courier New" w:hAnsi="Courier New"/>
      </w:rPr>
    </w:lvl>
    <w:lvl w:ilvl="2" w:tplc="2AE4727B">
      <w:start w:val="1"/>
      <w:numFmt w:val="bullet"/>
      <w:suff w:val="tab"/>
      <w:lvlText w:val=""/>
      <w:lvlJc w:val="left"/>
      <w:pPr>
        <w:ind w:hanging="360" w:left="2880"/>
        <w:tabs>
          <w:tab w:val="left" w:pos="2880" w:leader="none"/>
        </w:tabs>
      </w:pPr>
      <w:rPr>
        <w:rFonts w:ascii="Wingdings" w:hAnsi="Wingdings"/>
      </w:rPr>
    </w:lvl>
    <w:lvl w:ilvl="3" w:tplc="1452DFCF">
      <w:start w:val="1"/>
      <w:numFmt w:val="bullet"/>
      <w:suff w:val="tab"/>
      <w:lvlText w:val=""/>
      <w:lvlJc w:val="left"/>
      <w:pPr>
        <w:ind w:hanging="360" w:left="3600"/>
        <w:tabs>
          <w:tab w:val="left" w:pos="3600" w:leader="none"/>
        </w:tabs>
      </w:pPr>
      <w:rPr>
        <w:rFonts w:ascii="Symbol" w:hAnsi="Symbol"/>
      </w:rPr>
    </w:lvl>
    <w:lvl w:ilvl="4" w:tplc="72A1BA18">
      <w:start w:val="1"/>
      <w:numFmt w:val="bullet"/>
      <w:suff w:val="tab"/>
      <w:lvlText w:val="o"/>
      <w:lvlJc w:val="left"/>
      <w:pPr>
        <w:ind w:hanging="360" w:left="4320"/>
        <w:tabs>
          <w:tab w:val="left" w:pos="4320" w:leader="none"/>
        </w:tabs>
      </w:pPr>
      <w:rPr>
        <w:rFonts w:ascii="Courier New" w:hAnsi="Courier New"/>
      </w:rPr>
    </w:lvl>
    <w:lvl w:ilvl="5" w:tplc="26E73D31">
      <w:start w:val="1"/>
      <w:numFmt w:val="bullet"/>
      <w:suff w:val="tab"/>
      <w:lvlText w:val=""/>
      <w:lvlJc w:val="left"/>
      <w:pPr>
        <w:ind w:hanging="360" w:left="5040"/>
        <w:tabs>
          <w:tab w:val="left" w:pos="5040" w:leader="none"/>
        </w:tabs>
      </w:pPr>
      <w:rPr>
        <w:rFonts w:ascii="Wingdings" w:hAnsi="Wingdings"/>
      </w:rPr>
    </w:lvl>
    <w:lvl w:ilvl="6" w:tplc="6973DF61">
      <w:start w:val="1"/>
      <w:numFmt w:val="bullet"/>
      <w:suff w:val="tab"/>
      <w:lvlText w:val=""/>
      <w:lvlJc w:val="left"/>
      <w:pPr>
        <w:ind w:hanging="360" w:left="5760"/>
        <w:tabs>
          <w:tab w:val="left" w:pos="5760" w:leader="none"/>
        </w:tabs>
      </w:pPr>
      <w:rPr>
        <w:rFonts w:ascii="Symbol" w:hAnsi="Symbol"/>
      </w:rPr>
    </w:lvl>
    <w:lvl w:ilvl="7" w:tplc="0CECEB9F">
      <w:start w:val="1"/>
      <w:numFmt w:val="bullet"/>
      <w:suff w:val="tab"/>
      <w:lvlText w:val="o"/>
      <w:lvlJc w:val="left"/>
      <w:pPr>
        <w:ind w:hanging="360" w:left="6480"/>
        <w:tabs>
          <w:tab w:val="left" w:pos="6480" w:leader="none"/>
        </w:tabs>
      </w:pPr>
      <w:rPr>
        <w:rFonts w:ascii="Courier New" w:hAnsi="Courier New"/>
      </w:rPr>
    </w:lvl>
    <w:lvl w:ilvl="8" w:tplc="69EFB367">
      <w:start w:val="1"/>
      <w:numFmt w:val="bullet"/>
      <w:suff w:val="tab"/>
      <w:lvlText w:val=""/>
      <w:lvlJc w:val="left"/>
      <w:pPr>
        <w:ind w:hanging="360" w:left="7200"/>
        <w:tabs>
          <w:tab w:val="left" w:pos="7200" w:leader="none"/>
        </w:tabs>
      </w:pPr>
      <w:rPr>
        <w:rFonts w:ascii="Wingdings" w:hAnsi="Wingdings"/>
      </w:rPr>
    </w:lvl>
  </w:abstractNum>
  <w:abstractNum w:abstractNumId="4">
    <w:nsid w:val="28FE49B9"/>
    <w:multiLevelType w:val="hybridMultilevel"/>
    <w:lvl w:ilvl="0" w:tplc="78C77AA5">
      <w:start w:val="0"/>
      <w:numFmt w:val="bullet"/>
      <w:suff w:val="tab"/>
      <w:lvlText w:val="-"/>
      <w:lvlJc w:val="left"/>
      <w:pPr>
        <w:ind w:hanging="360" w:left="1440"/>
        <w:tabs>
          <w:tab w:val="left" w:pos="1440" w:leader="none"/>
        </w:tabs>
      </w:pPr>
      <w:rPr>
        <w:rFonts w:ascii="Times New Roman" w:hAnsi="Times New Roman"/>
      </w:rPr>
    </w:lvl>
    <w:lvl w:ilvl="1" w:tplc="1C483AAF">
      <w:start w:val="1"/>
      <w:numFmt w:val="bullet"/>
      <w:suff w:val="tab"/>
      <w:lvlText w:val="o"/>
      <w:lvlJc w:val="left"/>
      <w:pPr>
        <w:ind w:hanging="360" w:left="2160"/>
        <w:tabs>
          <w:tab w:val="left" w:pos="2160" w:leader="none"/>
        </w:tabs>
      </w:pPr>
      <w:rPr>
        <w:rFonts w:ascii="Courier New" w:hAnsi="Courier New"/>
      </w:rPr>
    </w:lvl>
    <w:lvl w:ilvl="2" w:tplc="3A7C2D7C">
      <w:start w:val="1"/>
      <w:numFmt w:val="bullet"/>
      <w:suff w:val="tab"/>
      <w:lvlText w:val=""/>
      <w:lvlJc w:val="left"/>
      <w:pPr>
        <w:ind w:hanging="360" w:left="2880"/>
        <w:tabs>
          <w:tab w:val="left" w:pos="2880" w:leader="none"/>
        </w:tabs>
      </w:pPr>
      <w:rPr>
        <w:rFonts w:ascii="Wingdings" w:hAnsi="Wingdings"/>
      </w:rPr>
    </w:lvl>
    <w:lvl w:ilvl="3" w:tplc="26969286">
      <w:start w:val="1"/>
      <w:numFmt w:val="bullet"/>
      <w:suff w:val="tab"/>
      <w:lvlText w:val=""/>
      <w:lvlJc w:val="left"/>
      <w:pPr>
        <w:ind w:hanging="360" w:left="3600"/>
        <w:tabs>
          <w:tab w:val="left" w:pos="3600" w:leader="none"/>
        </w:tabs>
      </w:pPr>
      <w:rPr>
        <w:rFonts w:ascii="Symbol" w:hAnsi="Symbol"/>
      </w:rPr>
    </w:lvl>
    <w:lvl w:ilvl="4" w:tplc="60290EF2">
      <w:start w:val="1"/>
      <w:numFmt w:val="bullet"/>
      <w:suff w:val="tab"/>
      <w:lvlText w:val="o"/>
      <w:lvlJc w:val="left"/>
      <w:pPr>
        <w:ind w:hanging="360" w:left="4320"/>
        <w:tabs>
          <w:tab w:val="left" w:pos="4320" w:leader="none"/>
        </w:tabs>
      </w:pPr>
      <w:rPr>
        <w:rFonts w:ascii="Courier New" w:hAnsi="Courier New"/>
      </w:rPr>
    </w:lvl>
    <w:lvl w:ilvl="5" w:tplc="783E68D1">
      <w:start w:val="1"/>
      <w:numFmt w:val="bullet"/>
      <w:suff w:val="tab"/>
      <w:lvlText w:val=""/>
      <w:lvlJc w:val="left"/>
      <w:pPr>
        <w:ind w:hanging="360" w:left="5040"/>
        <w:tabs>
          <w:tab w:val="left" w:pos="5040" w:leader="none"/>
        </w:tabs>
      </w:pPr>
      <w:rPr>
        <w:rFonts w:ascii="Wingdings" w:hAnsi="Wingdings"/>
      </w:rPr>
    </w:lvl>
    <w:lvl w:ilvl="6" w:tplc="1DB04378">
      <w:start w:val="1"/>
      <w:numFmt w:val="bullet"/>
      <w:suff w:val="tab"/>
      <w:lvlText w:val=""/>
      <w:lvlJc w:val="left"/>
      <w:pPr>
        <w:ind w:hanging="360" w:left="5760"/>
        <w:tabs>
          <w:tab w:val="left" w:pos="5760" w:leader="none"/>
        </w:tabs>
      </w:pPr>
      <w:rPr>
        <w:rFonts w:ascii="Symbol" w:hAnsi="Symbol"/>
      </w:rPr>
    </w:lvl>
    <w:lvl w:ilvl="7" w:tplc="67A1876E">
      <w:start w:val="1"/>
      <w:numFmt w:val="bullet"/>
      <w:suff w:val="tab"/>
      <w:lvlText w:val="o"/>
      <w:lvlJc w:val="left"/>
      <w:pPr>
        <w:ind w:hanging="360" w:left="6480"/>
        <w:tabs>
          <w:tab w:val="left" w:pos="6480" w:leader="none"/>
        </w:tabs>
      </w:pPr>
      <w:rPr>
        <w:rFonts w:ascii="Courier New" w:hAnsi="Courier New"/>
      </w:rPr>
    </w:lvl>
    <w:lvl w:ilvl="8" w:tplc="5D95AAFB">
      <w:start w:val="1"/>
      <w:numFmt w:val="bullet"/>
      <w:suff w:val="tab"/>
      <w:lvlText w:val=""/>
      <w:lvlJc w:val="left"/>
      <w:pPr>
        <w:ind w:hanging="360" w:left="7200"/>
        <w:tabs>
          <w:tab w:val="left" w:pos="7200" w:leader="none"/>
        </w:tabs>
      </w:pPr>
      <w:rPr>
        <w:rFonts w:ascii="Wingdings" w:hAnsi="Wingdings"/>
      </w:rPr>
    </w:lvl>
  </w:abstractNum>
  <w:abstractNum w:abstractNumId="5">
    <w:nsid w:val="39EE321F"/>
    <w:multiLevelType w:val="hybridMultilevel"/>
    <w:lvl w:ilvl="0" w:tplc="134C259E">
      <w:start w:val="1"/>
      <w:numFmt w:val="bullet"/>
      <w:suff w:val="tab"/>
      <w:lvlText w:val=""/>
      <w:lvlJc w:val="left"/>
      <w:pPr>
        <w:ind w:hanging="360" w:left="720"/>
        <w:tabs>
          <w:tab w:val="left" w:pos="720" w:leader="none"/>
        </w:tabs>
      </w:pPr>
      <w:rPr>
        <w:rFonts w:ascii="Symbol" w:hAnsi="Symbol"/>
      </w:rPr>
    </w:lvl>
    <w:lvl w:ilvl="1" w:tplc="4F711AA5">
      <w:start w:val="1"/>
      <w:numFmt w:val="bullet"/>
      <w:suff w:val="tab"/>
      <w:lvlText w:val="o"/>
      <w:lvlJc w:val="left"/>
      <w:pPr>
        <w:ind w:hanging="360" w:left="1800"/>
        <w:tabs>
          <w:tab w:val="left" w:pos="1800" w:leader="none"/>
        </w:tabs>
      </w:pPr>
      <w:rPr>
        <w:rFonts w:ascii="Courier New" w:hAnsi="Courier New"/>
      </w:rPr>
    </w:lvl>
    <w:lvl w:ilvl="2" w:tplc="3B7C1D27">
      <w:start w:val="1"/>
      <w:numFmt w:val="bullet"/>
      <w:suff w:val="tab"/>
      <w:lvlText w:val=""/>
      <w:lvlJc w:val="left"/>
      <w:pPr>
        <w:ind w:hanging="360" w:left="2520"/>
        <w:tabs>
          <w:tab w:val="left" w:pos="2520" w:leader="none"/>
        </w:tabs>
      </w:pPr>
      <w:rPr>
        <w:rFonts w:ascii="Wingdings" w:hAnsi="Wingdings"/>
      </w:rPr>
    </w:lvl>
    <w:lvl w:ilvl="3" w:tplc="6539F4E9">
      <w:start w:val="1"/>
      <w:numFmt w:val="bullet"/>
      <w:suff w:val="tab"/>
      <w:lvlText w:val=""/>
      <w:lvlJc w:val="left"/>
      <w:pPr>
        <w:ind w:hanging="360" w:left="3240"/>
        <w:tabs>
          <w:tab w:val="left" w:pos="3240" w:leader="none"/>
        </w:tabs>
      </w:pPr>
      <w:rPr>
        <w:rFonts w:ascii="Symbol" w:hAnsi="Symbol"/>
      </w:rPr>
    </w:lvl>
    <w:lvl w:ilvl="4" w:tplc="1BA49C19">
      <w:start w:val="1"/>
      <w:numFmt w:val="bullet"/>
      <w:suff w:val="tab"/>
      <w:lvlText w:val="o"/>
      <w:lvlJc w:val="left"/>
      <w:pPr>
        <w:ind w:hanging="360" w:left="3960"/>
        <w:tabs>
          <w:tab w:val="left" w:pos="3960" w:leader="none"/>
        </w:tabs>
      </w:pPr>
      <w:rPr>
        <w:rFonts w:ascii="Courier New" w:hAnsi="Courier New"/>
      </w:rPr>
    </w:lvl>
    <w:lvl w:ilvl="5" w:tplc="53EF4481">
      <w:start w:val="1"/>
      <w:numFmt w:val="bullet"/>
      <w:suff w:val="tab"/>
      <w:lvlText w:val=""/>
      <w:lvlJc w:val="left"/>
      <w:pPr>
        <w:ind w:hanging="360" w:left="4680"/>
        <w:tabs>
          <w:tab w:val="left" w:pos="4680" w:leader="none"/>
        </w:tabs>
      </w:pPr>
      <w:rPr>
        <w:rFonts w:ascii="Wingdings" w:hAnsi="Wingdings"/>
      </w:rPr>
    </w:lvl>
    <w:lvl w:ilvl="6" w:tplc="2529126E">
      <w:start w:val="1"/>
      <w:numFmt w:val="bullet"/>
      <w:suff w:val="tab"/>
      <w:lvlText w:val=""/>
      <w:lvlJc w:val="left"/>
      <w:pPr>
        <w:ind w:hanging="360" w:left="5400"/>
        <w:tabs>
          <w:tab w:val="left" w:pos="5400" w:leader="none"/>
        </w:tabs>
      </w:pPr>
      <w:rPr>
        <w:rFonts w:ascii="Symbol" w:hAnsi="Symbol"/>
      </w:rPr>
    </w:lvl>
    <w:lvl w:ilvl="7" w:tplc="60FDC5DE">
      <w:start w:val="1"/>
      <w:numFmt w:val="bullet"/>
      <w:suff w:val="tab"/>
      <w:lvlText w:val="o"/>
      <w:lvlJc w:val="left"/>
      <w:pPr>
        <w:ind w:hanging="360" w:left="6120"/>
        <w:tabs>
          <w:tab w:val="left" w:pos="6120" w:leader="none"/>
        </w:tabs>
      </w:pPr>
      <w:rPr>
        <w:rFonts w:ascii="Courier New" w:hAnsi="Courier New"/>
      </w:rPr>
    </w:lvl>
    <w:lvl w:ilvl="8" w:tplc="5ED2A676">
      <w:start w:val="1"/>
      <w:numFmt w:val="bullet"/>
      <w:suff w:val="tab"/>
      <w:lvlText w:val=""/>
      <w:lvlJc w:val="left"/>
      <w:pPr>
        <w:ind w:hanging="360" w:left="6840"/>
        <w:tabs>
          <w:tab w:val="left" w:pos="6840" w:leader="none"/>
        </w:tabs>
      </w:pPr>
      <w:rPr>
        <w:rFonts w:ascii="Wingdings" w:hAnsi="Wingdings"/>
      </w:rPr>
    </w:lvl>
  </w:abstractNum>
  <w:abstractNum w:abstractNumId="6">
    <w:nsid w:val="3CC340A6"/>
    <w:multiLevelType w:val="hybridMultilevel"/>
    <w:lvl w:ilvl="0" w:tplc="607A4DFC">
      <w:start w:val="1"/>
      <w:numFmt w:val="bullet"/>
      <w:suff w:val="tab"/>
      <w:lvlText w:val=""/>
      <w:lvlJc w:val="left"/>
      <w:pPr>
        <w:ind w:hanging="360" w:left="720"/>
        <w:tabs>
          <w:tab w:val="left" w:pos="720" w:leader="none"/>
        </w:tabs>
      </w:pPr>
      <w:rPr>
        <w:rFonts w:ascii="Symbol" w:hAnsi="Symbol"/>
      </w:rPr>
    </w:lvl>
    <w:lvl w:ilvl="1" w:tplc="5DD5E1DD">
      <w:start w:val="1"/>
      <w:numFmt w:val="bullet"/>
      <w:suff w:val="tab"/>
      <w:lvlText w:val="o"/>
      <w:lvlJc w:val="left"/>
      <w:pPr>
        <w:ind w:hanging="360" w:left="1440"/>
        <w:tabs>
          <w:tab w:val="left" w:pos="1440" w:leader="none"/>
        </w:tabs>
      </w:pPr>
      <w:rPr>
        <w:rFonts w:ascii="Courier New" w:hAnsi="Courier New"/>
      </w:rPr>
    </w:lvl>
    <w:lvl w:ilvl="2" w:tplc="507AB512">
      <w:start w:val="1"/>
      <w:numFmt w:val="bullet"/>
      <w:suff w:val="tab"/>
      <w:lvlText w:val=""/>
      <w:lvlJc w:val="left"/>
      <w:pPr>
        <w:ind w:hanging="360" w:left="2160"/>
        <w:tabs>
          <w:tab w:val="left" w:pos="2160" w:leader="none"/>
        </w:tabs>
      </w:pPr>
      <w:rPr>
        <w:rFonts w:ascii="Wingdings" w:hAnsi="Wingdings"/>
      </w:rPr>
    </w:lvl>
    <w:lvl w:ilvl="3" w:tplc="6FB46D09">
      <w:start w:val="1"/>
      <w:numFmt w:val="bullet"/>
      <w:suff w:val="tab"/>
      <w:lvlText w:val=""/>
      <w:lvlJc w:val="left"/>
      <w:pPr>
        <w:ind w:hanging="360" w:left="2880"/>
        <w:tabs>
          <w:tab w:val="left" w:pos="2880" w:leader="none"/>
        </w:tabs>
      </w:pPr>
      <w:rPr>
        <w:rFonts w:ascii="Symbol" w:hAnsi="Symbol"/>
      </w:rPr>
    </w:lvl>
    <w:lvl w:ilvl="4" w:tplc="0447E957">
      <w:start w:val="1"/>
      <w:numFmt w:val="bullet"/>
      <w:suff w:val="tab"/>
      <w:lvlText w:val="o"/>
      <w:lvlJc w:val="left"/>
      <w:pPr>
        <w:ind w:hanging="360" w:left="3600"/>
        <w:tabs>
          <w:tab w:val="left" w:pos="3600" w:leader="none"/>
        </w:tabs>
      </w:pPr>
      <w:rPr>
        <w:rFonts w:ascii="Courier New" w:hAnsi="Courier New"/>
      </w:rPr>
    </w:lvl>
    <w:lvl w:ilvl="5" w:tplc="39295B89">
      <w:start w:val="1"/>
      <w:numFmt w:val="bullet"/>
      <w:suff w:val="tab"/>
      <w:lvlText w:val=""/>
      <w:lvlJc w:val="left"/>
      <w:pPr>
        <w:ind w:hanging="360" w:left="4320"/>
        <w:tabs>
          <w:tab w:val="left" w:pos="4320" w:leader="none"/>
        </w:tabs>
      </w:pPr>
      <w:rPr>
        <w:rFonts w:ascii="Wingdings" w:hAnsi="Wingdings"/>
      </w:rPr>
    </w:lvl>
    <w:lvl w:ilvl="6" w:tplc="6A1091D3">
      <w:start w:val="1"/>
      <w:numFmt w:val="bullet"/>
      <w:suff w:val="tab"/>
      <w:lvlText w:val=""/>
      <w:lvlJc w:val="left"/>
      <w:pPr>
        <w:ind w:hanging="360" w:left="5040"/>
        <w:tabs>
          <w:tab w:val="left" w:pos="5040" w:leader="none"/>
        </w:tabs>
      </w:pPr>
      <w:rPr>
        <w:rFonts w:ascii="Symbol" w:hAnsi="Symbol"/>
      </w:rPr>
    </w:lvl>
    <w:lvl w:ilvl="7" w:tplc="4729AAD6">
      <w:start w:val="1"/>
      <w:numFmt w:val="bullet"/>
      <w:suff w:val="tab"/>
      <w:lvlText w:val="o"/>
      <w:lvlJc w:val="left"/>
      <w:pPr>
        <w:ind w:hanging="360" w:left="5760"/>
        <w:tabs>
          <w:tab w:val="left" w:pos="5760" w:leader="none"/>
        </w:tabs>
      </w:pPr>
      <w:rPr>
        <w:rFonts w:ascii="Courier New" w:hAnsi="Courier New"/>
      </w:rPr>
    </w:lvl>
    <w:lvl w:ilvl="8" w:tplc="3442518C">
      <w:start w:val="1"/>
      <w:numFmt w:val="bullet"/>
      <w:suff w:val="tab"/>
      <w:lvlText w:val=""/>
      <w:lvlJc w:val="left"/>
      <w:pPr>
        <w:ind w:hanging="360" w:left="6480"/>
        <w:tabs>
          <w:tab w:val="left" w:pos="6480" w:leader="none"/>
        </w:tabs>
      </w:pPr>
      <w:rPr>
        <w:rFonts w:ascii="Wingdings" w:hAnsi="Wingdings"/>
      </w:rPr>
    </w:lvl>
  </w:abstractNum>
  <w:abstractNum w:abstractNumId="7">
    <w:nsid w:val="4AA85445"/>
    <w:multiLevelType w:val="hybridMultilevel"/>
    <w:lvl w:ilvl="0" w:tplc="0AB8FABB">
      <w:start w:val="1"/>
      <w:numFmt w:val="bullet"/>
      <w:suff w:val="tab"/>
      <w:lvlText w:val=""/>
      <w:lvlJc w:val="left"/>
      <w:pPr>
        <w:ind w:hanging="57" w:left="624"/>
        <w:tabs>
          <w:tab w:val="left" w:pos="1137" w:leader="none"/>
        </w:tabs>
      </w:pPr>
      <w:rPr>
        <w:rFonts w:ascii="Symbol" w:hAnsi="Symbol"/>
      </w:rPr>
    </w:lvl>
    <w:lvl w:ilvl="1" w:tplc="5B29956D">
      <w:start w:val="1"/>
      <w:numFmt w:val="bullet"/>
      <w:suff w:val="tab"/>
      <w:lvlText w:val="o"/>
      <w:lvlJc w:val="left"/>
      <w:pPr>
        <w:ind w:hanging="360" w:left="2160"/>
        <w:tabs>
          <w:tab w:val="left" w:pos="2160" w:leader="none"/>
        </w:tabs>
      </w:pPr>
      <w:rPr>
        <w:rFonts w:ascii="Courier New" w:hAnsi="Courier New"/>
      </w:rPr>
    </w:lvl>
    <w:lvl w:ilvl="2" w:tplc="3EAB90E8">
      <w:start w:val="1"/>
      <w:numFmt w:val="bullet"/>
      <w:suff w:val="tab"/>
      <w:lvlText w:val=""/>
      <w:lvlJc w:val="left"/>
      <w:pPr>
        <w:ind w:hanging="360" w:left="2880"/>
        <w:tabs>
          <w:tab w:val="left" w:pos="2880" w:leader="none"/>
        </w:tabs>
      </w:pPr>
      <w:rPr>
        <w:rFonts w:ascii="Wingdings" w:hAnsi="Wingdings"/>
      </w:rPr>
    </w:lvl>
    <w:lvl w:ilvl="3" w:tplc="0C5FFB13">
      <w:start w:val="1"/>
      <w:numFmt w:val="bullet"/>
      <w:suff w:val="tab"/>
      <w:lvlText w:val=""/>
      <w:lvlJc w:val="left"/>
      <w:pPr>
        <w:ind w:hanging="360" w:left="3600"/>
        <w:tabs>
          <w:tab w:val="left" w:pos="3600" w:leader="none"/>
        </w:tabs>
      </w:pPr>
      <w:rPr>
        <w:rFonts w:ascii="Symbol" w:hAnsi="Symbol"/>
      </w:rPr>
    </w:lvl>
    <w:lvl w:ilvl="4" w:tplc="78EA094B">
      <w:start w:val="1"/>
      <w:numFmt w:val="bullet"/>
      <w:suff w:val="tab"/>
      <w:lvlText w:val="o"/>
      <w:lvlJc w:val="left"/>
      <w:pPr>
        <w:ind w:hanging="360" w:left="4320"/>
        <w:tabs>
          <w:tab w:val="left" w:pos="4320" w:leader="none"/>
        </w:tabs>
      </w:pPr>
      <w:rPr>
        <w:rFonts w:ascii="Courier New" w:hAnsi="Courier New"/>
      </w:rPr>
    </w:lvl>
    <w:lvl w:ilvl="5" w:tplc="7A53E761">
      <w:start w:val="1"/>
      <w:numFmt w:val="bullet"/>
      <w:suff w:val="tab"/>
      <w:lvlText w:val=""/>
      <w:lvlJc w:val="left"/>
      <w:pPr>
        <w:ind w:hanging="360" w:left="5040"/>
        <w:tabs>
          <w:tab w:val="left" w:pos="5040" w:leader="none"/>
        </w:tabs>
      </w:pPr>
      <w:rPr>
        <w:rFonts w:ascii="Wingdings" w:hAnsi="Wingdings"/>
      </w:rPr>
    </w:lvl>
    <w:lvl w:ilvl="6" w:tplc="1D38E3E9">
      <w:start w:val="1"/>
      <w:numFmt w:val="bullet"/>
      <w:suff w:val="tab"/>
      <w:lvlText w:val=""/>
      <w:lvlJc w:val="left"/>
      <w:pPr>
        <w:ind w:hanging="360" w:left="5760"/>
        <w:tabs>
          <w:tab w:val="left" w:pos="5760" w:leader="none"/>
        </w:tabs>
      </w:pPr>
      <w:rPr>
        <w:rFonts w:ascii="Symbol" w:hAnsi="Symbol"/>
      </w:rPr>
    </w:lvl>
    <w:lvl w:ilvl="7" w:tplc="2287124B">
      <w:start w:val="1"/>
      <w:numFmt w:val="bullet"/>
      <w:suff w:val="tab"/>
      <w:lvlText w:val="o"/>
      <w:lvlJc w:val="left"/>
      <w:pPr>
        <w:ind w:hanging="360" w:left="6480"/>
        <w:tabs>
          <w:tab w:val="left" w:pos="6480" w:leader="none"/>
        </w:tabs>
      </w:pPr>
      <w:rPr>
        <w:rFonts w:ascii="Courier New" w:hAnsi="Courier New"/>
      </w:rPr>
    </w:lvl>
    <w:lvl w:ilvl="8" w:tplc="76F8B3E7">
      <w:start w:val="1"/>
      <w:numFmt w:val="bullet"/>
      <w:suff w:val="tab"/>
      <w:lvlText w:val=""/>
      <w:lvlJc w:val="left"/>
      <w:pPr>
        <w:ind w:hanging="360" w:left="7200"/>
        <w:tabs>
          <w:tab w:val="left" w:pos="7200" w:leader="none"/>
        </w:tabs>
      </w:pPr>
      <w:rPr>
        <w:rFonts w:ascii="Wingdings" w:hAnsi="Wingdings"/>
      </w:rPr>
    </w:lvl>
  </w:abstractNum>
  <w:abstractNum w:abstractNumId="8">
    <w:nsid w:val="53F81719"/>
    <w:multiLevelType w:val="hybridMultilevel"/>
    <w:lvl w:ilvl="0" w:tplc="23B41100">
      <w:start w:val="0"/>
      <w:numFmt w:val="bullet"/>
      <w:suff w:val="tab"/>
      <w:lvlText w:val="-"/>
      <w:lvlJc w:val="left"/>
      <w:pPr>
        <w:ind w:hanging="360" w:left="1440"/>
        <w:tabs>
          <w:tab w:val="left" w:pos="1440" w:leader="none"/>
        </w:tabs>
      </w:pPr>
      <w:rPr>
        <w:rFonts w:ascii="Times New Roman" w:hAnsi="Times New Roman"/>
      </w:rPr>
    </w:lvl>
    <w:lvl w:ilvl="1" w:tplc="1D59266E">
      <w:start w:val="1"/>
      <w:numFmt w:val="bullet"/>
      <w:suff w:val="tab"/>
      <w:lvlText w:val="o"/>
      <w:lvlJc w:val="left"/>
      <w:pPr>
        <w:ind w:hanging="360" w:left="2160"/>
        <w:tabs>
          <w:tab w:val="left" w:pos="2160" w:leader="none"/>
        </w:tabs>
      </w:pPr>
      <w:rPr>
        <w:rFonts w:ascii="Courier New" w:hAnsi="Courier New"/>
      </w:rPr>
    </w:lvl>
    <w:lvl w:ilvl="2" w:tplc="0EC4351B">
      <w:start w:val="1"/>
      <w:numFmt w:val="bullet"/>
      <w:suff w:val="tab"/>
      <w:lvlText w:val=""/>
      <w:lvlJc w:val="left"/>
      <w:pPr>
        <w:ind w:hanging="360" w:left="2880"/>
        <w:tabs>
          <w:tab w:val="left" w:pos="2880" w:leader="none"/>
        </w:tabs>
      </w:pPr>
      <w:rPr>
        <w:rFonts w:ascii="Wingdings" w:hAnsi="Wingdings"/>
      </w:rPr>
    </w:lvl>
    <w:lvl w:ilvl="3" w:tplc="2C4F9263">
      <w:start w:val="1"/>
      <w:numFmt w:val="bullet"/>
      <w:suff w:val="tab"/>
      <w:lvlText w:val=""/>
      <w:lvlJc w:val="left"/>
      <w:pPr>
        <w:ind w:hanging="360" w:left="3600"/>
        <w:tabs>
          <w:tab w:val="left" w:pos="3600" w:leader="none"/>
        </w:tabs>
      </w:pPr>
      <w:rPr>
        <w:rFonts w:ascii="Symbol" w:hAnsi="Symbol"/>
      </w:rPr>
    </w:lvl>
    <w:lvl w:ilvl="4" w:tplc="5AD21E92">
      <w:start w:val="1"/>
      <w:numFmt w:val="bullet"/>
      <w:suff w:val="tab"/>
      <w:lvlText w:val="o"/>
      <w:lvlJc w:val="left"/>
      <w:pPr>
        <w:ind w:hanging="360" w:left="4320"/>
        <w:tabs>
          <w:tab w:val="left" w:pos="4320" w:leader="none"/>
        </w:tabs>
      </w:pPr>
      <w:rPr>
        <w:rFonts w:ascii="Courier New" w:hAnsi="Courier New"/>
      </w:rPr>
    </w:lvl>
    <w:lvl w:ilvl="5" w:tplc="60B52E6D">
      <w:start w:val="1"/>
      <w:numFmt w:val="bullet"/>
      <w:suff w:val="tab"/>
      <w:lvlText w:val=""/>
      <w:lvlJc w:val="left"/>
      <w:pPr>
        <w:ind w:hanging="360" w:left="5040"/>
        <w:tabs>
          <w:tab w:val="left" w:pos="5040" w:leader="none"/>
        </w:tabs>
      </w:pPr>
      <w:rPr>
        <w:rFonts w:ascii="Wingdings" w:hAnsi="Wingdings"/>
      </w:rPr>
    </w:lvl>
    <w:lvl w:ilvl="6" w:tplc="121C39B5">
      <w:start w:val="1"/>
      <w:numFmt w:val="bullet"/>
      <w:suff w:val="tab"/>
      <w:lvlText w:val=""/>
      <w:lvlJc w:val="left"/>
      <w:pPr>
        <w:ind w:hanging="360" w:left="5760"/>
        <w:tabs>
          <w:tab w:val="left" w:pos="5760" w:leader="none"/>
        </w:tabs>
      </w:pPr>
      <w:rPr>
        <w:rFonts w:ascii="Symbol" w:hAnsi="Symbol"/>
      </w:rPr>
    </w:lvl>
    <w:lvl w:ilvl="7" w:tplc="41CDCD1B">
      <w:start w:val="1"/>
      <w:numFmt w:val="bullet"/>
      <w:suff w:val="tab"/>
      <w:lvlText w:val="o"/>
      <w:lvlJc w:val="left"/>
      <w:pPr>
        <w:ind w:hanging="360" w:left="6480"/>
        <w:tabs>
          <w:tab w:val="left" w:pos="6480" w:leader="none"/>
        </w:tabs>
      </w:pPr>
      <w:rPr>
        <w:rFonts w:ascii="Courier New" w:hAnsi="Courier New"/>
      </w:rPr>
    </w:lvl>
    <w:lvl w:ilvl="8" w:tplc="39F576BB">
      <w:start w:val="1"/>
      <w:numFmt w:val="bullet"/>
      <w:suff w:val="tab"/>
      <w:lvlText w:val=""/>
      <w:lvlJc w:val="left"/>
      <w:pPr>
        <w:ind w:hanging="360" w:left="7200"/>
        <w:tabs>
          <w:tab w:val="left" w:pos="7200" w:leader="none"/>
        </w:tabs>
      </w:pPr>
      <w:rPr>
        <w:rFonts w:ascii="Wingdings" w:hAnsi="Wingdings"/>
      </w:rPr>
    </w:lvl>
  </w:abstractNum>
  <w:abstractNum w:abstractNumId="9">
    <w:nsid w:val="55195820"/>
    <w:multiLevelType w:val="hybridMultilevel"/>
    <w:lvl w:ilvl="0" w:tplc="7F6BD075">
      <w:start w:val="1"/>
      <w:numFmt w:val="bullet"/>
      <w:suff w:val="tab"/>
      <w:lvlText w:val=""/>
      <w:lvlJc w:val="left"/>
      <w:pPr>
        <w:ind w:hanging="170" w:left="737"/>
        <w:tabs>
          <w:tab w:val="left" w:pos="680" w:leader="none"/>
        </w:tabs>
      </w:pPr>
      <w:rPr>
        <w:rFonts w:ascii="Symbol" w:hAnsi="Symbol"/>
      </w:rPr>
    </w:lvl>
    <w:lvl w:ilvl="1" w:tplc="1A58563F">
      <w:start w:val="1"/>
      <w:numFmt w:val="bullet"/>
      <w:suff w:val="tab"/>
      <w:lvlText w:val="o"/>
      <w:lvlJc w:val="left"/>
      <w:pPr>
        <w:ind w:hanging="360" w:left="2160"/>
        <w:tabs>
          <w:tab w:val="left" w:pos="2160" w:leader="none"/>
        </w:tabs>
      </w:pPr>
      <w:rPr>
        <w:rFonts w:ascii="Courier New" w:hAnsi="Courier New"/>
      </w:rPr>
    </w:lvl>
    <w:lvl w:ilvl="2" w:tplc="0F0E8ABE">
      <w:start w:val="1"/>
      <w:numFmt w:val="bullet"/>
      <w:suff w:val="tab"/>
      <w:lvlText w:val=""/>
      <w:lvlJc w:val="left"/>
      <w:pPr>
        <w:ind w:hanging="360" w:left="2880"/>
        <w:tabs>
          <w:tab w:val="left" w:pos="2880" w:leader="none"/>
        </w:tabs>
      </w:pPr>
      <w:rPr>
        <w:rFonts w:ascii="Wingdings" w:hAnsi="Wingdings"/>
      </w:rPr>
    </w:lvl>
    <w:lvl w:ilvl="3" w:tplc="56F52DF9">
      <w:start w:val="1"/>
      <w:numFmt w:val="bullet"/>
      <w:suff w:val="tab"/>
      <w:lvlText w:val=""/>
      <w:lvlJc w:val="left"/>
      <w:pPr>
        <w:ind w:hanging="360" w:left="3600"/>
        <w:tabs>
          <w:tab w:val="left" w:pos="3600" w:leader="none"/>
        </w:tabs>
      </w:pPr>
      <w:rPr>
        <w:rFonts w:ascii="Symbol" w:hAnsi="Symbol"/>
      </w:rPr>
    </w:lvl>
    <w:lvl w:ilvl="4" w:tplc="6F29CD5F">
      <w:start w:val="1"/>
      <w:numFmt w:val="bullet"/>
      <w:suff w:val="tab"/>
      <w:lvlText w:val="o"/>
      <w:lvlJc w:val="left"/>
      <w:pPr>
        <w:ind w:hanging="360" w:left="4320"/>
        <w:tabs>
          <w:tab w:val="left" w:pos="4320" w:leader="none"/>
        </w:tabs>
      </w:pPr>
      <w:rPr>
        <w:rFonts w:ascii="Courier New" w:hAnsi="Courier New"/>
      </w:rPr>
    </w:lvl>
    <w:lvl w:ilvl="5" w:tplc="11A3F53A">
      <w:start w:val="1"/>
      <w:numFmt w:val="bullet"/>
      <w:suff w:val="tab"/>
      <w:lvlText w:val=""/>
      <w:lvlJc w:val="left"/>
      <w:pPr>
        <w:ind w:hanging="360" w:left="5040"/>
        <w:tabs>
          <w:tab w:val="left" w:pos="5040" w:leader="none"/>
        </w:tabs>
      </w:pPr>
      <w:rPr>
        <w:rFonts w:ascii="Wingdings" w:hAnsi="Wingdings"/>
      </w:rPr>
    </w:lvl>
    <w:lvl w:ilvl="6" w:tplc="481496B9">
      <w:start w:val="1"/>
      <w:numFmt w:val="bullet"/>
      <w:suff w:val="tab"/>
      <w:lvlText w:val=""/>
      <w:lvlJc w:val="left"/>
      <w:pPr>
        <w:ind w:hanging="360" w:left="5760"/>
        <w:tabs>
          <w:tab w:val="left" w:pos="5760" w:leader="none"/>
        </w:tabs>
      </w:pPr>
      <w:rPr>
        <w:rFonts w:ascii="Symbol" w:hAnsi="Symbol"/>
      </w:rPr>
    </w:lvl>
    <w:lvl w:ilvl="7" w:tplc="08F99265">
      <w:start w:val="1"/>
      <w:numFmt w:val="bullet"/>
      <w:suff w:val="tab"/>
      <w:lvlText w:val="o"/>
      <w:lvlJc w:val="left"/>
      <w:pPr>
        <w:ind w:hanging="360" w:left="6480"/>
        <w:tabs>
          <w:tab w:val="left" w:pos="6480" w:leader="none"/>
        </w:tabs>
      </w:pPr>
      <w:rPr>
        <w:rFonts w:ascii="Courier New" w:hAnsi="Courier New"/>
      </w:rPr>
    </w:lvl>
    <w:lvl w:ilvl="8" w:tplc="2F1709C0">
      <w:start w:val="1"/>
      <w:numFmt w:val="bullet"/>
      <w:suff w:val="tab"/>
      <w:lvlText w:val=""/>
      <w:lvlJc w:val="left"/>
      <w:pPr>
        <w:ind w:hanging="360" w:left="7200"/>
        <w:tabs>
          <w:tab w:val="left" w:pos="7200" w:leader="none"/>
        </w:tabs>
      </w:pPr>
      <w:rPr>
        <w:rFonts w:ascii="Wingdings" w:hAnsi="Wingdings"/>
      </w:rPr>
    </w:lvl>
  </w:abstractNum>
  <w:abstractNum w:abstractNumId="10">
    <w:nsid w:val="6C5F4DFD"/>
    <w:multiLevelType w:val="hybridMultilevel"/>
    <w:lvl w:ilvl="0" w:tplc="1974FF55">
      <w:start w:val="1"/>
      <w:numFmt w:val="bullet"/>
      <w:suff w:val="tab"/>
      <w:lvlText w:val=""/>
      <w:lvlJc w:val="left"/>
      <w:pPr>
        <w:ind w:hanging="170" w:left="737"/>
        <w:tabs>
          <w:tab w:val="left" w:pos="680" w:leader="none"/>
        </w:tabs>
      </w:pPr>
      <w:rPr>
        <w:rFonts w:ascii="Symbol" w:hAnsi="Symbol"/>
      </w:rPr>
    </w:lvl>
    <w:lvl w:ilvl="1" w:tplc="09130E9B">
      <w:start w:val="1"/>
      <w:numFmt w:val="bullet"/>
      <w:suff w:val="tab"/>
      <w:lvlText w:val="o"/>
      <w:lvlJc w:val="left"/>
      <w:pPr>
        <w:ind w:hanging="360" w:left="2160"/>
        <w:tabs>
          <w:tab w:val="left" w:pos="2160" w:leader="none"/>
        </w:tabs>
      </w:pPr>
      <w:rPr>
        <w:rFonts w:ascii="Courier New" w:hAnsi="Courier New"/>
      </w:rPr>
    </w:lvl>
    <w:lvl w:ilvl="2" w:tplc="18005257">
      <w:start w:val="1"/>
      <w:numFmt w:val="bullet"/>
      <w:suff w:val="tab"/>
      <w:lvlText w:val=""/>
      <w:lvlJc w:val="left"/>
      <w:pPr>
        <w:ind w:hanging="360" w:left="2880"/>
        <w:tabs>
          <w:tab w:val="left" w:pos="2880" w:leader="none"/>
        </w:tabs>
      </w:pPr>
      <w:rPr>
        <w:rFonts w:ascii="Wingdings" w:hAnsi="Wingdings"/>
      </w:rPr>
    </w:lvl>
    <w:lvl w:ilvl="3" w:tplc="0152D2F2">
      <w:start w:val="1"/>
      <w:numFmt w:val="bullet"/>
      <w:suff w:val="tab"/>
      <w:lvlText w:val=""/>
      <w:lvlJc w:val="left"/>
      <w:pPr>
        <w:ind w:hanging="360" w:left="3600"/>
        <w:tabs>
          <w:tab w:val="left" w:pos="3600" w:leader="none"/>
        </w:tabs>
      </w:pPr>
      <w:rPr>
        <w:rFonts w:ascii="Symbol" w:hAnsi="Symbol"/>
      </w:rPr>
    </w:lvl>
    <w:lvl w:ilvl="4" w:tplc="3C8600B1">
      <w:start w:val="1"/>
      <w:numFmt w:val="bullet"/>
      <w:suff w:val="tab"/>
      <w:lvlText w:val="o"/>
      <w:lvlJc w:val="left"/>
      <w:pPr>
        <w:ind w:hanging="360" w:left="4320"/>
        <w:tabs>
          <w:tab w:val="left" w:pos="4320" w:leader="none"/>
        </w:tabs>
      </w:pPr>
      <w:rPr>
        <w:rFonts w:ascii="Courier New" w:hAnsi="Courier New"/>
      </w:rPr>
    </w:lvl>
    <w:lvl w:ilvl="5" w:tplc="18FF651C">
      <w:start w:val="1"/>
      <w:numFmt w:val="bullet"/>
      <w:suff w:val="tab"/>
      <w:lvlText w:val=""/>
      <w:lvlJc w:val="left"/>
      <w:pPr>
        <w:ind w:hanging="360" w:left="5040"/>
        <w:tabs>
          <w:tab w:val="left" w:pos="5040" w:leader="none"/>
        </w:tabs>
      </w:pPr>
      <w:rPr>
        <w:rFonts w:ascii="Wingdings" w:hAnsi="Wingdings"/>
      </w:rPr>
    </w:lvl>
    <w:lvl w:ilvl="6" w:tplc="43FC1845">
      <w:start w:val="1"/>
      <w:numFmt w:val="bullet"/>
      <w:suff w:val="tab"/>
      <w:lvlText w:val=""/>
      <w:lvlJc w:val="left"/>
      <w:pPr>
        <w:ind w:hanging="360" w:left="5760"/>
        <w:tabs>
          <w:tab w:val="left" w:pos="5760" w:leader="none"/>
        </w:tabs>
      </w:pPr>
      <w:rPr>
        <w:rFonts w:ascii="Symbol" w:hAnsi="Symbol"/>
      </w:rPr>
    </w:lvl>
    <w:lvl w:ilvl="7" w:tplc="12F749BD">
      <w:start w:val="1"/>
      <w:numFmt w:val="bullet"/>
      <w:suff w:val="tab"/>
      <w:lvlText w:val="o"/>
      <w:lvlJc w:val="left"/>
      <w:pPr>
        <w:ind w:hanging="360" w:left="6480"/>
        <w:tabs>
          <w:tab w:val="left" w:pos="6480" w:leader="none"/>
        </w:tabs>
      </w:pPr>
      <w:rPr>
        <w:rFonts w:ascii="Courier New" w:hAnsi="Courier New"/>
      </w:rPr>
    </w:lvl>
    <w:lvl w:ilvl="8" w:tplc="0C77F301">
      <w:start w:val="1"/>
      <w:numFmt w:val="bullet"/>
      <w:suff w:val="tab"/>
      <w:lvlText w:val=""/>
      <w:lvlJc w:val="left"/>
      <w:pPr>
        <w:ind w:hanging="360" w:left="7200"/>
        <w:tabs>
          <w:tab w:val="left" w:pos="7200" w:leader="none"/>
        </w:tabs>
      </w:pPr>
      <w:rPr>
        <w:rFonts w:ascii="Wingdings" w:hAnsi="Wingdings"/>
      </w:rPr>
    </w:lvl>
  </w:abstractNum>
  <w:abstractNum w:abstractNumId="11">
    <w:nsid w:val="7E571AD5"/>
    <w:multiLevelType w:val="hybridMultilevel"/>
    <w:lvl w:ilvl="0" w:tplc="1EEA1B13">
      <w:start w:val="0"/>
      <w:numFmt w:val="bullet"/>
      <w:suff w:val="tab"/>
      <w:lvlText w:val="-"/>
      <w:lvlJc w:val="left"/>
      <w:pPr>
        <w:ind w:hanging="360" w:left="720"/>
        <w:tabs>
          <w:tab w:val="left" w:pos="720" w:leader="none"/>
        </w:tabs>
      </w:pPr>
      <w:rPr>
        <w:rFonts w:ascii="Times New Roman" w:hAnsi="Times New Roman"/>
        <w:b w:val="1"/>
      </w:rPr>
    </w:lvl>
    <w:lvl w:ilvl="1" w:tplc="06EC2B8B">
      <w:start w:val="1"/>
      <w:numFmt w:val="bullet"/>
      <w:suff w:val="tab"/>
      <w:lvlText w:val="o"/>
      <w:lvlJc w:val="left"/>
      <w:pPr>
        <w:ind w:hanging="360" w:left="1440"/>
        <w:tabs>
          <w:tab w:val="left" w:pos="1440" w:leader="none"/>
        </w:tabs>
      </w:pPr>
      <w:rPr>
        <w:rFonts w:ascii="Courier New" w:hAnsi="Courier New"/>
      </w:rPr>
    </w:lvl>
    <w:lvl w:ilvl="2" w:tplc="56871158">
      <w:start w:val="1"/>
      <w:numFmt w:val="bullet"/>
      <w:suff w:val="tab"/>
      <w:lvlText w:val=""/>
      <w:lvlJc w:val="left"/>
      <w:pPr>
        <w:ind w:hanging="360" w:left="2160"/>
        <w:tabs>
          <w:tab w:val="left" w:pos="2160" w:leader="none"/>
        </w:tabs>
      </w:pPr>
      <w:rPr>
        <w:rFonts w:ascii="Wingdings" w:hAnsi="Wingdings"/>
      </w:rPr>
    </w:lvl>
    <w:lvl w:ilvl="3" w:tplc="412835C4">
      <w:start w:val="1"/>
      <w:numFmt w:val="bullet"/>
      <w:suff w:val="tab"/>
      <w:lvlText w:val=""/>
      <w:lvlJc w:val="left"/>
      <w:pPr>
        <w:ind w:hanging="360" w:left="2880"/>
        <w:tabs>
          <w:tab w:val="left" w:pos="2880" w:leader="none"/>
        </w:tabs>
      </w:pPr>
      <w:rPr>
        <w:rFonts w:ascii="Symbol" w:hAnsi="Symbol"/>
      </w:rPr>
    </w:lvl>
    <w:lvl w:ilvl="4" w:tplc="480111FF">
      <w:start w:val="1"/>
      <w:numFmt w:val="bullet"/>
      <w:suff w:val="tab"/>
      <w:lvlText w:val="o"/>
      <w:lvlJc w:val="left"/>
      <w:pPr>
        <w:ind w:hanging="360" w:left="3600"/>
        <w:tabs>
          <w:tab w:val="left" w:pos="3600" w:leader="none"/>
        </w:tabs>
      </w:pPr>
      <w:rPr>
        <w:rFonts w:ascii="Courier New" w:hAnsi="Courier New"/>
      </w:rPr>
    </w:lvl>
    <w:lvl w:ilvl="5" w:tplc="791D89CC">
      <w:start w:val="1"/>
      <w:numFmt w:val="bullet"/>
      <w:suff w:val="tab"/>
      <w:lvlText w:val=""/>
      <w:lvlJc w:val="left"/>
      <w:pPr>
        <w:ind w:hanging="360" w:left="4320"/>
        <w:tabs>
          <w:tab w:val="left" w:pos="4320" w:leader="none"/>
        </w:tabs>
      </w:pPr>
      <w:rPr>
        <w:rFonts w:ascii="Wingdings" w:hAnsi="Wingdings"/>
      </w:rPr>
    </w:lvl>
    <w:lvl w:ilvl="6" w:tplc="5CF69099">
      <w:start w:val="1"/>
      <w:numFmt w:val="bullet"/>
      <w:suff w:val="tab"/>
      <w:lvlText w:val=""/>
      <w:lvlJc w:val="left"/>
      <w:pPr>
        <w:ind w:hanging="360" w:left="5040"/>
        <w:tabs>
          <w:tab w:val="left" w:pos="5040" w:leader="none"/>
        </w:tabs>
      </w:pPr>
      <w:rPr>
        <w:rFonts w:ascii="Symbol" w:hAnsi="Symbol"/>
      </w:rPr>
    </w:lvl>
    <w:lvl w:ilvl="7" w:tplc="0175026E">
      <w:start w:val="1"/>
      <w:numFmt w:val="bullet"/>
      <w:suff w:val="tab"/>
      <w:lvlText w:val="o"/>
      <w:lvlJc w:val="left"/>
      <w:pPr>
        <w:ind w:hanging="360" w:left="5760"/>
        <w:tabs>
          <w:tab w:val="left" w:pos="5760" w:leader="none"/>
        </w:tabs>
      </w:pPr>
      <w:rPr>
        <w:rFonts w:ascii="Courier New" w:hAnsi="Courier New"/>
      </w:rPr>
    </w:lvl>
    <w:lvl w:ilvl="8" w:tplc="43A4A06F">
      <w:start w:val="1"/>
      <w:numFmt w:val="bullet"/>
      <w:suff w:val="tab"/>
      <w:lvlText w:val=""/>
      <w:lvlJc w:val="left"/>
      <w:pPr>
        <w:ind w:hanging="360" w:left="6480"/>
        <w:tabs>
          <w:tab w:val="left" w:pos="6480" w:leader="none"/>
        </w:tabs>
      </w:pPr>
      <w:rPr>
        <w:rFonts w:ascii="Wingdings" w:hAnsi="Wingdings"/>
      </w:rPr>
    </w:lvl>
  </w:abstractNum>
  <w:num w:numId="1">
    <w:abstractNumId w:val="11"/>
  </w:num>
  <w:num w:numId="2">
    <w:abstractNumId w:val="6"/>
  </w:num>
  <w:num w:numId="3">
    <w:abstractNumId w:val="5"/>
  </w:num>
  <w:num w:numId="4">
    <w:abstractNumId w:val="2"/>
  </w:num>
  <w:num w:numId="5">
    <w:abstractNumId w:val="0"/>
  </w:num>
  <w:num w:numId="6">
    <w:abstractNumId w:val="4"/>
  </w:num>
  <w:num w:numId="7">
    <w:abstractNumId w:val="8"/>
  </w:num>
  <w:num w:numId="8">
    <w:abstractNumId w:val="7"/>
  </w:num>
  <w:num w:numId="9">
    <w:abstractNumId w:val="3"/>
  </w:num>
  <w:num w:numId="10">
    <w:abstractNumId w:val="10"/>
  </w:num>
  <w:num w:numId="11">
    <w:abstractNumId w:val="9"/>
  </w:num>
  <w:num w:numId="12">
    <w:abstractNumId w:val="1"/>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16"/>
      <w:u w:val="single"/>
    </w:rPr>
  </w:style>
  <w:style w:type="paragraph" w:styleId="P4">
    <w:name w:val="Heading 3"/>
    <w:basedOn w:val="P0"/>
    <w:next w:val="P0"/>
    <w:pPr>
      <w:keepNext w:val="1"/>
      <w:outlineLvl w:val="2"/>
    </w:pPr>
    <w:rPr>
      <w:rFonts w:ascii="Arial" w:hAnsi="Arial"/>
      <w:b w:val="1"/>
      <w:sz w:val="72"/>
    </w:rPr>
  </w:style>
  <w:style w:type="paragraph" w:styleId="P5">
    <w:name w:val="Heading 4"/>
    <w:basedOn w:val="P0"/>
    <w:next w:val="P0"/>
    <w:pPr>
      <w:keepNext w:val="1"/>
      <w:outlineLvl w:val="3"/>
    </w:pPr>
    <w:rPr>
      <w:rFonts w:ascii="Arial" w:hAnsi="Arial"/>
      <w:b w:val="1"/>
      <w:i w:val="1"/>
      <w:sz w:val="16"/>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right"/>
      <w:outlineLvl w:val="6"/>
    </w:pPr>
    <w:rPr>
      <w:rFonts w:ascii="Arial" w:hAnsi="Arial"/>
      <w:b w:val="1"/>
      <w:sz w:val="16"/>
    </w:rPr>
  </w:style>
  <w:style w:type="paragraph" w:styleId="P9">
    <w:name w:val="Heading 8"/>
    <w:basedOn w:val="P0"/>
    <w:next w:val="P0"/>
    <w:pPr>
      <w:keepNext w:val="1"/>
      <w:spacing w:before="80" w:after="80"/>
      <w:jc w:val="center"/>
      <w:outlineLvl w:val="7"/>
    </w:pPr>
    <w:rPr>
      <w:rFonts w:ascii="Arial" w:hAnsi="Arial"/>
      <w:b w:val="1"/>
      <w:sz w:val="16"/>
    </w:rPr>
  </w:style>
  <w:style w:type="paragraph" w:styleId="P10">
    <w:name w:val="Footnote Text"/>
    <w:basedOn w:val="P0"/>
    <w:next w:val="P10"/>
    <w:pPr/>
    <w:rPr>
      <w:sz w:val="20"/>
    </w:rPr>
  </w:style>
  <w:style w:type="paragraph" w:styleId="P11">
    <w:name w:val="Header"/>
    <w:basedOn w:val="P0"/>
    <w:next w:val="P11"/>
    <w:pPr>
      <w:tabs>
        <w:tab w:val="center" w:pos="4320" w:leader="none"/>
        <w:tab w:val="right" w:pos="8640" w:leader="none"/>
      </w:tabs>
    </w:pPr>
    <w:rPr/>
  </w:style>
  <w:style w:type="paragraph" w:styleId="P12">
    <w:name w:val="Body Text"/>
    <w:basedOn w:val="P0"/>
    <w:next w:val="P12"/>
    <w:pPr>
      <w:tabs>
        <w:tab w:val="left" w:pos="142" w:leader="none"/>
      </w:tabs>
      <w:jc w:val="both"/>
    </w:pPr>
    <w:rPr>
      <w:rFonts w:ascii="Arial" w:hAnsi="Arial"/>
      <w:sz w:val="22"/>
    </w:rPr>
  </w:style>
  <w:style w:type="paragraph" w:styleId="P13">
    <w:name w:val="Footer"/>
    <w:basedOn w:val="P0"/>
    <w:next w:val="P13"/>
    <w:pPr>
      <w:tabs>
        <w:tab w:val="center" w:pos="4320" w:leader="none"/>
        <w:tab w:val="right" w:pos="8640" w:leader="none"/>
      </w:tabs>
    </w:pPr>
    <w:rPr/>
  </w:style>
  <w:style w:type="paragraph" w:styleId="P14">
    <w:name w:val="Body Text 2"/>
    <w:basedOn w:val="P0"/>
    <w:next w:val="P14"/>
    <w:pPr>
      <w:tabs>
        <w:tab w:val="left" w:pos="142" w:leader="none"/>
      </w:tabs>
      <w:jc w:val="both"/>
    </w:pPr>
    <w:rPr>
      <w:rFonts w:ascii="Arial" w:hAnsi="Arial"/>
    </w:rPr>
  </w:style>
  <w:style w:type="paragraph" w:styleId="P15">
    <w:name w:val="Body Text 3"/>
    <w:basedOn w:val="P0"/>
    <w:next w:val="P15"/>
    <w:pPr>
      <w:jc w:val="center"/>
    </w:pPr>
    <w:rPr>
      <w:rFonts w:ascii="Arial" w:hAnsi="Arial"/>
      <w:sz w:val="16"/>
    </w:rPr>
  </w:style>
  <w:style w:type="paragraph" w:styleId="P16">
    <w:name w:val="Paragraph Numbering"/>
    <w:basedOn w:val="P0"/>
    <w:next w:val="P16"/>
    <w:pPr>
      <w:numPr>
        <w:numId w:val="4"/>
      </w:numPr>
      <w:spacing w:after="240"/>
    </w:pPr>
    <w:rPr/>
  </w:style>
  <w:style w:type="paragraph" w:styleId="P17">
    <w:name w:val="Balloon Text"/>
    <w:basedOn w:val="P0"/>
    <w:next w:val="P17"/>
    <w:pPr/>
    <w:rPr>
      <w:rFonts w:ascii="Tahoma" w:hAnsi="Tahoma"/>
      <w:sz w:val="16"/>
    </w:rPr>
  </w:style>
  <w:style w:type="paragraph" w:styleId="P18">
    <w:name w:val="Body Text Indent"/>
    <w:basedOn w:val="P0"/>
    <w:next w:val="P18"/>
    <w:pPr>
      <w:ind w:firstLine="720"/>
    </w:pPr>
    <w:rPr>
      <w:rFonts w:ascii="Arial" w:hAnsi="Arial"/>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image2" Type="http://schemas.openxmlformats.org/officeDocument/2006/relationships/image" Target="/media/image2.emf" /><Relationship Id="Relimage3" Type="http://schemas.openxmlformats.org/officeDocument/2006/relationships/image" Target="/media/image3.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Ivan</dc:creator>
  <dcterms:created xsi:type="dcterms:W3CDTF">2008-06-16T08:22:00Z</dcterms:created>
  <cp:lastModifiedBy>Nikola Kapetanovic</cp:lastModifiedBy>
  <cp:lastPrinted>2008-06-16T08:22:00Z</cp:lastPrinted>
  <dcterms:modified xsi:type="dcterms:W3CDTF">2020-01-10T11:46:25Z</dcterms:modified>
  <cp:revision>4</cp:revision>
  <dc:title>Република Србија</dc:title>
</cp:coreProperties>
</file>

<file path=docProps/custom.xml><?xml version="1.0" encoding="utf-8"?>
<Properties xmlns:vt="http://schemas.openxmlformats.org/officeDocument/2006/docPropsVTypes" xmlns="http://schemas.openxmlformats.org/officeDocument/2006/custom-properties">
  <property fmtid="{D5CDD505-2E9C-101B-9397-08002B2CF9AE}" pid="2" name="_AdHocReviewCycleID">
    <vt:i4>1296747776</vt:i4>
  </property>
  <property fmtid="{D5CDD505-2E9C-101B-9397-08002B2CF9AE}" pid="3" name="_NewReviewCycle">
    <vt:lpwstr/>
  </property>
  <property fmtid="{D5CDD505-2E9C-101B-9397-08002B2CF9AE}" pid="4" name="_EmailSubject">
    <vt:lpwstr>CN11 CPI COICOP januar 2007 eng</vt:lpwstr>
  </property>
  <property fmtid="{D5CDD505-2E9C-101B-9397-08002B2CF9AE}" pid="5" name="_AuthorEmail">
    <vt:lpwstr>tanjasm@statserb.sr.gov.yu</vt:lpwstr>
  </property>
  <property fmtid="{D5CDD505-2E9C-101B-9397-08002B2CF9AE}" pid="6" name="_AuthorEmailDisplayName">
    <vt:lpwstr>Tatjana Stanojevic</vt:lpwstr>
  </property>
  <property fmtid="{D5CDD505-2E9C-101B-9397-08002B2CF9AE}" pid="7" name="_PreviousAdHocReviewCycleID">
    <vt:i4>355035414</vt:i4>
  </property>
  <property fmtid="{D5CDD505-2E9C-101B-9397-08002B2CF9AE}" pid="8" name="_ReviewingToolsShownOnce">
    <vt:lpwstr/>
  </property>
</Properties>
</file>