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424171" Type="http://schemas.openxmlformats.org/officeDocument/2006/relationships/officeDocument" Target="/word/document.xml" /><Relationship Id="coreR3242417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167" w:type="dxa"/>
        <w:jc w:val="center"/>
        <w:tblInd w:w="-617" w:type="dxa"/>
        <w:tblBorders>
          <w:top w:val="single" w:sz="12"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7150" w:type="dxa"/>
            <w:vMerge w:val="restart"/>
            <w:tcBorders>
              <w:top w:val="single" w:sz="12" w:space="0" w:shadow="0" w:frame="0"/>
              <w:right w:val="none" w:sz="0" w:space="0" w:shadow="0" w:frame="0"/>
            </w:tcBorders>
          </w:tcPr>
          <w:p>
            <w:pPr>
              <w:rPr>
                <w:rFonts w:ascii="Arial" w:hAnsi="Arial"/>
              </w:rPr>
            </w:pPr>
            <w:r>
              <w:rPr>
                <w:rFonts w:ascii="Arial" w:hAnsi="Arial"/>
              </w:rPr>
              <w:t xml:space="preserve">Republic of Serbia </w:t>
            </w:r>
          </w:p>
          <w:p>
            <w:pPr>
              <w:rPr>
                <w:rFonts w:ascii="Arial" w:hAnsi="Arial"/>
                <w:b w:val="1"/>
                <w:sz w:val="6"/>
              </w:rPr>
            </w:pPr>
            <w:r>
              <w:rPr>
                <w:rFonts w:ascii="Arial" w:hAnsi="Arial"/>
              </w:rPr>
              <w:t>Statistical Office of the Republic of Serbia</w:t>
            </w:r>
          </w:p>
        </w:tc>
        <w:tc>
          <w:tcPr>
            <w:tcW w:w="3017" w:type="dxa"/>
            <w:tcBorders>
              <w:top w:val="single" w:sz="12" w:space="0" w:shadow="0" w:frame="0"/>
              <w:left w:val="none" w:sz="0" w:space="0" w:shadow="0" w:frame="0"/>
              <w:bottom w:val="single" w:sz="4" w:space="0" w:shadow="0" w:frame="0"/>
              <w:right w:val="none" w:sz="0" w:space="0" w:shadow="0" w:frame="0"/>
            </w:tcBorders>
          </w:tcPr>
          <w:p>
            <w:pPr>
              <w:rPr>
                <w:rFonts w:ascii="Arial" w:hAnsi="Arial"/>
                <w:b w:val="1"/>
                <w:sz w:val="12"/>
              </w:rPr>
            </w:pPr>
          </w:p>
        </w:tc>
      </w:tr>
      <w:tr>
        <w:trPr>
          <w:wAfter w:w="0" w:type="dxa"/>
        </w:trPr>
        <w:tc>
          <w:tcPr>
            <w:tcW w:w="7150" w:type="dxa"/>
            <w:vMerge w:val="continue"/>
          </w:tcPr>
          <w:p>
            <w:pPr>
              <w:rPr>
                <w:rFonts w:ascii="Arial" w:hAnsi="Arial"/>
                <w:b w:val="1"/>
              </w:rPr>
            </w:pPr>
          </w:p>
        </w:tc>
        <w:tc>
          <w:tcPr>
            <w:tcW w:w="3017" w:type="dxa"/>
            <w:tcBorders>
              <w:top w:val="single" w:sz="4" w:space="0" w:shadow="0" w:frame="0"/>
              <w:right w:val="single" w:sz="4" w:space="0" w:shadow="0" w:frame="0"/>
            </w:tcBorders>
          </w:tcPr>
          <w:p>
            <w:pPr>
              <w:spacing w:before="60"/>
              <w:jc w:val="center"/>
              <w:rPr>
                <w:rFonts w:ascii="Arial" w:hAnsi="Arial"/>
                <w:b w:val="1"/>
              </w:rPr>
            </w:pPr>
            <w:r>
              <w:rPr>
                <w:rFonts w:ascii="Arial" w:hAnsi="Arial"/>
                <w:b w:val="1"/>
                <w:sz w:val="20"/>
              </w:rPr>
              <w:t>ISSN 0353-9555</w:t>
            </w:r>
          </w:p>
        </w:tc>
      </w:tr>
      <w:tr>
        <w:trPr>
          <w:wAfter w:w="0" w:type="dxa"/>
        </w:trPr>
        <w:tc>
          <w:tcPr>
            <w:tcW w:w="7150" w:type="dxa"/>
            <w:vMerge w:val="continue"/>
            <w:tcBorders>
              <w:bottom w:val="none" w:sz="0" w:space="0" w:shadow="0" w:frame="0"/>
              <w:right w:val="none" w:sz="0" w:space="0" w:shadow="0" w:frame="0"/>
            </w:tcBorders>
          </w:tcPr>
          <w:p>
            <w:pPr>
              <w:jc w:val="center"/>
              <w:rPr>
                <w:rFonts w:ascii="Arial" w:hAnsi="Arial"/>
                <w:b w:val="1"/>
                <w:sz w:val="6"/>
              </w:rPr>
            </w:pPr>
          </w:p>
        </w:tc>
        <w:tc>
          <w:tcPr>
            <w:tcW w:w="3017" w:type="dxa"/>
            <w:tcBorders>
              <w:left w:val="none" w:sz="0" w:space="0" w:shadow="0" w:frame="0"/>
              <w:bottom w:val="single" w:sz="4" w:space="0" w:shadow="0" w:frame="0"/>
              <w:right w:val="none" w:sz="0" w:space="0" w:shadow="0" w:frame="0"/>
            </w:tcBorders>
          </w:tcPr>
          <w:p>
            <w:pPr>
              <w:jc w:val="center"/>
              <w:rPr>
                <w:rFonts w:ascii="Arial" w:hAnsi="Arial"/>
                <w:b w:val="1"/>
                <w:sz w:val="6"/>
              </w:rPr>
            </w:pPr>
          </w:p>
        </w:tc>
      </w:tr>
      <w:tr>
        <w:trPr>
          <w:wAfter w:w="0" w:type="dxa"/>
          <w:trHeight w:hRule="atLeast" w:val="828"/>
        </w:trPr>
        <w:tc>
          <w:tcPr>
            <w:tcW w:w="7150" w:type="dxa"/>
            <w:vMerge w:val="restart"/>
            <w:tcBorders>
              <w:top w:val="none" w:sz="0" w:space="0" w:shadow="0" w:frame="0"/>
            </w:tcBorders>
          </w:tcPr>
          <w:p>
            <w:pPr>
              <w:rPr>
                <w:rFonts w:ascii="Arial" w:hAnsi="Arial"/>
                <w:b w:val="1"/>
                <w:sz w:val="72"/>
              </w:rPr>
            </w:pPr>
            <w:r>
              <w:rPr>
                <w:rFonts w:ascii="Arial" w:hAnsi="Arial"/>
                <w:b w:val="1"/>
                <w:sz w:val="72"/>
              </w:rPr>
              <w:t>СOMMUNICATION</w:t>
            </w:r>
          </w:p>
          <w:p>
            <w:pPr>
              <w:rPr>
                <w:rFonts w:ascii="Arial" w:hAnsi="Arial"/>
                <w:b w:val="1"/>
              </w:rPr>
            </w:pPr>
            <w:r>
              <w:rPr>
                <w:rFonts w:ascii="Arial" w:hAnsi="Arial"/>
                <w:sz w:val="22"/>
              </w:rPr>
              <w:t>Number 157 • year LVIII, 16/06/2008</w:t>
            </w: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72"/>
              </w:rPr>
              <w:t>LP1</w:t>
            </w:r>
            <w:r>
              <w:rPr>
                <w:rFonts w:ascii="Arial" w:hAnsi="Arial"/>
                <w:b w:val="1"/>
                <w:sz w:val="72"/>
              </w:rPr>
              <w:t>2</w:t>
            </w:r>
          </w:p>
        </w:tc>
      </w:tr>
      <w:tr>
        <w:trPr>
          <w:wAfter w:w="0" w:type="dxa"/>
        </w:trPr>
        <w:tc>
          <w:tcPr>
            <w:tcW w:w="7150" w:type="dxa"/>
            <w:vMerge w:val="continue"/>
            <w:tcBorders>
              <w:bottom w:val="none" w:sz="0" w:space="0" w:shadow="0" w:frame="0"/>
            </w:tcBorders>
          </w:tcPr>
          <w:p>
            <w:pPr>
              <w:jc w:val="center"/>
              <w:rPr>
                <w:rFonts w:ascii="Arial" w:hAnsi="Arial"/>
                <w:b w:val="1"/>
              </w:rPr>
            </w:pP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20"/>
              </w:rPr>
              <w:t xml:space="preserve">SERB </w:t>
            </w:r>
            <w:r>
              <w:rPr>
                <w:rFonts w:ascii="Arial" w:hAnsi="Arial"/>
                <w:b w:val="1"/>
                <w:sz w:val="20"/>
              </w:rPr>
              <w:t>157</w:t>
            </w:r>
            <w:r>
              <w:rPr>
                <w:rFonts w:ascii="Arial" w:hAnsi="Arial"/>
                <w:b w:val="1"/>
                <w:sz w:val="20"/>
              </w:rPr>
              <w:t xml:space="preserve"> LP</w:t>
            </w:r>
            <w:r>
              <w:rPr>
                <w:rFonts w:ascii="Arial" w:hAnsi="Arial"/>
                <w:b w:val="1"/>
                <w:sz w:val="20"/>
              </w:rPr>
              <w:t>1</w:t>
            </w:r>
            <w:r>
              <w:rPr>
                <w:rFonts w:ascii="Arial" w:hAnsi="Arial"/>
                <w:b w:val="1"/>
                <w:sz w:val="20"/>
              </w:rPr>
              <w:t xml:space="preserve">2 </w:t>
            </w:r>
            <w:r>
              <w:rPr>
                <w:rFonts w:ascii="Arial" w:hAnsi="Arial"/>
                <w:b w:val="1"/>
                <w:sz w:val="20"/>
              </w:rPr>
              <w:t>1</w:t>
            </w:r>
            <w:r>
              <w:rPr>
                <w:rFonts w:ascii="Arial" w:hAnsi="Arial"/>
                <w:b w:val="1"/>
                <w:sz w:val="20"/>
              </w:rPr>
              <w:t>6</w:t>
            </w:r>
            <w:r>
              <w:rPr>
                <w:rFonts w:ascii="Arial" w:hAnsi="Arial"/>
                <w:b w:val="1"/>
                <w:sz w:val="20"/>
              </w:rPr>
              <w:t>0</w:t>
            </w:r>
            <w:r>
              <w:rPr>
                <w:rFonts w:ascii="Arial" w:hAnsi="Arial"/>
                <w:b w:val="1"/>
                <w:sz w:val="20"/>
              </w:rPr>
              <w:t>6</w:t>
            </w:r>
            <w:r>
              <w:rPr>
                <w:rFonts w:ascii="Arial" w:hAnsi="Arial"/>
                <w:b w:val="1"/>
                <w:sz w:val="20"/>
              </w:rPr>
              <w:t>0</w:t>
            </w:r>
            <w:r>
              <w:rPr>
                <w:rFonts w:ascii="Arial" w:hAnsi="Arial"/>
                <w:b w:val="1"/>
                <w:sz w:val="20"/>
              </w:rPr>
              <w:t>8</w:t>
            </w:r>
          </w:p>
        </w:tc>
      </w:tr>
      <w:tr>
        <w:trPr>
          <w:wAfter w:w="0" w:type="dxa"/>
        </w:trPr>
        <w:tc>
          <w:tcPr>
            <w:tcW w:w="7150" w:type="dxa"/>
            <w:tcBorders>
              <w:top w:val="none" w:sz="0" w:space="0" w:shadow="0" w:frame="0"/>
              <w:bottom w:val="single" w:sz="12" w:space="0" w:shadow="0" w:frame="0"/>
              <w:right w:val="none" w:sz="0" w:space="0" w:shadow="0" w:frame="0"/>
            </w:tcBorders>
          </w:tcPr>
          <w:p>
            <w:pPr>
              <w:rPr>
                <w:rFonts w:ascii="Arial" w:hAnsi="Arial"/>
                <w:b w:val="1"/>
              </w:rPr>
            </w:pPr>
            <w:r>
              <w:rPr>
                <w:rFonts w:ascii="Arial" w:hAnsi="Arial"/>
              </w:rPr>
              <w:t>National accounts statistics</w:t>
            </w:r>
          </w:p>
        </w:tc>
        <w:tc>
          <w:tcPr>
            <w:tcW w:w="3017" w:type="dxa"/>
            <w:tcBorders>
              <w:left w:val="none" w:sz="0" w:space="0" w:shadow="0" w:frame="0"/>
              <w:bottom w:val="single" w:sz="12" w:space="0" w:shadow="0" w:frame="0"/>
              <w:right w:val="none" w:sz="0" w:space="0" w:shadow="0" w:frame="0"/>
            </w:tcBorders>
          </w:tcPr>
          <w:p>
            <w:pPr>
              <w:jc w:val="center"/>
              <w:rPr>
                <w:rFonts w:ascii="Arial" w:hAnsi="Arial"/>
                <w:b w:val="1"/>
              </w:rPr>
            </w:pPr>
          </w:p>
        </w:tc>
      </w:tr>
    </w:tbl>
    <w:p>
      <w:pPr>
        <w:jc w:val="center"/>
        <w:rPr>
          <w:rFonts w:ascii="Arial" w:hAnsi="Arial"/>
          <w:b w:val="1"/>
          <w:sz w:val="28"/>
        </w:rPr>
      </w:pPr>
    </w:p>
    <w:p>
      <w:pPr>
        <w:jc w:val="center"/>
        <w:rPr>
          <w:rFonts w:ascii="Arial" w:hAnsi="Arial"/>
          <w:b w:val="1"/>
          <w:sz w:val="28"/>
        </w:rPr>
      </w:pPr>
      <w:r>
        <w:rPr>
          <w:rFonts w:ascii="Arial" w:hAnsi="Arial"/>
          <w:b w:val="1"/>
          <w:sz w:val="28"/>
        </w:rPr>
        <w:t xml:space="preserve">HOUSEHOLD BUDGET SURVEY IN </w:t>
      </w:r>
      <w:r>
        <w:rPr>
          <w:rFonts w:ascii="Arial" w:hAnsi="Arial"/>
          <w:b w:val="1"/>
          <w:sz w:val="28"/>
        </w:rPr>
        <w:t>1</w:t>
      </w:r>
      <w:r>
        <w:rPr>
          <w:rFonts w:ascii="Arial" w:hAnsi="Arial"/>
          <w:b w:val="1"/>
          <w:sz w:val="28"/>
          <w:vertAlign w:val="superscript"/>
        </w:rPr>
        <w:t>ST</w:t>
      </w:r>
      <w:r>
        <w:rPr>
          <w:rFonts w:ascii="Arial" w:hAnsi="Arial"/>
          <w:b w:val="1"/>
          <w:sz w:val="28"/>
        </w:rPr>
        <w:t xml:space="preserve"> QUARTER 200</w:t>
      </w:r>
      <w:r>
        <w:rPr>
          <w:rFonts w:ascii="Arial" w:hAnsi="Arial"/>
          <w:b w:val="1"/>
          <w:sz w:val="28"/>
        </w:rPr>
        <w:t>8</w:t>
      </w:r>
    </w:p>
    <w:p>
      <w:pPr>
        <w:ind w:left="360"/>
        <w:jc w:val="center"/>
        <w:rPr>
          <w:rFonts w:ascii="Arial" w:hAnsi="Arial"/>
          <w:b w:val="1"/>
          <w:sz w:val="22"/>
        </w:rPr>
      </w:pPr>
      <w:r>
        <w:rPr>
          <w:rFonts w:ascii="Arial" w:hAnsi="Arial"/>
          <w:b w:val="1"/>
          <w:sz w:val="22"/>
        </w:rPr>
        <w:t xml:space="preserve">- </w:t>
      </w:r>
      <w:r>
        <w:rPr>
          <w:rFonts w:ascii="Arial" w:hAnsi="Arial"/>
          <w:b w:val="1"/>
          <w:sz w:val="20"/>
        </w:rPr>
        <w:t>Prelim</w:t>
      </w:r>
      <w:r>
        <w:rPr>
          <w:rFonts w:ascii="Arial" w:hAnsi="Arial"/>
          <w:b w:val="1"/>
          <w:sz w:val="20"/>
        </w:rPr>
        <w:t xml:space="preserve">inary results </w:t>
      </w:r>
      <w:r>
        <w:rPr>
          <w:rFonts w:ascii="Arial" w:hAnsi="Arial"/>
          <w:b w:val="1"/>
          <w:sz w:val="22"/>
        </w:rPr>
        <w:t>-</w:t>
      </w:r>
    </w:p>
    <w:p>
      <w:pPr>
        <w:ind w:firstLine="720"/>
        <w:jc w:val="both"/>
        <w:rPr>
          <w:rFonts w:ascii="Arial" w:hAnsi="Arial"/>
          <w:sz w:val="18"/>
        </w:rPr>
      </w:pPr>
    </w:p>
    <w:p>
      <w:pPr>
        <w:ind w:firstLine="720"/>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ind w:firstLine="720"/>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The basic geographic stratums are the territory of Central Serbia and Vojvodina. Every fifteen days, 200 households are interviewed, i.e. 4800 households annually. </w:t>
      </w:r>
    </w:p>
    <w:p>
      <w:pPr>
        <w:spacing w:lineRule="auto" w:line="232"/>
        <w:ind w:firstLine="720"/>
        <w:jc w:val="both"/>
        <w:rPr>
          <w:rFonts w:ascii="Arial" w:hAnsi="Arial"/>
          <w:sz w:val="18"/>
        </w:rPr>
      </w:pPr>
      <w:r>
        <w:rPr>
          <w:rFonts w:ascii="Arial" w:hAnsi="Arial"/>
          <w:sz w:val="18"/>
        </w:rPr>
        <w:t>Of the total number of households envisaged for interview in the first quarter (1200 for the Republic of Serbia), the number of 1165 households (97%) was interviewed.</w:t>
      </w:r>
    </w:p>
    <w:tbl>
      <w:tblPr>
        <w:tblStyle w:val="T2"/>
        <w:tblW w:w="10342" w:type="dxa"/>
        <w:tblLayout w:type="autofit"/>
        <w:tblCellMar>
          <w:left w:w="0" w:type="dxa"/>
          <w:right w:w="0" w:type="dxa"/>
        </w:tblCellMar>
      </w:tblPr>
      <w:tblGrid/>
      <w:tr>
        <w:tc>
          <w:tcPr>
            <w:tcW w:w="5041" w:type="dxa"/>
          </w:tcPr>
          <w:p>
            <w:pPr>
              <w:tabs>
                <w:tab w:val="left" w:pos="690" w:leader="none"/>
              </w:tabs>
              <w:jc w:val="both"/>
            </w:pPr>
            <w:r>
              <w:drawing>
                <wp:inline xmlns:wp="http://schemas.openxmlformats.org/drawingml/2006/wordprocessingDrawing">
                  <wp:extent cx="3352165" cy="6067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165" cy="6067425"/>
                          </a:xfrm>
                          <a:prstGeom prst="rect"/>
                          <a:noFill/>
                        </pic:spPr>
                      </pic:pic>
                    </a:graphicData>
                  </a:graphic>
                </wp:inline>
              </w:drawing>
            </w:r>
          </w:p>
        </w:tc>
        <w:tc>
          <w:tcPr>
            <w:tcW w:w="5301" w:type="dxa"/>
          </w:tcPr>
          <w:p>
            <w:pPr>
              <w:tabs>
                <w:tab w:val="left" w:pos="690" w:leader="none"/>
              </w:tabs>
              <w:jc w:val="right"/>
            </w:pPr>
            <w:r>
              <w:drawing>
                <wp:inline xmlns:wp="http://schemas.openxmlformats.org/drawingml/2006/wordprocessingDrawing">
                  <wp:extent cx="3323590" cy="59524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23590" cy="5952490"/>
                          </a:xfrm>
                          <a:prstGeom prst="rect"/>
                          <a:noFill/>
                        </pic:spPr>
                      </pic:pic>
                    </a:graphicData>
                  </a:graphic>
                </wp:inline>
              </w:drawing>
            </w:r>
          </w:p>
        </w:tc>
      </w:tr>
    </w:tbl>
    <w:p>
      <w:pPr>
        <w:pStyle w:val="P17"/>
        <w:rPr>
          <w:sz w:val="22"/>
        </w:rPr>
      </w:pPr>
    </w:p>
    <w:p>
      <w:pPr>
        <w:pStyle w:val="P17"/>
        <w:rPr>
          <w:sz w:val="22"/>
        </w:rPr>
      </w:pPr>
    </w:p>
    <w:p>
      <w:pPr>
        <w:pStyle w:val="P17"/>
        <w:rPr>
          <w:sz w:val="22"/>
        </w:rPr>
      </w:pPr>
      <w:r>
        <w:rPr>
          <w:sz w:val="22"/>
        </w:rPr>
        <w:t>Available budget and and individual consumption in 1</w:t>
      </w:r>
      <w:r>
        <w:rPr>
          <w:sz w:val="22"/>
          <w:vertAlign w:val="superscript"/>
        </w:rPr>
        <w:t>st</w:t>
      </w:r>
      <w:r>
        <w:rPr>
          <w:sz w:val="22"/>
        </w:rPr>
        <w:t xml:space="preserve"> quarter 2008</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All households</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 xml:space="preserve">Dinars </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1165</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856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596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260</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309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2,80</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2,83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42672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44389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38320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57657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38209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40491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42211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35319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57281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36021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21531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22967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17608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34684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17795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1000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768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697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925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12076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12465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10914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15855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11066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685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584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1449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1583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647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585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780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810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515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921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685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764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1565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1776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1907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2181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2178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3001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376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2188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2162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2165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2985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2152</w:t>
            </w:r>
          </w:p>
        </w:tc>
      </w:tr>
      <w:tr>
        <w:trPr>
          <w:wAfter w:w="0" w:type="dxa"/>
          <w:trHeight w:hRule="atLeast" w:val="357"/>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center"/>
          </w:tcPr>
          <w:p>
            <w:pPr>
              <w:ind w:right="113"/>
              <w:jc w:val="right"/>
              <w:rPr>
                <w:rFonts w:ascii="Arial" w:hAnsi="Arial"/>
                <w:b w:val="1"/>
                <w:sz w:val="18"/>
              </w:rPr>
            </w:pPr>
            <w:r>
              <w:rPr>
                <w:rFonts w:ascii="Arial" w:hAnsi="Arial"/>
                <w:b w:val="1"/>
                <w:sz w:val="18"/>
              </w:rPr>
              <w:t>39285</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center"/>
          </w:tcPr>
          <w:p>
            <w:pPr>
              <w:ind w:right="113"/>
              <w:jc w:val="right"/>
              <w:rPr>
                <w:rFonts w:ascii="Arial" w:hAnsi="Arial"/>
                <w:b w:val="1"/>
                <w:sz w:val="18"/>
              </w:rPr>
            </w:pPr>
            <w:r>
              <w:rPr>
                <w:rFonts w:ascii="Arial" w:hAnsi="Arial"/>
                <w:b w:val="1"/>
                <w:sz w:val="18"/>
              </w:rPr>
              <w:t>40259</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center"/>
          </w:tcPr>
          <w:p>
            <w:pPr>
              <w:ind w:right="113"/>
              <w:jc w:val="right"/>
              <w:rPr>
                <w:rFonts w:ascii="Arial" w:hAnsi="Arial"/>
                <w:b w:val="1"/>
                <w:sz w:val="18"/>
              </w:rPr>
            </w:pPr>
            <w:r>
              <w:rPr>
                <w:rFonts w:ascii="Arial" w:hAnsi="Arial"/>
                <w:b w:val="1"/>
                <w:sz w:val="18"/>
              </w:rPr>
              <w:t>35150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center"/>
          </w:tcPr>
          <w:p>
            <w:pPr>
              <w:ind w:right="113"/>
              <w:jc w:val="right"/>
              <w:rPr>
                <w:rFonts w:ascii="Arial" w:hAnsi="Arial"/>
                <w:b w:val="1"/>
                <w:sz w:val="18"/>
              </w:rPr>
            </w:pPr>
            <w:r>
              <w:rPr>
                <w:rFonts w:ascii="Arial" w:hAnsi="Arial"/>
                <w:b w:val="1"/>
                <w:sz w:val="18"/>
              </w:rPr>
              <w:t>51447</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center"/>
          </w:tcPr>
          <w:p>
            <w:pPr>
              <w:ind w:right="113"/>
              <w:jc w:val="right"/>
              <w:rPr>
                <w:rFonts w:ascii="Arial" w:hAnsi="Arial"/>
                <w:b w:val="1"/>
                <w:sz w:val="18"/>
              </w:rPr>
            </w:pPr>
            <w:r>
              <w:rPr>
                <w:rFonts w:ascii="Arial" w:hAnsi="Arial"/>
                <w:b w:val="1"/>
                <w:sz w:val="18"/>
              </w:rPr>
              <w:t>36733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15651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16308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15087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18974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13935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1741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1880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1789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2080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1378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2353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2513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2076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3469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1931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6373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6137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7532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6982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1872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1811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2034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1701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1858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1394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2869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1298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3771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3777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3265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4902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1268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1327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1626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1117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1647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1730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1177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2952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1428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362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389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770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738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811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665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1127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1808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1080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3109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2048</w:t>
            </w:r>
          </w:p>
        </w:tc>
      </w:tr>
    </w:tbl>
    <w:p>
      <w:pPr>
        <w:jc w:val="center"/>
        <w:rPr>
          <w:rFonts w:ascii="Arial" w:hAnsi="Arial"/>
          <w:b w:val="1"/>
          <w:sz w:val="20"/>
        </w:rPr>
      </w:pPr>
    </w:p>
    <w:p>
      <w:pPr>
        <w:jc w:val="center"/>
        <w:rPr>
          <w:rFonts w:ascii="Arial" w:hAnsi="Arial"/>
          <w:b w:val="1"/>
          <w:sz w:val="22"/>
        </w:rPr>
      </w:pPr>
    </w:p>
    <w:p>
      <w:pPr>
        <w:jc w:val="center"/>
        <w:rPr>
          <w:rFonts w:ascii="Arial" w:hAnsi="Arial"/>
          <w:b w:val="1"/>
          <w:sz w:val="22"/>
        </w:rPr>
      </w:pPr>
    </w:p>
    <w:p>
      <w:pPr>
        <w:pStyle w:val="P10"/>
        <w:spacing w:lineRule="auto" w:line="240"/>
      </w:pPr>
    </w:p>
    <w:p>
      <w:pPr>
        <w:pStyle w:val="P17"/>
        <w:rPr>
          <w:sz w:val="22"/>
        </w:rPr>
      </w:pPr>
      <w:r>
        <w:rPr>
          <w:sz w:val="22"/>
        </w:rPr>
        <w:t>Structure of available budget and individual consumption in 1</w:t>
      </w:r>
      <w:r>
        <w:rPr>
          <w:sz w:val="22"/>
          <w:vertAlign w:val="superscript"/>
        </w:rPr>
        <w:t>st</w:t>
      </w:r>
      <w:r>
        <w:rPr>
          <w:sz w:val="22"/>
        </w:rPr>
        <w:t xml:space="preserve"> quarter 2008</w:t>
      </w:r>
    </w:p>
    <w:p>
      <w:pPr>
        <w:jc w:val="center"/>
        <w:rPr>
          <w:rFonts w:ascii="Arial" w:hAnsi="Arial"/>
          <w:b w:val="1"/>
          <w:sz w:val="20"/>
        </w:rPr>
      </w:pPr>
      <w:r>
        <w:rPr>
          <w:rFonts w:ascii="Arial" w:hAnsi="Arial"/>
          <w:b w:val="1"/>
          <w:sz w:val="20"/>
        </w:rPr>
        <w:t>- All households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1165</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856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596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260</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309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2,80</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2,79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2,80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2,77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2,83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sz w:val="18"/>
              </w:rPr>
            </w:pPr>
            <w:r>
              <w:rPr>
                <w:rFonts w:ascii="Arial" w:hAnsi="Arial"/>
                <w:sz w:val="18"/>
              </w:rPr>
              <w:t>2,18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sz w:val="18"/>
              </w:rPr>
            </w:pPr>
            <w:r>
              <w:rPr>
                <w:rFonts w:ascii="Arial" w:hAnsi="Arial"/>
                <w:sz w:val="18"/>
              </w:rPr>
              <w:t>2,22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center"/>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94</w:t>
            </w:r>
            <w:r>
              <w:rPr>
                <w:rFonts w:ascii="Arial" w:hAnsi="Arial"/>
                <w:b w:val="1"/>
                <w:sz w:val="18"/>
              </w:rPr>
              <w:t>,</w:t>
            </w:r>
            <w:r>
              <w:rPr>
                <w:rFonts w:ascii="Arial" w:hAnsi="Arial"/>
                <w:b w:val="1"/>
                <w:sz w:val="18"/>
              </w:rPr>
              <w:t>9</w:t>
            </w:r>
          </w:p>
        </w:tc>
        <w:tc>
          <w:tcPr>
            <w:tcW w:w="1155" w:type="dxa"/>
            <w:tcBorders>
              <w:top w:val="none" w:sz="0" w:space="0" w:shadow="0" w:frame="0"/>
              <w:left w:val="none" w:sz="0" w:space="0" w:shadow="0" w:frame="0"/>
              <w:bottom w:val="none" w:sz="0" w:space="0" w:shadow="0" w:frame="0"/>
              <w:right w:val="none" w:sz="0" w:space="0" w:shadow="0" w:frame="0"/>
            </w:tcBorders>
          </w:tcPr>
          <w:p>
            <w:pPr>
              <w:ind w:right="113"/>
              <w:jc w:val="right"/>
              <w:rPr>
                <w:rFonts w:ascii="Arial" w:hAnsi="Arial"/>
                <w:b w:val="1"/>
                <w:sz w:val="18"/>
              </w:rPr>
            </w:pPr>
            <w:r>
              <w:rPr>
                <w:rFonts w:ascii="Arial" w:hAnsi="Arial"/>
                <w:b w:val="1"/>
                <w:sz w:val="18"/>
              </w:rPr>
              <w:t>95</w:t>
            </w:r>
            <w:r>
              <w:rPr>
                <w:rFonts w:ascii="Arial" w:hAnsi="Arial"/>
                <w:b w:val="1"/>
                <w:sz w:val="18"/>
              </w:rPr>
              <w:t>,</w:t>
            </w:r>
            <w:r>
              <w:rPr>
                <w:rFonts w:ascii="Arial" w:hAnsi="Arial"/>
                <w:b w:val="1"/>
                <w:sz w:val="18"/>
              </w:rPr>
              <w:t>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92</w:t>
            </w:r>
            <w:r>
              <w:rPr>
                <w:rFonts w:ascii="Arial" w:hAnsi="Arial"/>
                <w:b w:val="1"/>
                <w:sz w:val="18"/>
              </w:rPr>
              <w:t>,</w:t>
            </w:r>
            <w:r>
              <w:rPr>
                <w:rFonts w:ascii="Arial" w:hAnsi="Arial"/>
                <w:b w:val="1"/>
                <w:sz w:val="18"/>
              </w:rPr>
              <w:t>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99</w:t>
            </w:r>
            <w:r>
              <w:rPr>
                <w:rFonts w:ascii="Arial" w:hAnsi="Arial"/>
                <w:b w:val="1"/>
                <w:sz w:val="18"/>
              </w:rPr>
              <w:t>,</w:t>
            </w:r>
            <w:r>
              <w:rPr>
                <w:rFonts w:ascii="Arial" w:hAnsi="Arial"/>
                <w:b w:val="1"/>
                <w:sz w:val="18"/>
              </w:rPr>
              <w:t>3</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113"/>
              <w:jc w:val="right"/>
              <w:rPr>
                <w:rFonts w:ascii="Arial" w:hAnsi="Arial"/>
                <w:b w:val="1"/>
                <w:sz w:val="18"/>
              </w:rPr>
            </w:pPr>
            <w:r>
              <w:rPr>
                <w:rFonts w:ascii="Arial" w:hAnsi="Arial"/>
                <w:b w:val="1"/>
                <w:sz w:val="18"/>
              </w:rPr>
              <w:t>94</w:t>
            </w:r>
            <w:r>
              <w:rPr>
                <w:rFonts w:ascii="Arial" w:hAnsi="Arial"/>
                <w:b w:val="1"/>
                <w:sz w:val="18"/>
              </w:rPr>
              <w:t>,</w:t>
            </w:r>
            <w:r>
              <w:rPr>
                <w:rFonts w:ascii="Arial" w:hAnsi="Arial"/>
                <w:b w:val="1"/>
                <w:sz w:val="18"/>
              </w:rPr>
              <w:t>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50,5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51,7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60,1</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29,0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Приходи домаћинстава у натури</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0,7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b w:val="1"/>
                <w:sz w:val="18"/>
              </w:rPr>
            </w:pPr>
            <w:r>
              <w:rPr>
                <w:rFonts w:ascii="Arial" w:hAnsi="Arial"/>
                <w:b w:val="1"/>
                <w:sz w:val="18"/>
              </w:rPr>
              <w:t>5,7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Приходи у натури на име зарада</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Натурална потрошња</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7,8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r>
      <w:tr>
        <w:trPr>
          <w:wAfter w:w="0" w:type="dxa"/>
          <w:trHeight w:hRule="atLeast" w:val="3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113"/>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113"/>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113"/>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113"/>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40,5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37,9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16,2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14,6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9,5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0,8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2,2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4,3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3,1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6,0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113"/>
              <w:jc w:val="right"/>
              <w:rPr>
                <w:rFonts w:ascii="Arial" w:hAnsi="Arial"/>
                <w:sz w:val="18"/>
              </w:rPr>
            </w:pPr>
            <w:r>
              <w:rPr>
                <w:rFonts w:ascii="Arial" w:hAnsi="Arial"/>
                <w:sz w:val="18"/>
              </w:rPr>
              <w:t>5,6</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b) a single person, living, preparing food and spending the earned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 three months and for earnings, agriculture, hunting and fishing - three months.</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1"/>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35"/>
        <w:jc w:val="both"/>
        <w:rPr>
          <w:rFonts w:ascii="Arial" w:hAnsi="Arial"/>
          <w:b w:val="1"/>
          <w:i w:val="1"/>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1"/>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1"/>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1"/>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1"/>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The published data relate to available budget and individual consumption in the 1</w:t>
      </w:r>
      <w:r>
        <w:rPr>
          <w:rFonts w:ascii="Arial" w:hAnsi="Arial"/>
          <w:sz w:val="20"/>
          <w:vertAlign w:val="superscript"/>
        </w:rPr>
        <w:t>st</w:t>
      </w:r>
      <w:r>
        <w:rPr>
          <w:rFonts w:ascii="Arial" w:hAnsi="Arial"/>
          <w:sz w:val="20"/>
        </w:rPr>
        <w:t xml:space="preserve"> quarter 2008 and they present monthly average values by household, given in dinar amounts. </w:t>
      </w:r>
    </w:p>
    <w:p>
      <w:pPr>
        <w:spacing w:lineRule="auto" w:line="232"/>
        <w:ind w:firstLine="720"/>
        <w:jc w:val="both"/>
        <w:rPr>
          <w:rFonts w:ascii="Arial" w:hAnsi="Arial"/>
          <w:sz w:val="20"/>
        </w:rPr>
      </w:pPr>
    </w:p>
    <w:p>
      <w:pPr>
        <w:spacing w:lineRule="auto" w:line="232"/>
        <w:ind w:firstLine="720"/>
        <w:jc w:val="both"/>
        <w:rPr>
          <w:rFonts w:ascii="Arial" w:hAnsi="Arial"/>
          <w:sz w:val="20"/>
        </w:rPr>
      </w:pPr>
      <w:r>
        <w:rPr>
          <w:rFonts w:ascii="Arial" w:hAnsi="Arial"/>
          <w:sz w:val="20"/>
        </w:rPr>
        <w:t>The data are published for the Republic of Serbia, the central Serbia, the City of Belgrade, the central Serbia (without Belgrade) and Vojvodina, for all households.</w:t>
      </w:r>
    </w:p>
    <w:p>
      <w:pPr>
        <w:spacing w:lineRule="auto" w:line="264"/>
        <w:jc w:val="center"/>
        <w:rPr>
          <w:rFonts w:ascii="Arial" w:hAnsi="Arial"/>
          <w:b w:val="1"/>
          <w:sz w:val="20"/>
        </w:rPr>
      </w:pPr>
    </w:p>
    <w:p>
      <w:pPr>
        <w:spacing w:lineRule="auto" w:line="264"/>
        <w:jc w:val="center"/>
        <w:rPr>
          <w:rFonts w:ascii="Arial" w:hAnsi="Arial"/>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 distL="114300" distR="114300">
                <wp:simplePos x="0" y="0"/>
                <wp:positionH relativeFrom="column">
                  <wp:posOffset>38100</wp:posOffset>
                </wp:positionH>
                <wp:positionV relativeFrom="paragraph">
                  <wp:posOffset>27940</wp:posOffset>
                </wp:positionV>
                <wp:extent cx="6400800" cy="902970"/>
                <wp:wrapNone/>
                <wp:docPr id="3" name="Text Box 3"/>
                <a:graphic xmlns:a="http://schemas.openxmlformats.org/drawingml/2006/main">
                  <a:graphicData uri="http://schemas.microsoft.com/office/word/2010/wordprocessingShape">
                    <wps:wsp>
                      <wps:cNvSpPr/>
                      <wps:spPr>
                        <a:xfrm>
                          <a:off x="0" y="0"/>
                          <a:ext cx="6400800" cy="902970"/>
                        </a:xfrm>
                        <a:prstGeom prst="rect"/>
                        <a:ln w="9525">
                          <a:solidFill>
                            <a:srgbClr val="000000"/>
                          </a:solidFill>
                        </a:ln>
                      </wps:spPr>
                      <wps:txbx>
                        <w:txbxContent>
                          <w:p>
                            <w:r>
                              <w:t xml:space="preserve">  </w:t>
                            </w:r>
                          </w:p>
                          <w:p>
                            <w:r>
                              <w:t xml:space="preserve">         </w:t>
                            </w:r>
                          </w:p>
                          <w:p/>
                          <w:p/>
                        </w:txbxContent>
                      </wps:txbx>
                      <wps:bodyPr/>
                    </wps:wsp>
                  </a:graphicData>
                </a:graphic>
              </wp:anchor>
            </w:drawing>
          </mc:Choice>
          <mc:Fallback>
            <w:pict>
              <v:shapetype id="4" path="m,l,21600r21600,l21600,xe"/>
              <v:shape xmlns:o="urn:schemas-microsoft-com:office:office" type="#4" id="Text Box 3" style="position:absolute;width:504pt;height:71.1pt;z-index:1;mso-wrap-distance-left:9pt;mso-wrap-distance-top:0pt;mso-wrap-distance-right:9pt;mso-wrap-distance-bottom:0pt;margin-left:3pt;margin-top:2.2pt;mso-position-horizontal:absolute;mso-position-horizontal-relative:text;mso-position-vertical:absolute;mso-position-vertical-relative:text" strokecolor="#000000" strokeweight="0pt" o:allowincell="t">
                <v:textbox>
                  <w:txbxContent>
                    <w:p>
                      <w:r>
                        <w:t xml:space="preserve">  </w:t>
                      </w:r>
                    </w:p>
                    <w:p>
                      <w:r>
                        <w:t xml:space="preserve">         </w:t>
                      </w:r>
                    </w:p>
                    <w:p/>
                    <w:p/>
                  </w:txbxContent>
                </v:textbox>
              </v:shape>
            </w:pict>
          </mc:Fallback>
        </mc:AlternateContent>
      </w:r>
    </w:p>
    <w:p>
      <w:pPr>
        <w:jc w:val="center"/>
        <w:rPr>
          <w:rFonts w:ascii="Arial" w:hAnsi="Arial"/>
          <w:b w:val="1"/>
          <w:sz w:val="20"/>
        </w:rPr>
      </w:pPr>
      <w:r>
        <w:rPr>
          <w:rFonts w:ascii="Arial" w:hAnsi="Arial"/>
          <w:sz w:val="20"/>
        </w:rPr>
        <w:t xml:space="preserve">Published and printed: Statistical Office of the Republic of Serbia, Belgrade, 5, Milana Rakica St </w:t>
        <w:br w:type="textWrapping"/>
        <w:t xml:space="preserve">Phone: 2412-922 (operator) ● Fax: 2411- 260 ● www.statserb.sr.gov.yu </w:t>
        <w:br w:type="textWrapping"/>
        <w:t>Responsible: Dragan Vukmirovic, PhD, Director</w:t>
      </w:r>
      <w:r>
        <w:rPr>
          <w:rFonts w:ascii="Arial" w:hAnsi="Arial"/>
          <w:b w:val="1"/>
          <w:sz w:val="20"/>
        </w:rPr>
        <w:br w:type="textWrapping"/>
      </w:r>
      <w:r>
        <w:rPr>
          <w:rFonts w:ascii="Arial" w:hAnsi="Arial"/>
          <w:sz w:val="20"/>
        </w:rPr>
        <w:t>Circulation: 250 ● Issued: quarterly</w:t>
      </w:r>
    </w:p>
    <w:p>
      <w:pPr>
        <w:spacing w:lineRule="auto" w:line="232"/>
        <w:jc w:val="both"/>
        <w:rPr>
          <w:rFonts w:ascii="Arial" w:hAnsi="Arial"/>
          <w:sz w:val="20"/>
        </w:rPr>
      </w:pPr>
    </w:p>
    <w:p>
      <w:pPr>
        <w:spacing w:lineRule="auto" w:line="264"/>
        <w:jc w:val="center"/>
      </w:pP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9" w:h="16834" w:code="0"/>
      <w:pgMar w:left="851" w:right="851" w:top="851" w:bottom="85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 157 LP12 160608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 157 LP12 160608</w:t>
    </w:r>
  </w:p>
  <w:p>
    <w:pPr>
      <w:pStyle w:val="P16"/>
      <w:ind w:firstLine="360" w:right="360"/>
      <w:rPr>
        <w:rFonts w:ascii="Arial" w:hAnsi="Arial"/>
        <w:sz w:val="16"/>
      </w:rPr>
    </w:pPr>
  </w:p>
</w:ftr>
</file>

<file path=word/numbering.xml><?xml version="1.0" encoding="utf-8"?>
<w:numbering xmlns:w="http://schemas.openxmlformats.org/wordprocessingml/2006/main">
  <w:abstractNum w:abstractNumId="0">
    <w:nsid w:val="08A96C78"/>
    <w:multiLevelType w:val="hybridMultilevel"/>
    <w:lvl w:ilvl="0" w:tplc="3DDEA64B">
      <w:start w:val="0"/>
      <w:numFmt w:val="bullet"/>
      <w:suff w:val="tab"/>
      <w:lvlText w:val="-"/>
      <w:lvlJc w:val="left"/>
      <w:pPr>
        <w:ind w:hanging="360" w:left="1440"/>
        <w:tabs>
          <w:tab w:val="left" w:pos="1440" w:leader="none"/>
        </w:tabs>
      </w:pPr>
      <w:rPr>
        <w:rFonts w:ascii="Times New Roman" w:hAnsi="Times New Roman"/>
      </w:rPr>
    </w:lvl>
    <w:lvl w:ilvl="1" w:tplc="2AE7CA7A">
      <w:start w:val="1"/>
      <w:numFmt w:val="bullet"/>
      <w:suff w:val="tab"/>
      <w:lvlText w:val="o"/>
      <w:lvlJc w:val="left"/>
      <w:pPr>
        <w:ind w:hanging="360" w:left="2160"/>
        <w:tabs>
          <w:tab w:val="left" w:pos="2160" w:leader="none"/>
        </w:tabs>
      </w:pPr>
      <w:rPr>
        <w:rFonts w:ascii="Courier New" w:hAnsi="Courier New"/>
      </w:rPr>
    </w:lvl>
    <w:lvl w:ilvl="2" w:tplc="6241144B">
      <w:start w:val="1"/>
      <w:numFmt w:val="bullet"/>
      <w:suff w:val="tab"/>
      <w:lvlText w:val=""/>
      <w:lvlJc w:val="left"/>
      <w:pPr>
        <w:ind w:hanging="360" w:left="2880"/>
        <w:tabs>
          <w:tab w:val="left" w:pos="2880" w:leader="none"/>
        </w:tabs>
      </w:pPr>
      <w:rPr>
        <w:rFonts w:ascii="Wingdings" w:hAnsi="Wingdings"/>
      </w:rPr>
    </w:lvl>
    <w:lvl w:ilvl="3" w:tplc="0C15CC47">
      <w:start w:val="1"/>
      <w:numFmt w:val="bullet"/>
      <w:suff w:val="tab"/>
      <w:lvlText w:val=""/>
      <w:lvlJc w:val="left"/>
      <w:pPr>
        <w:ind w:hanging="360" w:left="3600"/>
        <w:tabs>
          <w:tab w:val="left" w:pos="3600" w:leader="none"/>
        </w:tabs>
      </w:pPr>
      <w:rPr>
        <w:rFonts w:ascii="Symbol" w:hAnsi="Symbol"/>
      </w:rPr>
    </w:lvl>
    <w:lvl w:ilvl="4" w:tplc="022FD807">
      <w:start w:val="1"/>
      <w:numFmt w:val="bullet"/>
      <w:suff w:val="tab"/>
      <w:lvlText w:val="o"/>
      <w:lvlJc w:val="left"/>
      <w:pPr>
        <w:ind w:hanging="360" w:left="4320"/>
        <w:tabs>
          <w:tab w:val="left" w:pos="4320" w:leader="none"/>
        </w:tabs>
      </w:pPr>
      <w:rPr>
        <w:rFonts w:ascii="Courier New" w:hAnsi="Courier New"/>
      </w:rPr>
    </w:lvl>
    <w:lvl w:ilvl="5" w:tplc="7641D28C">
      <w:start w:val="1"/>
      <w:numFmt w:val="bullet"/>
      <w:suff w:val="tab"/>
      <w:lvlText w:val=""/>
      <w:lvlJc w:val="left"/>
      <w:pPr>
        <w:ind w:hanging="360" w:left="5040"/>
        <w:tabs>
          <w:tab w:val="left" w:pos="5040" w:leader="none"/>
        </w:tabs>
      </w:pPr>
      <w:rPr>
        <w:rFonts w:ascii="Wingdings" w:hAnsi="Wingdings"/>
      </w:rPr>
    </w:lvl>
    <w:lvl w:ilvl="6" w:tplc="4BFB7CB1">
      <w:start w:val="1"/>
      <w:numFmt w:val="bullet"/>
      <w:suff w:val="tab"/>
      <w:lvlText w:val=""/>
      <w:lvlJc w:val="left"/>
      <w:pPr>
        <w:ind w:hanging="360" w:left="5760"/>
        <w:tabs>
          <w:tab w:val="left" w:pos="5760" w:leader="none"/>
        </w:tabs>
      </w:pPr>
      <w:rPr>
        <w:rFonts w:ascii="Symbol" w:hAnsi="Symbol"/>
      </w:rPr>
    </w:lvl>
    <w:lvl w:ilvl="7" w:tplc="58395540">
      <w:start w:val="1"/>
      <w:numFmt w:val="bullet"/>
      <w:suff w:val="tab"/>
      <w:lvlText w:val="o"/>
      <w:lvlJc w:val="left"/>
      <w:pPr>
        <w:ind w:hanging="360" w:left="6480"/>
        <w:tabs>
          <w:tab w:val="left" w:pos="6480" w:leader="none"/>
        </w:tabs>
      </w:pPr>
      <w:rPr>
        <w:rFonts w:ascii="Courier New" w:hAnsi="Courier New"/>
      </w:rPr>
    </w:lvl>
    <w:lvl w:ilvl="8" w:tplc="6F464935">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056D802F">
      <w:start w:val="0"/>
      <w:numFmt w:val="bullet"/>
      <w:suff w:val="tab"/>
      <w:lvlText w:val="-"/>
      <w:lvlJc w:val="left"/>
      <w:pPr>
        <w:ind w:hanging="360" w:left="720"/>
        <w:tabs>
          <w:tab w:val="left" w:pos="720" w:leader="none"/>
        </w:tabs>
      </w:pPr>
      <w:rPr>
        <w:rFonts w:ascii="Times New Roman" w:hAnsi="Times New Roman"/>
      </w:rPr>
    </w:lvl>
    <w:lvl w:ilvl="1" w:tplc="3B0738D3">
      <w:start w:val="1"/>
      <w:numFmt w:val="bullet"/>
      <w:suff w:val="tab"/>
      <w:lvlText w:val="o"/>
      <w:lvlJc w:val="left"/>
      <w:pPr>
        <w:ind w:hanging="360" w:left="1440"/>
        <w:tabs>
          <w:tab w:val="left" w:pos="1440" w:leader="none"/>
        </w:tabs>
      </w:pPr>
      <w:rPr>
        <w:rFonts w:ascii="Courier New" w:hAnsi="Courier New"/>
      </w:rPr>
    </w:lvl>
    <w:lvl w:ilvl="2" w:tplc="3628F4D1">
      <w:start w:val="1"/>
      <w:numFmt w:val="bullet"/>
      <w:suff w:val="tab"/>
      <w:lvlText w:val=""/>
      <w:lvlJc w:val="left"/>
      <w:pPr>
        <w:ind w:hanging="360" w:left="2160"/>
        <w:tabs>
          <w:tab w:val="left" w:pos="2160" w:leader="none"/>
        </w:tabs>
      </w:pPr>
      <w:rPr>
        <w:rFonts w:ascii="Wingdings" w:hAnsi="Wingdings"/>
      </w:rPr>
    </w:lvl>
    <w:lvl w:ilvl="3" w:tplc="6AB93A70">
      <w:start w:val="1"/>
      <w:numFmt w:val="bullet"/>
      <w:suff w:val="tab"/>
      <w:lvlText w:val=""/>
      <w:lvlJc w:val="left"/>
      <w:pPr>
        <w:ind w:hanging="360" w:left="2880"/>
        <w:tabs>
          <w:tab w:val="left" w:pos="2880" w:leader="none"/>
        </w:tabs>
      </w:pPr>
      <w:rPr>
        <w:rFonts w:ascii="Symbol" w:hAnsi="Symbol"/>
      </w:rPr>
    </w:lvl>
    <w:lvl w:ilvl="4" w:tplc="7AD19707">
      <w:start w:val="1"/>
      <w:numFmt w:val="bullet"/>
      <w:suff w:val="tab"/>
      <w:lvlText w:val="o"/>
      <w:lvlJc w:val="left"/>
      <w:pPr>
        <w:ind w:hanging="360" w:left="3600"/>
        <w:tabs>
          <w:tab w:val="left" w:pos="3600" w:leader="none"/>
        </w:tabs>
      </w:pPr>
      <w:rPr>
        <w:rFonts w:ascii="Courier New" w:hAnsi="Courier New"/>
      </w:rPr>
    </w:lvl>
    <w:lvl w:ilvl="5" w:tplc="6E2C6B31">
      <w:start w:val="1"/>
      <w:numFmt w:val="bullet"/>
      <w:suff w:val="tab"/>
      <w:lvlText w:val=""/>
      <w:lvlJc w:val="left"/>
      <w:pPr>
        <w:ind w:hanging="360" w:left="4320"/>
        <w:tabs>
          <w:tab w:val="left" w:pos="4320" w:leader="none"/>
        </w:tabs>
      </w:pPr>
      <w:rPr>
        <w:rFonts w:ascii="Wingdings" w:hAnsi="Wingdings"/>
      </w:rPr>
    </w:lvl>
    <w:lvl w:ilvl="6" w:tplc="5995CD5A">
      <w:start w:val="1"/>
      <w:numFmt w:val="bullet"/>
      <w:suff w:val="tab"/>
      <w:lvlText w:val=""/>
      <w:lvlJc w:val="left"/>
      <w:pPr>
        <w:ind w:hanging="360" w:left="5040"/>
        <w:tabs>
          <w:tab w:val="left" w:pos="5040" w:leader="none"/>
        </w:tabs>
      </w:pPr>
      <w:rPr>
        <w:rFonts w:ascii="Symbol" w:hAnsi="Symbol"/>
      </w:rPr>
    </w:lvl>
    <w:lvl w:ilvl="7" w:tplc="17CFA283">
      <w:start w:val="1"/>
      <w:numFmt w:val="bullet"/>
      <w:suff w:val="tab"/>
      <w:lvlText w:val="o"/>
      <w:lvlJc w:val="left"/>
      <w:pPr>
        <w:ind w:hanging="360" w:left="5760"/>
        <w:tabs>
          <w:tab w:val="left" w:pos="5760" w:leader="none"/>
        </w:tabs>
      </w:pPr>
      <w:rPr>
        <w:rFonts w:ascii="Courier New" w:hAnsi="Courier New"/>
      </w:rPr>
    </w:lvl>
    <w:lvl w:ilvl="8" w:tplc="1AFFBE7C">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5E469DA6">
      <w:start w:val="0"/>
      <w:numFmt w:val="bullet"/>
      <w:suff w:val="tab"/>
      <w:lvlText w:val="-"/>
      <w:lvlJc w:val="left"/>
      <w:pPr>
        <w:ind w:hanging="360" w:left="720"/>
        <w:tabs>
          <w:tab w:val="left" w:pos="720" w:leader="none"/>
        </w:tabs>
      </w:pPr>
      <w:rPr>
        <w:rFonts w:ascii="Times New Roman" w:hAnsi="Times New Roman"/>
      </w:rPr>
    </w:lvl>
    <w:lvl w:ilvl="1" w:tplc="57BF76EF">
      <w:start w:val="1"/>
      <w:numFmt w:val="bullet"/>
      <w:suff w:val="tab"/>
      <w:lvlText w:val="o"/>
      <w:lvlJc w:val="left"/>
      <w:pPr>
        <w:ind w:hanging="360" w:left="1440"/>
        <w:tabs>
          <w:tab w:val="left" w:pos="1440" w:leader="none"/>
        </w:tabs>
      </w:pPr>
      <w:rPr>
        <w:rFonts w:ascii="Courier New" w:hAnsi="Courier New"/>
      </w:rPr>
    </w:lvl>
    <w:lvl w:ilvl="2" w:tplc="6E81B7DE">
      <w:start w:val="1"/>
      <w:numFmt w:val="bullet"/>
      <w:suff w:val="tab"/>
      <w:lvlText w:val=""/>
      <w:lvlJc w:val="left"/>
      <w:pPr>
        <w:ind w:hanging="360" w:left="2160"/>
        <w:tabs>
          <w:tab w:val="left" w:pos="2160" w:leader="none"/>
        </w:tabs>
      </w:pPr>
      <w:rPr>
        <w:rFonts w:ascii="Wingdings" w:hAnsi="Wingdings"/>
      </w:rPr>
    </w:lvl>
    <w:lvl w:ilvl="3" w:tplc="02A91396">
      <w:start w:val="1"/>
      <w:numFmt w:val="bullet"/>
      <w:suff w:val="tab"/>
      <w:lvlText w:val=""/>
      <w:lvlJc w:val="left"/>
      <w:pPr>
        <w:ind w:hanging="360" w:left="2880"/>
        <w:tabs>
          <w:tab w:val="left" w:pos="2880" w:leader="none"/>
        </w:tabs>
      </w:pPr>
      <w:rPr>
        <w:rFonts w:ascii="Symbol" w:hAnsi="Symbol"/>
      </w:rPr>
    </w:lvl>
    <w:lvl w:ilvl="4" w:tplc="2D42EEB3">
      <w:start w:val="1"/>
      <w:numFmt w:val="bullet"/>
      <w:suff w:val="tab"/>
      <w:lvlText w:val="o"/>
      <w:lvlJc w:val="left"/>
      <w:pPr>
        <w:ind w:hanging="360" w:left="3600"/>
        <w:tabs>
          <w:tab w:val="left" w:pos="3600" w:leader="none"/>
        </w:tabs>
      </w:pPr>
      <w:rPr>
        <w:rFonts w:ascii="Courier New" w:hAnsi="Courier New"/>
      </w:rPr>
    </w:lvl>
    <w:lvl w:ilvl="5" w:tplc="764C3EE5">
      <w:start w:val="1"/>
      <w:numFmt w:val="bullet"/>
      <w:suff w:val="tab"/>
      <w:lvlText w:val=""/>
      <w:lvlJc w:val="left"/>
      <w:pPr>
        <w:ind w:hanging="360" w:left="4320"/>
        <w:tabs>
          <w:tab w:val="left" w:pos="4320" w:leader="none"/>
        </w:tabs>
      </w:pPr>
      <w:rPr>
        <w:rFonts w:ascii="Wingdings" w:hAnsi="Wingdings"/>
      </w:rPr>
    </w:lvl>
    <w:lvl w:ilvl="6" w:tplc="2A6F7F62">
      <w:start w:val="1"/>
      <w:numFmt w:val="bullet"/>
      <w:suff w:val="tab"/>
      <w:lvlText w:val=""/>
      <w:lvlJc w:val="left"/>
      <w:pPr>
        <w:ind w:hanging="360" w:left="5040"/>
        <w:tabs>
          <w:tab w:val="left" w:pos="5040" w:leader="none"/>
        </w:tabs>
      </w:pPr>
      <w:rPr>
        <w:rFonts w:ascii="Symbol" w:hAnsi="Symbol"/>
      </w:rPr>
    </w:lvl>
    <w:lvl w:ilvl="7" w:tplc="701B3371">
      <w:start w:val="1"/>
      <w:numFmt w:val="bullet"/>
      <w:suff w:val="tab"/>
      <w:lvlText w:val="o"/>
      <w:lvlJc w:val="left"/>
      <w:pPr>
        <w:ind w:hanging="360" w:left="5760"/>
        <w:tabs>
          <w:tab w:val="left" w:pos="5760" w:leader="none"/>
        </w:tabs>
      </w:pPr>
      <w:rPr>
        <w:rFonts w:ascii="Courier New" w:hAnsi="Courier New"/>
      </w:rPr>
    </w:lvl>
    <w:lvl w:ilvl="8" w:tplc="5E95A4D0">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346C45C3">
      <w:start w:val="0"/>
      <w:numFmt w:val="bullet"/>
      <w:suff w:val="tab"/>
      <w:lvlText w:val="-"/>
      <w:lvlJc w:val="left"/>
      <w:pPr>
        <w:ind w:hanging="360" w:left="720"/>
        <w:tabs>
          <w:tab w:val="left" w:pos="720" w:leader="none"/>
        </w:tabs>
      </w:pPr>
      <w:rPr>
        <w:rFonts w:ascii="Times New Roman" w:hAnsi="Times New Roman"/>
      </w:rPr>
    </w:lvl>
    <w:lvl w:ilvl="1" w:tplc="63922F88">
      <w:start w:val="1"/>
      <w:numFmt w:val="bullet"/>
      <w:suff w:val="tab"/>
      <w:lvlText w:val="o"/>
      <w:lvlJc w:val="left"/>
      <w:pPr>
        <w:ind w:hanging="360" w:left="1440"/>
        <w:tabs>
          <w:tab w:val="left" w:pos="1440" w:leader="none"/>
        </w:tabs>
      </w:pPr>
      <w:rPr>
        <w:rFonts w:ascii="Courier New" w:hAnsi="Courier New"/>
      </w:rPr>
    </w:lvl>
    <w:lvl w:ilvl="2" w:tplc="00CA22A1">
      <w:start w:val="1"/>
      <w:numFmt w:val="bullet"/>
      <w:suff w:val="tab"/>
      <w:lvlText w:val=""/>
      <w:lvlJc w:val="left"/>
      <w:pPr>
        <w:ind w:hanging="360" w:left="2160"/>
        <w:tabs>
          <w:tab w:val="left" w:pos="2160" w:leader="none"/>
        </w:tabs>
      </w:pPr>
      <w:rPr>
        <w:rFonts w:ascii="Wingdings" w:hAnsi="Wingdings"/>
      </w:rPr>
    </w:lvl>
    <w:lvl w:ilvl="3" w:tplc="222852A5">
      <w:start w:val="1"/>
      <w:numFmt w:val="bullet"/>
      <w:suff w:val="tab"/>
      <w:lvlText w:val=""/>
      <w:lvlJc w:val="left"/>
      <w:pPr>
        <w:ind w:hanging="360" w:left="2880"/>
        <w:tabs>
          <w:tab w:val="left" w:pos="2880" w:leader="none"/>
        </w:tabs>
      </w:pPr>
      <w:rPr>
        <w:rFonts w:ascii="Symbol" w:hAnsi="Symbol"/>
      </w:rPr>
    </w:lvl>
    <w:lvl w:ilvl="4" w:tplc="38461B7B">
      <w:start w:val="1"/>
      <w:numFmt w:val="bullet"/>
      <w:suff w:val="tab"/>
      <w:lvlText w:val="o"/>
      <w:lvlJc w:val="left"/>
      <w:pPr>
        <w:ind w:hanging="360" w:left="3600"/>
        <w:tabs>
          <w:tab w:val="left" w:pos="3600" w:leader="none"/>
        </w:tabs>
      </w:pPr>
      <w:rPr>
        <w:rFonts w:ascii="Courier New" w:hAnsi="Courier New"/>
      </w:rPr>
    </w:lvl>
    <w:lvl w:ilvl="5" w:tplc="5DFB296E">
      <w:start w:val="1"/>
      <w:numFmt w:val="bullet"/>
      <w:suff w:val="tab"/>
      <w:lvlText w:val=""/>
      <w:lvlJc w:val="left"/>
      <w:pPr>
        <w:ind w:hanging="360" w:left="4320"/>
        <w:tabs>
          <w:tab w:val="left" w:pos="4320" w:leader="none"/>
        </w:tabs>
      </w:pPr>
      <w:rPr>
        <w:rFonts w:ascii="Wingdings" w:hAnsi="Wingdings"/>
      </w:rPr>
    </w:lvl>
    <w:lvl w:ilvl="6" w:tplc="750F26AE">
      <w:start w:val="1"/>
      <w:numFmt w:val="bullet"/>
      <w:suff w:val="tab"/>
      <w:lvlText w:val=""/>
      <w:lvlJc w:val="left"/>
      <w:pPr>
        <w:ind w:hanging="360" w:left="5040"/>
        <w:tabs>
          <w:tab w:val="left" w:pos="5040" w:leader="none"/>
        </w:tabs>
      </w:pPr>
      <w:rPr>
        <w:rFonts w:ascii="Symbol" w:hAnsi="Symbol"/>
      </w:rPr>
    </w:lvl>
    <w:lvl w:ilvl="7" w:tplc="7DC57E9F">
      <w:start w:val="1"/>
      <w:numFmt w:val="bullet"/>
      <w:suff w:val="tab"/>
      <w:lvlText w:val="o"/>
      <w:lvlJc w:val="left"/>
      <w:pPr>
        <w:ind w:hanging="360" w:left="5760"/>
        <w:tabs>
          <w:tab w:val="left" w:pos="5760" w:leader="none"/>
        </w:tabs>
      </w:pPr>
      <w:rPr>
        <w:rFonts w:ascii="Courier New" w:hAnsi="Courier New"/>
      </w:rPr>
    </w:lvl>
    <w:lvl w:ilvl="8" w:tplc="229D5B38">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32B0CA66">
      <w:start w:val="0"/>
      <w:numFmt w:val="bullet"/>
      <w:suff w:val="tab"/>
      <w:lvlText w:val="-"/>
      <w:lvlJc w:val="left"/>
      <w:pPr>
        <w:ind w:hanging="360" w:left="1485"/>
        <w:tabs>
          <w:tab w:val="left" w:pos="1485" w:leader="none"/>
        </w:tabs>
      </w:pPr>
      <w:rPr>
        <w:rFonts w:ascii="Times New Roman" w:hAnsi="Times New Roman"/>
      </w:rPr>
    </w:lvl>
    <w:lvl w:ilvl="1" w:tplc="409BC34A">
      <w:start w:val="1"/>
      <w:numFmt w:val="bullet"/>
      <w:suff w:val="tab"/>
      <w:lvlText w:val="o"/>
      <w:lvlJc w:val="left"/>
      <w:pPr>
        <w:ind w:hanging="360" w:left="2205"/>
        <w:tabs>
          <w:tab w:val="left" w:pos="2205" w:leader="none"/>
        </w:tabs>
      </w:pPr>
      <w:rPr>
        <w:rFonts w:ascii="Courier New" w:hAnsi="Courier New"/>
      </w:rPr>
    </w:lvl>
    <w:lvl w:ilvl="2" w:tplc="47B20FCB">
      <w:start w:val="1"/>
      <w:numFmt w:val="bullet"/>
      <w:suff w:val="tab"/>
      <w:lvlText w:val=""/>
      <w:lvlJc w:val="left"/>
      <w:pPr>
        <w:ind w:hanging="360" w:left="2925"/>
        <w:tabs>
          <w:tab w:val="left" w:pos="2925" w:leader="none"/>
        </w:tabs>
      </w:pPr>
      <w:rPr>
        <w:rFonts w:ascii="Wingdings" w:hAnsi="Wingdings"/>
      </w:rPr>
    </w:lvl>
    <w:lvl w:ilvl="3" w:tplc="0728A2F9">
      <w:start w:val="1"/>
      <w:numFmt w:val="bullet"/>
      <w:suff w:val="tab"/>
      <w:lvlText w:val=""/>
      <w:lvlJc w:val="left"/>
      <w:pPr>
        <w:ind w:hanging="360" w:left="3645"/>
        <w:tabs>
          <w:tab w:val="left" w:pos="3645" w:leader="none"/>
        </w:tabs>
      </w:pPr>
      <w:rPr>
        <w:rFonts w:ascii="Symbol" w:hAnsi="Symbol"/>
      </w:rPr>
    </w:lvl>
    <w:lvl w:ilvl="4" w:tplc="48DC81F0">
      <w:start w:val="1"/>
      <w:numFmt w:val="bullet"/>
      <w:suff w:val="tab"/>
      <w:lvlText w:val="o"/>
      <w:lvlJc w:val="left"/>
      <w:pPr>
        <w:ind w:hanging="360" w:left="4365"/>
        <w:tabs>
          <w:tab w:val="left" w:pos="4365" w:leader="none"/>
        </w:tabs>
      </w:pPr>
      <w:rPr>
        <w:rFonts w:ascii="Courier New" w:hAnsi="Courier New"/>
      </w:rPr>
    </w:lvl>
    <w:lvl w:ilvl="5" w:tplc="27EE5CFC">
      <w:start w:val="1"/>
      <w:numFmt w:val="bullet"/>
      <w:suff w:val="tab"/>
      <w:lvlText w:val=""/>
      <w:lvlJc w:val="left"/>
      <w:pPr>
        <w:ind w:hanging="360" w:left="5085"/>
        <w:tabs>
          <w:tab w:val="left" w:pos="5085" w:leader="none"/>
        </w:tabs>
      </w:pPr>
      <w:rPr>
        <w:rFonts w:ascii="Wingdings" w:hAnsi="Wingdings"/>
      </w:rPr>
    </w:lvl>
    <w:lvl w:ilvl="6" w:tplc="50DA1042">
      <w:start w:val="1"/>
      <w:numFmt w:val="bullet"/>
      <w:suff w:val="tab"/>
      <w:lvlText w:val=""/>
      <w:lvlJc w:val="left"/>
      <w:pPr>
        <w:ind w:hanging="360" w:left="5805"/>
        <w:tabs>
          <w:tab w:val="left" w:pos="5805" w:leader="none"/>
        </w:tabs>
      </w:pPr>
      <w:rPr>
        <w:rFonts w:ascii="Symbol" w:hAnsi="Symbol"/>
      </w:rPr>
    </w:lvl>
    <w:lvl w:ilvl="7" w:tplc="6A85FF89">
      <w:start w:val="1"/>
      <w:numFmt w:val="bullet"/>
      <w:suff w:val="tab"/>
      <w:lvlText w:val="o"/>
      <w:lvlJc w:val="left"/>
      <w:pPr>
        <w:ind w:hanging="360" w:left="6525"/>
        <w:tabs>
          <w:tab w:val="left" w:pos="6525" w:leader="none"/>
        </w:tabs>
      </w:pPr>
      <w:rPr>
        <w:rFonts w:ascii="Courier New" w:hAnsi="Courier New"/>
      </w:rPr>
    </w:lvl>
    <w:lvl w:ilvl="8" w:tplc="09E9B4AA">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737C5755">
      <w:start w:val="1"/>
      <w:numFmt w:val="bullet"/>
      <w:suff w:val="tab"/>
      <w:lvlText w:val="-"/>
      <w:lvlJc w:val="left"/>
      <w:pPr>
        <w:ind w:hanging="360" w:left="720"/>
        <w:tabs>
          <w:tab w:val="left" w:pos="720" w:leader="none"/>
        </w:tabs>
      </w:pPr>
      <w:rPr>
        <w:rFonts w:ascii="Times New Roman" w:hAnsi="Times New Roman"/>
      </w:rPr>
    </w:lvl>
    <w:lvl w:ilvl="1" w:tplc="08EB0259">
      <w:start w:val="1"/>
      <w:numFmt w:val="bullet"/>
      <w:suff w:val="tab"/>
      <w:lvlText w:val="o"/>
      <w:lvlJc w:val="left"/>
      <w:pPr>
        <w:ind w:hanging="360" w:left="1440"/>
        <w:tabs>
          <w:tab w:val="left" w:pos="1440" w:leader="none"/>
        </w:tabs>
      </w:pPr>
      <w:rPr>
        <w:rFonts w:ascii="Courier New" w:hAnsi="Courier New"/>
      </w:rPr>
    </w:lvl>
    <w:lvl w:ilvl="2" w:tplc="5B3C55E4">
      <w:start w:val="1"/>
      <w:numFmt w:val="bullet"/>
      <w:suff w:val="tab"/>
      <w:lvlText w:val=""/>
      <w:lvlJc w:val="left"/>
      <w:pPr>
        <w:ind w:hanging="360" w:left="2160"/>
        <w:tabs>
          <w:tab w:val="left" w:pos="2160" w:leader="none"/>
        </w:tabs>
      </w:pPr>
      <w:rPr>
        <w:rFonts w:ascii="Wingdings" w:hAnsi="Wingdings"/>
      </w:rPr>
    </w:lvl>
    <w:lvl w:ilvl="3" w:tplc="0F7EC8EF">
      <w:start w:val="1"/>
      <w:numFmt w:val="bullet"/>
      <w:suff w:val="tab"/>
      <w:lvlText w:val=""/>
      <w:lvlJc w:val="left"/>
      <w:pPr>
        <w:ind w:hanging="360" w:left="2880"/>
        <w:tabs>
          <w:tab w:val="left" w:pos="2880" w:leader="none"/>
        </w:tabs>
      </w:pPr>
      <w:rPr>
        <w:rFonts w:ascii="Symbol" w:hAnsi="Symbol"/>
      </w:rPr>
    </w:lvl>
    <w:lvl w:ilvl="4" w:tplc="15D24703">
      <w:start w:val="1"/>
      <w:numFmt w:val="bullet"/>
      <w:suff w:val="tab"/>
      <w:lvlText w:val="o"/>
      <w:lvlJc w:val="left"/>
      <w:pPr>
        <w:ind w:hanging="360" w:left="3600"/>
        <w:tabs>
          <w:tab w:val="left" w:pos="3600" w:leader="none"/>
        </w:tabs>
      </w:pPr>
      <w:rPr>
        <w:rFonts w:ascii="Courier New" w:hAnsi="Courier New"/>
      </w:rPr>
    </w:lvl>
    <w:lvl w:ilvl="5" w:tplc="7BC1D96D">
      <w:start w:val="1"/>
      <w:numFmt w:val="bullet"/>
      <w:suff w:val="tab"/>
      <w:lvlText w:val=""/>
      <w:lvlJc w:val="left"/>
      <w:pPr>
        <w:ind w:hanging="360" w:left="4320"/>
        <w:tabs>
          <w:tab w:val="left" w:pos="4320" w:leader="none"/>
        </w:tabs>
      </w:pPr>
      <w:rPr>
        <w:rFonts w:ascii="Wingdings" w:hAnsi="Wingdings"/>
      </w:rPr>
    </w:lvl>
    <w:lvl w:ilvl="6" w:tplc="4BD00FBB">
      <w:start w:val="1"/>
      <w:numFmt w:val="bullet"/>
      <w:suff w:val="tab"/>
      <w:lvlText w:val=""/>
      <w:lvlJc w:val="left"/>
      <w:pPr>
        <w:ind w:hanging="360" w:left="5040"/>
        <w:tabs>
          <w:tab w:val="left" w:pos="5040" w:leader="none"/>
        </w:tabs>
      </w:pPr>
      <w:rPr>
        <w:rFonts w:ascii="Symbol" w:hAnsi="Symbol"/>
      </w:rPr>
    </w:lvl>
    <w:lvl w:ilvl="7" w:tplc="1F74B18B">
      <w:start w:val="1"/>
      <w:numFmt w:val="bullet"/>
      <w:suff w:val="tab"/>
      <w:lvlText w:val="o"/>
      <w:lvlJc w:val="left"/>
      <w:pPr>
        <w:ind w:hanging="360" w:left="5760"/>
        <w:tabs>
          <w:tab w:val="left" w:pos="5760" w:leader="none"/>
        </w:tabs>
      </w:pPr>
      <w:rPr>
        <w:rFonts w:ascii="Courier New" w:hAnsi="Courier New"/>
      </w:rPr>
    </w:lvl>
    <w:lvl w:ilvl="8" w:tplc="7E94D8B0">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1BAD4D9D">
      <w:start w:val="0"/>
      <w:numFmt w:val="bullet"/>
      <w:suff w:val="tab"/>
      <w:lvlText w:val="-"/>
      <w:lvlJc w:val="left"/>
      <w:pPr>
        <w:ind w:hanging="360" w:left="720"/>
        <w:tabs>
          <w:tab w:val="left" w:pos="720" w:leader="none"/>
        </w:tabs>
      </w:pPr>
      <w:rPr>
        <w:rFonts w:ascii="Times New Roman" w:hAnsi="Times New Roman"/>
      </w:rPr>
    </w:lvl>
    <w:lvl w:ilvl="1" w:tplc="3B3593B4">
      <w:start w:val="1"/>
      <w:numFmt w:val="bullet"/>
      <w:suff w:val="tab"/>
      <w:lvlText w:val="o"/>
      <w:lvlJc w:val="left"/>
      <w:pPr>
        <w:ind w:hanging="360" w:left="1440"/>
        <w:tabs>
          <w:tab w:val="left" w:pos="1440" w:leader="none"/>
        </w:tabs>
      </w:pPr>
      <w:rPr>
        <w:rFonts w:ascii="Courier New" w:hAnsi="Courier New"/>
      </w:rPr>
    </w:lvl>
    <w:lvl w:ilvl="2" w:tplc="7DA4DBC5">
      <w:start w:val="1"/>
      <w:numFmt w:val="bullet"/>
      <w:suff w:val="tab"/>
      <w:lvlText w:val=""/>
      <w:lvlJc w:val="left"/>
      <w:pPr>
        <w:ind w:hanging="360" w:left="2160"/>
        <w:tabs>
          <w:tab w:val="left" w:pos="2160" w:leader="none"/>
        </w:tabs>
      </w:pPr>
      <w:rPr>
        <w:rFonts w:ascii="Wingdings" w:hAnsi="Wingdings"/>
      </w:rPr>
    </w:lvl>
    <w:lvl w:ilvl="3" w:tplc="6BF4D565">
      <w:start w:val="1"/>
      <w:numFmt w:val="bullet"/>
      <w:suff w:val="tab"/>
      <w:lvlText w:val=""/>
      <w:lvlJc w:val="left"/>
      <w:pPr>
        <w:ind w:hanging="360" w:left="2880"/>
        <w:tabs>
          <w:tab w:val="left" w:pos="2880" w:leader="none"/>
        </w:tabs>
      </w:pPr>
      <w:rPr>
        <w:rFonts w:ascii="Symbol" w:hAnsi="Symbol"/>
      </w:rPr>
    </w:lvl>
    <w:lvl w:ilvl="4" w:tplc="61A64CE4">
      <w:start w:val="1"/>
      <w:numFmt w:val="bullet"/>
      <w:suff w:val="tab"/>
      <w:lvlText w:val="o"/>
      <w:lvlJc w:val="left"/>
      <w:pPr>
        <w:ind w:hanging="360" w:left="3600"/>
        <w:tabs>
          <w:tab w:val="left" w:pos="3600" w:leader="none"/>
        </w:tabs>
      </w:pPr>
      <w:rPr>
        <w:rFonts w:ascii="Courier New" w:hAnsi="Courier New"/>
      </w:rPr>
    </w:lvl>
    <w:lvl w:ilvl="5" w:tplc="1214A494">
      <w:start w:val="1"/>
      <w:numFmt w:val="bullet"/>
      <w:suff w:val="tab"/>
      <w:lvlText w:val=""/>
      <w:lvlJc w:val="left"/>
      <w:pPr>
        <w:ind w:hanging="360" w:left="4320"/>
        <w:tabs>
          <w:tab w:val="left" w:pos="4320" w:leader="none"/>
        </w:tabs>
      </w:pPr>
      <w:rPr>
        <w:rFonts w:ascii="Wingdings" w:hAnsi="Wingdings"/>
      </w:rPr>
    </w:lvl>
    <w:lvl w:ilvl="6" w:tplc="17AC2EBB">
      <w:start w:val="1"/>
      <w:numFmt w:val="bullet"/>
      <w:suff w:val="tab"/>
      <w:lvlText w:val=""/>
      <w:lvlJc w:val="left"/>
      <w:pPr>
        <w:ind w:hanging="360" w:left="5040"/>
        <w:tabs>
          <w:tab w:val="left" w:pos="5040" w:leader="none"/>
        </w:tabs>
      </w:pPr>
      <w:rPr>
        <w:rFonts w:ascii="Symbol" w:hAnsi="Symbol"/>
      </w:rPr>
    </w:lvl>
    <w:lvl w:ilvl="7" w:tplc="178F37ED">
      <w:start w:val="1"/>
      <w:numFmt w:val="bullet"/>
      <w:suff w:val="tab"/>
      <w:lvlText w:val="o"/>
      <w:lvlJc w:val="left"/>
      <w:pPr>
        <w:ind w:hanging="360" w:left="5760"/>
        <w:tabs>
          <w:tab w:val="left" w:pos="5760" w:leader="none"/>
        </w:tabs>
      </w:pPr>
      <w:rPr>
        <w:rFonts w:ascii="Courier New" w:hAnsi="Courier New"/>
      </w:rPr>
    </w:lvl>
    <w:lvl w:ilvl="8" w:tplc="74A725B6">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6E7C2794">
      <w:start w:val="0"/>
      <w:numFmt w:val="bullet"/>
      <w:suff w:val="tab"/>
      <w:lvlText w:val="-"/>
      <w:lvlJc w:val="left"/>
      <w:pPr>
        <w:ind w:hanging="360" w:left="720"/>
        <w:tabs>
          <w:tab w:val="left" w:pos="720" w:leader="none"/>
        </w:tabs>
      </w:pPr>
      <w:rPr>
        <w:rFonts w:ascii="Arial" w:hAnsi="Arial"/>
      </w:rPr>
    </w:lvl>
    <w:lvl w:ilvl="1" w:tplc="63452D88">
      <w:start w:val="1"/>
      <w:numFmt w:val="bullet"/>
      <w:suff w:val="tab"/>
      <w:lvlText w:val="o"/>
      <w:lvlJc w:val="left"/>
      <w:pPr>
        <w:ind w:hanging="360" w:left="1440"/>
        <w:tabs>
          <w:tab w:val="left" w:pos="1440" w:leader="none"/>
        </w:tabs>
      </w:pPr>
      <w:rPr>
        <w:rFonts w:ascii="Courier New" w:hAnsi="Courier New"/>
      </w:rPr>
    </w:lvl>
    <w:lvl w:ilvl="2" w:tplc="02C11E58">
      <w:start w:val="1"/>
      <w:numFmt w:val="bullet"/>
      <w:suff w:val="tab"/>
      <w:lvlText w:val=""/>
      <w:lvlJc w:val="left"/>
      <w:pPr>
        <w:ind w:hanging="360" w:left="2160"/>
        <w:tabs>
          <w:tab w:val="left" w:pos="2160" w:leader="none"/>
        </w:tabs>
      </w:pPr>
      <w:rPr>
        <w:rFonts w:ascii="Wingdings" w:hAnsi="Wingdings"/>
      </w:rPr>
    </w:lvl>
    <w:lvl w:ilvl="3" w:tplc="582DCB62">
      <w:start w:val="1"/>
      <w:numFmt w:val="bullet"/>
      <w:suff w:val="tab"/>
      <w:lvlText w:val=""/>
      <w:lvlJc w:val="left"/>
      <w:pPr>
        <w:ind w:hanging="360" w:left="2880"/>
        <w:tabs>
          <w:tab w:val="left" w:pos="2880" w:leader="none"/>
        </w:tabs>
      </w:pPr>
      <w:rPr>
        <w:rFonts w:ascii="Symbol" w:hAnsi="Symbol"/>
      </w:rPr>
    </w:lvl>
    <w:lvl w:ilvl="4" w:tplc="75AA13C0">
      <w:start w:val="1"/>
      <w:numFmt w:val="bullet"/>
      <w:suff w:val="tab"/>
      <w:lvlText w:val="o"/>
      <w:lvlJc w:val="left"/>
      <w:pPr>
        <w:ind w:hanging="360" w:left="3600"/>
        <w:tabs>
          <w:tab w:val="left" w:pos="3600" w:leader="none"/>
        </w:tabs>
      </w:pPr>
      <w:rPr>
        <w:rFonts w:ascii="Courier New" w:hAnsi="Courier New"/>
      </w:rPr>
    </w:lvl>
    <w:lvl w:ilvl="5" w:tplc="7D0C1866">
      <w:start w:val="1"/>
      <w:numFmt w:val="bullet"/>
      <w:suff w:val="tab"/>
      <w:lvlText w:val=""/>
      <w:lvlJc w:val="left"/>
      <w:pPr>
        <w:ind w:hanging="360" w:left="4320"/>
        <w:tabs>
          <w:tab w:val="left" w:pos="4320" w:leader="none"/>
        </w:tabs>
      </w:pPr>
      <w:rPr>
        <w:rFonts w:ascii="Wingdings" w:hAnsi="Wingdings"/>
      </w:rPr>
    </w:lvl>
    <w:lvl w:ilvl="6" w:tplc="4B8F10F8">
      <w:start w:val="1"/>
      <w:numFmt w:val="bullet"/>
      <w:suff w:val="tab"/>
      <w:lvlText w:val=""/>
      <w:lvlJc w:val="left"/>
      <w:pPr>
        <w:ind w:hanging="360" w:left="5040"/>
        <w:tabs>
          <w:tab w:val="left" w:pos="5040" w:leader="none"/>
        </w:tabs>
      </w:pPr>
      <w:rPr>
        <w:rFonts w:ascii="Symbol" w:hAnsi="Symbol"/>
      </w:rPr>
    </w:lvl>
    <w:lvl w:ilvl="7" w:tplc="26E503F4">
      <w:start w:val="1"/>
      <w:numFmt w:val="bullet"/>
      <w:suff w:val="tab"/>
      <w:lvlText w:val="o"/>
      <w:lvlJc w:val="left"/>
      <w:pPr>
        <w:ind w:hanging="360" w:left="5760"/>
        <w:tabs>
          <w:tab w:val="left" w:pos="5760" w:leader="none"/>
        </w:tabs>
      </w:pPr>
      <w:rPr>
        <w:rFonts w:ascii="Courier New" w:hAnsi="Courier New"/>
      </w:rPr>
    </w:lvl>
    <w:lvl w:ilvl="8" w:tplc="5733DF37">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534DAEAF">
      <w:start w:val="0"/>
      <w:numFmt w:val="bullet"/>
      <w:suff w:val="tab"/>
      <w:lvlText w:val="-"/>
      <w:lvlJc w:val="left"/>
      <w:pPr>
        <w:ind w:hanging="360" w:left="720"/>
        <w:tabs>
          <w:tab w:val="left" w:pos="720" w:leader="none"/>
        </w:tabs>
      </w:pPr>
      <w:rPr>
        <w:rFonts w:ascii="Times New Roman" w:hAnsi="Times New Roman"/>
      </w:rPr>
    </w:lvl>
    <w:lvl w:ilvl="1" w:tplc="571DFBAC">
      <w:start w:val="1"/>
      <w:numFmt w:val="bullet"/>
      <w:suff w:val="tab"/>
      <w:lvlText w:val="o"/>
      <w:lvlJc w:val="left"/>
      <w:pPr>
        <w:ind w:hanging="360" w:left="1440"/>
        <w:tabs>
          <w:tab w:val="left" w:pos="1440" w:leader="none"/>
        </w:tabs>
      </w:pPr>
      <w:rPr>
        <w:rFonts w:ascii="Courier New" w:hAnsi="Courier New"/>
      </w:rPr>
    </w:lvl>
    <w:lvl w:ilvl="2" w:tplc="0EE2F5FF">
      <w:start w:val="1"/>
      <w:numFmt w:val="bullet"/>
      <w:suff w:val="tab"/>
      <w:lvlText w:val=""/>
      <w:lvlJc w:val="left"/>
      <w:pPr>
        <w:ind w:hanging="360" w:left="2160"/>
        <w:tabs>
          <w:tab w:val="left" w:pos="2160" w:leader="none"/>
        </w:tabs>
      </w:pPr>
      <w:rPr>
        <w:rFonts w:ascii="Wingdings" w:hAnsi="Wingdings"/>
      </w:rPr>
    </w:lvl>
    <w:lvl w:ilvl="3" w:tplc="46935BE2">
      <w:start w:val="1"/>
      <w:numFmt w:val="bullet"/>
      <w:suff w:val="tab"/>
      <w:lvlText w:val=""/>
      <w:lvlJc w:val="left"/>
      <w:pPr>
        <w:ind w:hanging="360" w:left="2880"/>
        <w:tabs>
          <w:tab w:val="left" w:pos="2880" w:leader="none"/>
        </w:tabs>
      </w:pPr>
      <w:rPr>
        <w:rFonts w:ascii="Symbol" w:hAnsi="Symbol"/>
      </w:rPr>
    </w:lvl>
    <w:lvl w:ilvl="4" w:tplc="31CF0353">
      <w:start w:val="1"/>
      <w:numFmt w:val="bullet"/>
      <w:suff w:val="tab"/>
      <w:lvlText w:val="o"/>
      <w:lvlJc w:val="left"/>
      <w:pPr>
        <w:ind w:hanging="360" w:left="3600"/>
        <w:tabs>
          <w:tab w:val="left" w:pos="3600" w:leader="none"/>
        </w:tabs>
      </w:pPr>
      <w:rPr>
        <w:rFonts w:ascii="Courier New" w:hAnsi="Courier New"/>
      </w:rPr>
    </w:lvl>
    <w:lvl w:ilvl="5" w:tplc="42BCEF28">
      <w:start w:val="1"/>
      <w:numFmt w:val="bullet"/>
      <w:suff w:val="tab"/>
      <w:lvlText w:val=""/>
      <w:lvlJc w:val="left"/>
      <w:pPr>
        <w:ind w:hanging="360" w:left="4320"/>
        <w:tabs>
          <w:tab w:val="left" w:pos="4320" w:leader="none"/>
        </w:tabs>
      </w:pPr>
      <w:rPr>
        <w:rFonts w:ascii="Wingdings" w:hAnsi="Wingdings"/>
      </w:rPr>
    </w:lvl>
    <w:lvl w:ilvl="6" w:tplc="6C628B3B">
      <w:start w:val="1"/>
      <w:numFmt w:val="bullet"/>
      <w:suff w:val="tab"/>
      <w:lvlText w:val=""/>
      <w:lvlJc w:val="left"/>
      <w:pPr>
        <w:ind w:hanging="360" w:left="5040"/>
        <w:tabs>
          <w:tab w:val="left" w:pos="5040" w:leader="none"/>
        </w:tabs>
      </w:pPr>
      <w:rPr>
        <w:rFonts w:ascii="Symbol" w:hAnsi="Symbol"/>
      </w:rPr>
    </w:lvl>
    <w:lvl w:ilvl="7" w:tplc="36F3280C">
      <w:start w:val="1"/>
      <w:numFmt w:val="bullet"/>
      <w:suff w:val="tab"/>
      <w:lvlText w:val="o"/>
      <w:lvlJc w:val="left"/>
      <w:pPr>
        <w:ind w:hanging="360" w:left="5760"/>
        <w:tabs>
          <w:tab w:val="left" w:pos="5760" w:leader="none"/>
        </w:tabs>
      </w:pPr>
      <w:rPr>
        <w:rFonts w:ascii="Courier New" w:hAnsi="Courier New"/>
      </w:rPr>
    </w:lvl>
    <w:lvl w:ilvl="8" w:tplc="67303218">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2006-06-29T09:28:00Z</dcterms:created>
  <cp:lastModifiedBy>Nikola Kapetanovic</cp:lastModifiedBy>
  <cp:lastPrinted>2008-06-13T09:31:00Z</cp:lastPrinted>
  <dcterms:modified xsi:type="dcterms:W3CDTF">2020-01-10T11:46:24Z</dcterms:modified>
  <cp:revision>57</cp:revision>
  <dc:title>Промет робе у трговини на мало у Републици Србији, јануар 2003</dc:title>
</cp:coreProperties>
</file>