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A7B6809" Type="http://schemas.openxmlformats.org/officeDocument/2006/relationships/officeDocument" Target="/word/document.xml" /><Relationship Id="coreR3A7B680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923" w:type="dxa"/>
        <w:jc w:val="center"/>
        <w:tblInd w:w="15"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exact" w:val="113"/>
        </w:trPr>
        <w:tc>
          <w:tcPr>
            <w:tcW w:w="6692" w:type="dxa"/>
            <w:vMerge w:val="restart"/>
            <w:tcBorders>
              <w:top w:val="single" w:sz="18" w:space="0" w:shadow="0" w:frame="0"/>
              <w:left w:val="none" w:sz="0" w:space="0" w:shadow="0" w:frame="0"/>
              <w:bottom w:val="none" w:sz="0" w:space="0" w:shadow="0" w:frame="0"/>
            </w:tcBorders>
            <w:vAlign w:val="center"/>
          </w:tcPr>
          <w:p>
            <w:pPr>
              <w:pStyle w:val="P6"/>
              <w:tabs>
                <w:tab w:val="clear" w:pos="4320" w:leader="none"/>
                <w:tab w:val="clear" w:pos="8640" w:leader="none"/>
              </w:tabs>
              <w:rPr>
                <w:rFonts w:ascii="Arial" w:hAnsi="Arial"/>
              </w:rPr>
            </w:pPr>
            <w:r>
              <w:rPr>
                <w:rFonts w:ascii="Arial" w:hAnsi="Arial"/>
              </w:rPr>
              <w:t>`Republic of Serbia</w:t>
            </w:r>
          </w:p>
          <w:p>
            <w:r>
              <w:rPr>
                <w:rFonts w:ascii="Arial" w:hAnsi="Arial"/>
              </w:rPr>
              <w:t>Statistical Office of the Republic of Serbia</w:t>
            </w:r>
          </w:p>
        </w:tc>
        <w:tc>
          <w:tcPr>
            <w:tcW w:w="3231"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3231"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pStyle w:val="P4"/>
              <w:rPr>
                <w:sz w:val="24"/>
              </w:rPr>
            </w:pPr>
            <w:r>
              <w:rPr>
                <w:sz w:val="24"/>
              </w:rPr>
              <w:t>ISSN 0353-9555</w:t>
            </w:r>
          </w:p>
        </w:tc>
      </w:tr>
      <w:tr>
        <w:trPr>
          <w:wAfter w:w="0" w:type="dxa"/>
          <w:trHeight w:hRule="atLeast" w:val="113"/>
        </w:trPr>
        <w:tc>
          <w:tcPr>
            <w:tcW w:w="6692"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3231"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6692"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COMMUNICATION</w:t>
            </w:r>
          </w:p>
          <w:p>
            <w:pPr>
              <w:rPr>
                <w:b w:val="1"/>
              </w:rPr>
            </w:pPr>
            <w:r>
              <w:rPr>
                <w:rFonts w:ascii="Arial" w:hAnsi="Arial"/>
                <w:sz w:val="22"/>
              </w:rPr>
              <w:t>Number 95 • Year LVIII, 11/04/2008</w:t>
            </w: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CN21</w:t>
            </w:r>
          </w:p>
        </w:tc>
      </w:tr>
      <w:tr>
        <w:trPr>
          <w:wAfter w:w="0" w:type="dxa"/>
          <w:trHeight w:hRule="exact" w:val="305"/>
        </w:trPr>
        <w:tc>
          <w:tcPr>
            <w:tcW w:w="6692"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Price statistics</w:t>
            </w: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bookmarkStart w:id="0" w:name="serb"/>
            <w:bookmarkEnd w:id="0"/>
            <w:r>
              <w:rPr>
                <w:b w:val="1"/>
                <w:sz w:val="20"/>
              </w:rPr>
              <w:t>SERB 95 CN21 110408</w:t>
            </w:r>
          </w:p>
        </w:tc>
      </w:tr>
      <w:tr>
        <w:trPr>
          <w:wAfter w:w="0" w:type="dxa"/>
          <w:trHeight w:hRule="exact" w:val="113"/>
        </w:trPr>
        <w:tc>
          <w:tcPr>
            <w:tcW w:w="3231"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3231"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
    <w:tbl>
      <w:tblPr>
        <w:tblStyle w:val="T2"/>
        <w:tblW w:w="9923" w:type="dxa"/>
        <w:tblLayout w:type="fixed"/>
        <w:tblCellMar>
          <w:left w:w="0" w:type="dxa"/>
          <w:right w:w="0" w:type="dxa"/>
        </w:tblCellMar>
      </w:tblPr>
      <w:tblGrid/>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28"/>
              </w:rPr>
            </w:pPr>
            <w:r>
              <w:rPr>
                <w:rFonts w:ascii="Arial" w:hAnsi="Arial"/>
                <w:b w:val="1"/>
                <w:sz w:val="28"/>
              </w:rPr>
              <w:t>Indices of export producers' prices of manufactured products</w:t>
            </w:r>
          </w:p>
        </w:tc>
      </w:tr>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28"/>
              </w:rPr>
            </w:pPr>
            <w:bookmarkStart w:id="1" w:name="naslov"/>
            <w:bookmarkEnd w:id="1"/>
            <w:r>
              <w:rPr>
                <w:rFonts w:ascii="Arial" w:hAnsi="Arial"/>
                <w:b w:val="1"/>
                <w:sz w:val="28"/>
              </w:rPr>
              <w:t>for Republic of Serbia - February 2008.</w:t>
            </w:r>
          </w:p>
        </w:tc>
      </w:tr>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32"/>
              </w:rPr>
            </w:pPr>
          </w:p>
        </w:tc>
      </w:tr>
      <w:tr>
        <w:trPr>
          <w:wAfter w:w="0" w:type="dxa"/>
        </w:trPr>
        <w:tc>
          <w:tcPr>
            <w:tcW w:w="9923" w:type="dxa"/>
            <w:gridSpan w:val="7"/>
            <w:tcBorders>
              <w:top w:val="none" w:sz="0" w:space="0" w:shadow="0" w:frame="0"/>
              <w:left w:val="none" w:sz="0" w:space="0" w:shadow="0" w:frame="0"/>
              <w:bottom w:val="single" w:sz="8" w:space="0" w:shadow="0" w:frame="0"/>
              <w:right w:val="none" w:sz="0" w:space="0" w:shadow="0" w:frame="0"/>
            </w:tcBorders>
            <w:vAlign w:val="bottom"/>
          </w:tcPr>
          <w:p>
            <w:pPr>
              <w:pStyle w:val="P2"/>
              <w:spacing w:before="60" w:after="60"/>
              <w:rPr>
                <w:rFonts w:ascii="Arial" w:hAnsi="Arial"/>
              </w:rPr>
            </w:pPr>
            <w:r>
              <w:rPr>
                <w:rFonts w:ascii="Arial" w:hAnsi="Arial"/>
              </w:rPr>
              <w:t>Republic of Serbia</w:t>
            </w:r>
          </w:p>
        </w:tc>
      </w:tr>
      <w:tr>
        <w:trPr>
          <w:wAfter w:w="0" w:type="dxa"/>
        </w:trPr>
        <w:tc>
          <w:tcPr>
            <w:tcW w:w="4369" w:type="dxa"/>
            <w:vMerge w:val="restart"/>
            <w:tcBorders>
              <w:top w:val="single" w:sz="8" w:space="0" w:shadow="0" w:frame="0"/>
              <w:left w:val="none" w:sz="0" w:space="0" w:shadow="0" w:frame="0"/>
              <w:right w:val="single" w:sz="4" w:space="0" w:shadow="0" w:frame="0"/>
            </w:tcBorders>
            <w:vAlign w:val="bottom"/>
          </w:tcPr>
          <w:p>
            <w:pPr>
              <w:rPr>
                <w:rFonts w:ascii="Arial" w:hAnsi="Arial"/>
                <w:sz w:val="20"/>
              </w:rPr>
            </w:pPr>
            <w:bookmarkStart w:id="2" w:name="zaglavlje11"/>
            <w:r>
              <w:rPr>
                <w:rFonts w:ascii="Arial" w:hAnsi="Arial"/>
                <w:sz w:val="20"/>
              </w:rPr>
              <w:t> </w:t>
            </w:r>
          </w:p>
        </w:tc>
        <w:tc>
          <w:tcPr>
            <w:tcW w:w="92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II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II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II 2008</w:t>
            </w:r>
          </w:p>
        </w:tc>
        <w:tc>
          <w:tcPr>
            <w:tcW w:w="92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I-II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I-II 2008</w:t>
            </w:r>
          </w:p>
        </w:tc>
        <w:tc>
          <w:tcPr>
            <w:tcW w:w="926" w:type="dxa"/>
            <w:tcBorders>
              <w:top w:val="single" w:sz="8" w:space="0" w:shadow="0" w:frame="0"/>
              <w:left w:val="single" w:sz="4" w:space="0" w:shadow="0" w:frame="0"/>
            </w:tcBorders>
            <w:vAlign w:val="bottom"/>
          </w:tcPr>
          <w:p>
            <w:pPr>
              <w:jc w:val="center"/>
              <w:rPr>
                <w:rFonts w:ascii="Arial" w:hAnsi="Arial"/>
                <w:sz w:val="16"/>
              </w:rPr>
            </w:pPr>
            <w:r>
              <w:rPr>
                <w:rFonts w:ascii="Arial" w:hAnsi="Arial"/>
                <w:sz w:val="16"/>
              </w:rPr>
              <w:t>II 2008</w:t>
            </w:r>
          </w:p>
        </w:tc>
      </w:tr>
      <w:tr>
        <w:trPr>
          <w:wAfter w:w="0" w:type="dxa"/>
          <w:trHeight w:hRule="atLeast" w:val="80"/>
        </w:trPr>
        <w:tc>
          <w:tcPr>
            <w:tcW w:w="4369" w:type="dxa"/>
            <w:vMerge w:val="continue"/>
            <w:tcBorders>
              <w:left w:val="none" w:sz="0" w:space="0" w:shadow="0" w:frame="0"/>
              <w:right w:val="single" w:sz="4" w:space="0" w:shadow="0" w:frame="0"/>
            </w:tcBorders>
            <w:vAlign w:val="bottom"/>
          </w:tcPr>
          <w:p>
            <w:pPr>
              <w:rPr>
                <w:rFonts w:ascii="Arial" w:hAnsi="Arial"/>
                <w:sz w:val="20"/>
              </w:rPr>
            </w:pPr>
            <w:bookmarkEnd w:id="2"/>
          </w:p>
        </w:tc>
        <w:tc>
          <w:tcPr>
            <w:tcW w:w="925"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5"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tcBorders>
            <w:vAlign w:val="bottom"/>
          </w:tcPr>
          <w:p>
            <w:pPr>
              <w:jc w:val="center"/>
              <w:rPr>
                <w:rFonts w:ascii="Arial" w:hAnsi="Arial"/>
                <w:sz w:val="6"/>
              </w:rPr>
            </w:pPr>
            <w:r>
              <w:rPr>
                <w:rFonts w:ascii="Arial" w:hAnsi="Arial"/>
                <w:sz w:val="6"/>
              </w:rPr>
              <w:t>-----------------------------</w:t>
            </w:r>
          </w:p>
        </w:tc>
      </w:tr>
      <w:tr>
        <w:trPr>
          <w:wAfter w:w="0" w:type="dxa"/>
        </w:trPr>
        <w:tc>
          <w:tcPr>
            <w:tcW w:w="4369" w:type="dxa"/>
            <w:vMerge w:val="continue"/>
            <w:tcBorders>
              <w:left w:val="none" w:sz="0" w:space="0" w:shadow="0" w:frame="0"/>
              <w:bottom w:val="single" w:sz="8" w:space="0" w:shadow="0" w:frame="0"/>
              <w:right w:val="single" w:sz="4" w:space="0" w:shadow="0" w:frame="0"/>
            </w:tcBorders>
            <w:vAlign w:val="bottom"/>
          </w:tcPr>
          <w:p>
            <w:pPr>
              <w:rPr>
                <w:rFonts w:ascii="Arial" w:hAnsi="Arial"/>
                <w:sz w:val="20"/>
              </w:rPr>
            </w:pPr>
            <w:bookmarkStart w:id="3" w:name="zaglavlje12"/>
          </w:p>
        </w:tc>
        <w:tc>
          <w:tcPr>
            <w:tcW w:w="925"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 2008</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II 2007</w:t>
            </w:r>
          </w:p>
        </w:tc>
        <w:tc>
          <w:tcPr>
            <w:tcW w:w="925"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I-II 2007</w:t>
            </w:r>
          </w:p>
        </w:tc>
        <w:tc>
          <w:tcPr>
            <w:tcW w:w="926" w:type="dxa"/>
            <w:tcBorders>
              <w:top w:val="none" w:sz="0" w:space="0" w:shadow="0" w:frame="0"/>
              <w:left w:val="single" w:sz="4" w:space="0" w:shadow="0" w:frame="0"/>
              <w:bottom w:val="single" w:sz="8" w:space="0" w:shadow="0" w:frame="0"/>
            </w:tcBorders>
            <w:vAlign w:val="bottom"/>
          </w:tcPr>
          <w:p>
            <w:pPr>
              <w:jc w:val="center"/>
              <w:rPr>
                <w:rFonts w:ascii="Arial" w:hAnsi="Arial"/>
                <w:sz w:val="16"/>
              </w:rPr>
            </w:pPr>
            <w:r>
              <w:rPr>
                <w:rFonts w:ascii="Arial" w:hAnsi="Arial"/>
                <w:sz w:val="16"/>
              </w:rPr>
              <w:t>XII 2007</w:t>
            </w:r>
          </w:p>
        </w:tc>
      </w:tr>
      <w:tr>
        <w:trPr>
          <w:wAfter w:w="0" w:type="dxa"/>
        </w:trPr>
        <w:tc>
          <w:tcPr>
            <w:tcW w:w="9923" w:type="dxa"/>
            <w:gridSpan w:val="7"/>
            <w:tcBorders>
              <w:top w:val="single" w:sz="8" w:space="0" w:shadow="0" w:frame="0"/>
              <w:left w:val="none" w:sz="0" w:space="0" w:shadow="0" w:frame="0"/>
              <w:right w:val="none" w:sz="0" w:space="0" w:shadow="0" w:frame="0"/>
            </w:tcBorders>
            <w:vAlign w:val="bottom"/>
          </w:tcPr>
          <w:p>
            <w:pPr>
              <w:rPr>
                <w:rFonts w:ascii="Arial" w:hAnsi="Arial"/>
                <w:b w:val="1"/>
                <w:sz w:val="22"/>
              </w:rPr>
            </w:pPr>
            <w:bookmarkEnd w:id="3"/>
          </w:p>
        </w:tc>
      </w:tr>
      <w:tr>
        <w:trPr>
          <w:wAfter w:w="0" w:type="dxa"/>
        </w:trPr>
        <w:tc>
          <w:tcPr>
            <w:tcW w:w="4369" w:type="dxa"/>
            <w:tcBorders>
              <w:top w:val="none" w:sz="0" w:space="0" w:shadow="0" w:frame="0"/>
              <w:left w:val="none" w:sz="0" w:space="0" w:shadow="0" w:frame="0"/>
            </w:tcBorders>
            <w:vAlign w:val="bottom"/>
          </w:tcPr>
          <w:p>
            <w:pPr>
              <w:rPr>
                <w:rFonts w:ascii="Arial" w:hAnsi="Arial"/>
                <w:b w:val="1"/>
                <w:sz w:val="16"/>
              </w:rPr>
            </w:pPr>
          </w:p>
        </w:tc>
        <w:tc>
          <w:tcPr>
            <w:tcW w:w="925" w:type="dxa"/>
            <w:tcBorders>
              <w:top w:val="none" w:sz="0" w:space="0" w:shadow="0" w:frame="0"/>
              <w:bottom w:val="none" w:sz="0" w:space="0" w:shadow="0" w:frame="0"/>
            </w:tcBorders>
            <w:vAlign w:val="bottom"/>
          </w:tcPr>
          <w:p>
            <w:pPr>
              <w:jc w:val="right"/>
              <w:rPr>
                <w:rFonts w:ascii="Arial" w:hAnsi="Arial"/>
                <w:sz w:val="16"/>
              </w:rPr>
            </w:pPr>
          </w:p>
        </w:tc>
        <w:tc>
          <w:tcPr>
            <w:tcW w:w="926" w:type="dxa"/>
            <w:tcBorders>
              <w:top w:val="none" w:sz="0" w:space="0" w:shadow="0" w:frame="0"/>
              <w:bottom w:val="none" w:sz="0" w:space="0" w:shadow="0" w:frame="0"/>
            </w:tcBorders>
            <w:vAlign w:val="bottom"/>
          </w:tcPr>
          <w:p>
            <w:pPr>
              <w:jc w:val="right"/>
              <w:rPr>
                <w:rFonts w:ascii="Arial" w:hAnsi="Arial"/>
                <w:sz w:val="16"/>
              </w:rPr>
            </w:pPr>
          </w:p>
        </w:tc>
        <w:tc>
          <w:tcPr>
            <w:tcW w:w="926" w:type="dxa"/>
            <w:tcBorders>
              <w:top w:val="none" w:sz="0" w:space="0" w:shadow="0" w:frame="0"/>
            </w:tcBorders>
            <w:vAlign w:val="bottom"/>
          </w:tcPr>
          <w:p>
            <w:pPr>
              <w:jc w:val="right"/>
              <w:rPr>
                <w:rFonts w:ascii="Arial" w:hAnsi="Arial"/>
                <w:sz w:val="16"/>
              </w:rPr>
            </w:pPr>
          </w:p>
        </w:tc>
        <w:tc>
          <w:tcPr>
            <w:tcW w:w="925" w:type="dxa"/>
            <w:tcBorders>
              <w:top w:val="none" w:sz="0" w:space="0" w:shadow="0" w:frame="0"/>
            </w:tcBorders>
            <w:vAlign w:val="bottom"/>
          </w:tcPr>
          <w:p>
            <w:pPr>
              <w:jc w:val="right"/>
              <w:rPr>
                <w:rFonts w:ascii="Arial" w:hAnsi="Arial"/>
                <w:sz w:val="16"/>
              </w:rPr>
            </w:pPr>
          </w:p>
        </w:tc>
        <w:tc>
          <w:tcPr>
            <w:tcW w:w="926" w:type="dxa"/>
            <w:tcBorders>
              <w:top w:val="none" w:sz="0" w:space="0" w:shadow="0" w:frame="0"/>
            </w:tcBorders>
            <w:vAlign w:val="bottom"/>
          </w:tcPr>
          <w:p>
            <w:pPr>
              <w:jc w:val="right"/>
              <w:rPr>
                <w:rFonts w:ascii="Arial" w:hAnsi="Arial"/>
                <w:sz w:val="16"/>
              </w:rPr>
            </w:pPr>
          </w:p>
        </w:tc>
        <w:tc>
          <w:tcPr>
            <w:tcW w:w="926" w:type="dxa"/>
            <w:tcBorders>
              <w:top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bookmarkStart w:id="4" w:name="podaci1"/>
            <w:r>
              <w:rPr>
                <w:rFonts w:ascii="Arial" w:hAnsi="Arial"/>
                <w:b w:val="1"/>
                <w:sz w:val="16"/>
              </w:rPr>
              <w:t>TOTAL</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107.2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102.0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111.2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106.2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107.3</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pStyle w:val="P3"/>
              <w:rPr>
                <w:rFonts w:ascii="Arial" w:hAnsi="Arial"/>
              </w:rPr>
            </w:pPr>
            <w:r>
              <w:rPr>
                <w:rFonts w:ascii="Arial" w:hAnsi="Arial"/>
              </w:rPr>
              <w:t>By destination of consumption</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p>
        </w:tc>
        <w:tc>
          <w:tcPr>
            <w:tcW w:w="926" w:type="dxa"/>
            <w:tcBorders>
              <w:right w:val="none" w:sz="0" w:space="0" w:shadow="0" w:frame="0"/>
            </w:tcBorders>
            <w:vAlign w:val="bottom"/>
          </w:tcPr>
          <w:p>
            <w:pPr>
              <w:ind w:right="113"/>
              <w:jc w:val="right"/>
              <w:rPr>
                <w:rFonts w:ascii="Arial" w:hAnsi="Arial"/>
                <w:sz w:val="16"/>
              </w:rPr>
            </w:pPr>
          </w:p>
        </w:tc>
        <w:tc>
          <w:tcPr>
            <w:tcW w:w="925" w:type="dxa"/>
            <w:tcBorders>
              <w:right w:val="none" w:sz="0" w:space="0" w:shadow="0" w:frame="0"/>
            </w:tcBorders>
            <w:vAlign w:val="bottom"/>
          </w:tcPr>
          <w:p>
            <w:pPr>
              <w:ind w:right="113"/>
              <w:jc w:val="right"/>
              <w:rPr>
                <w:rFonts w:ascii="Arial" w:hAnsi="Arial"/>
                <w:sz w:val="16"/>
              </w:rPr>
            </w:pPr>
          </w:p>
        </w:tc>
        <w:tc>
          <w:tcPr>
            <w:tcW w:w="926" w:type="dxa"/>
            <w:tcBorders>
              <w:right w:val="none" w:sz="0" w:space="0" w:shadow="0" w:frame="0"/>
            </w:tcBorders>
            <w:vAlign w:val="bottom"/>
          </w:tcPr>
          <w:p>
            <w:pPr>
              <w:ind w:right="113"/>
              <w:jc w:val="right"/>
              <w:rPr>
                <w:rFonts w:ascii="Arial" w:hAnsi="Arial"/>
                <w:sz w:val="16"/>
              </w:rPr>
            </w:pPr>
          </w:p>
        </w:tc>
        <w:tc>
          <w:tcPr>
            <w:tcW w:w="926" w:type="dxa"/>
            <w:tcBorders>
              <w:right w:val="none" w:sz="0" w:space="0" w:shadow="0" w:frame="0"/>
            </w:tcBorders>
            <w:vAlign w:val="bottom"/>
          </w:tcPr>
          <w:p>
            <w:pPr>
              <w:ind w:right="113"/>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Energy </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104.4</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102.1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104.9</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103.3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106.2</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Intermediate goods except energy</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108.4</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102.6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114.6</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107.1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111.4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108.8</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Capital goods </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104.2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102.3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103.1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107.2</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Durable consumer goods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102.3</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102.8</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102.3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104.1</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Non durable consumer goods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106.5</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101.3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108.0</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105.8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104.8</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MINING AND QUARRYING</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104.4</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102.1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104.9</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103.3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106.2</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Mining and quarrying of energy-producing materials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104.4</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102.1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104.9</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103.3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106.2</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Mining of coal </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104.4</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102.1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104.9</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103.3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106.2</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MANUFACTURING</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107.2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102.0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111.2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106.2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107.3</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food products, beverages and tobacco</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108.5</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102.6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112.2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107.2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110.2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105.3</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food products and beverages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108.5</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102.6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112.2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107.2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110.2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105.3</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textiles and textile products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107.6</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106.6</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107.8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104.8</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textile yarns and textiles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wearing apparel and fur</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110.0</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98.0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107.9</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111.1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109.5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103.9</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wood and wood products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paper, publishing and printing</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108.0</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101.5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111.0</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107.2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111.1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106.4</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pulp, paper and paper products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108.0</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101.5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111.0</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107.2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111.1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106.4</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chemical products and fibres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109.2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102.3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113.9</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108.0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110.5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109.7</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rubber and plastical products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104.3</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102.1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105.5</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103.3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106.2</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other mineral products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105.6</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102.6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105.7</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104.3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107.0</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metal and metal products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107.9</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103.0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113.1</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106.3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111.0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108.6</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basic metals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108.1</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103.0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113.8</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106.5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111.6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108.8</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metal products, except machinery</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105.3</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102.6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105.7</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103.9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106.4</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other machinery and equipment</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102.9</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101.2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102.7</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102.3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106.1</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electrical and optical equipment</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106.7</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101.7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111.7</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105.8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109.6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106.6</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 of other electrical machinery and apparatus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106.7</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101.7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111.7</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105.8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109.6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106.6</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transport equipment</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105.2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102.1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106.8</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104.1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106.7</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motor vehicles and trailers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105.2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102.1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106.8</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104.1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106.7</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Manufacturing n.e.c.</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104.4</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102.1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104.9</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103.3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106.2</w:t>
            </w:r>
          </w:p>
        </w:tc>
      </w:tr>
    </w:tbl>
    <w:p>
      <w:pPr>
        <w:pStyle w:val="P5"/>
        <w:spacing w:before="0" w:after="0" w:beforeAutospacing="0" w:afterAutospacing="0"/>
        <w:jc w:val="center"/>
        <w:rPr>
          <w:rFonts w:ascii="Arial" w:hAnsi="Arial"/>
          <w:b w:val="1"/>
        </w:rPr>
      </w:pPr>
      <w:bookmarkEnd w:id="4"/>
    </w:p>
    <w:p>
      <w:pPr>
        <w:pStyle w:val="P5"/>
        <w:spacing w:before="0" w:after="0" w:beforeAutospacing="0" w:afterAutospacing="0"/>
        <w:jc w:val="center"/>
        <w:rPr>
          <w:rFonts w:ascii="Arial" w:hAnsi="Arial"/>
          <w:b w:val="1"/>
        </w:rPr>
      </w:pPr>
    </w:p>
    <w:p>
      <w:pPr>
        <w:jc w:val="both"/>
        <w:rPr>
          <w:rFonts w:ascii="Arial" w:hAnsi="Arial"/>
          <w:b w:val="1"/>
          <w:sz w:val="18"/>
        </w:rPr>
      </w:pPr>
      <w:r>
        <w:rPr>
          <w:rFonts w:ascii="Arial" w:hAnsi="Arial"/>
          <w:b w:val="1"/>
          <w:sz w:val="18"/>
        </w:rPr>
        <w:t xml:space="preserve">METHODOLOGICAL </w:t>
      </w:r>
      <w:r>
        <w:rPr>
          <w:rFonts w:ascii="Arial" w:hAnsi="Arial"/>
          <w:b w:val="1"/>
          <w:sz w:val="18"/>
        </w:rPr>
        <w:t>NOTES</w:t>
      </w:r>
      <w:r>
        <w:rPr>
          <w:rFonts w:ascii="Arial" w:hAnsi="Arial"/>
          <w:b w:val="1"/>
          <w:sz w:val="18"/>
        </w:rPr>
        <w:t>:</w:t>
      </w:r>
    </w:p>
    <w:p>
      <w:pPr>
        <w:ind w:left="567"/>
        <w:jc w:val="both"/>
        <w:rPr>
          <w:rFonts w:ascii="Arial" w:hAnsi="Arial"/>
          <w:sz w:val="18"/>
        </w:rPr>
      </w:pPr>
      <w:r>
        <w:rPr>
          <w:rFonts w:ascii="Arial" w:hAnsi="Arial"/>
          <w:sz w:val="18"/>
        </w:rPr>
        <w:t xml:space="preserve">Index of export producers’ prices is calculated according to methodology harmonized with methodology for calculating indices of producers’ prices in domestic market and is based on international statistical principles and recommendations. The aim of conducting this survey is calculating total index of producers’ prices (for domestic and foreign market) and it is also used as a short – term indicator in macroeconomic analysis and reviews. The survey is conducted on the representative sample. Prices are collected in foreign currencies and indices are calculated in dinar value, according to the mean exchange rate of the National Bank of Serbia. Indices for the Republic of Serbia are calculated without data on Kosovo and Metohia.       </w:t>
      </w:r>
    </w:p>
    <w:p>
      <w:pPr>
        <w:ind w:left="567"/>
        <w:jc w:val="both"/>
        <w:rPr>
          <w:rFonts w:ascii="Arial" w:hAnsi="Arial"/>
          <w:sz w:val="18"/>
        </w:rPr>
      </w:pPr>
    </w:p>
    <w:p>
      <w:pPr>
        <w:ind w:left="567"/>
        <w:jc w:val="both"/>
        <w:rPr>
          <w:rFonts w:ascii="Arial" w:hAnsi="Arial"/>
          <w:b w:val="1"/>
          <w:sz w:val="18"/>
        </w:rPr>
      </w:pPr>
      <w:r>
        <w:rPr>
          <w:rFonts w:ascii="Arial" w:hAnsi="Arial"/>
          <w:b w:val="1"/>
          <w:sz w:val="18"/>
        </w:rPr>
        <w:t>Symbols:</w:t>
      </w:r>
    </w:p>
    <w:p>
      <w:pPr>
        <w:ind w:left="567"/>
        <w:jc w:val="both"/>
        <w:rPr>
          <w:rFonts w:ascii="Arial" w:hAnsi="Arial"/>
          <w:sz w:val="18"/>
        </w:rPr>
      </w:pPr>
      <w:r>
        <w:rPr>
          <w:rFonts w:ascii="Arial" w:hAnsi="Arial"/>
          <w:sz w:val="18"/>
        </w:rPr>
        <w:t xml:space="preserve">…   =   representative data not available for field level  </w:t>
      </w:r>
    </w:p>
    <w:p>
      <w:pPr>
        <w:ind w:left="567"/>
        <w:jc w:val="both"/>
        <w:rPr>
          <w:rFonts w:ascii="Arial" w:hAnsi="Arial"/>
          <w:sz w:val="18"/>
        </w:rPr>
      </w:pPr>
      <w:r>
        <w:rPr>
          <w:rFonts w:ascii="Arial" w:hAnsi="Arial"/>
          <w:sz w:val="18"/>
        </w:rPr>
        <w:t xml:space="preserve"> -    =  no occurrence of the event in that period</w:t>
      </w: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ind w:left="198" w:right="198"/>
        <w:jc w:val="center"/>
        <w:rPr>
          <w:rFonts w:ascii="Arial" w:hAnsi="Arial"/>
        </w:rPr>
      </w:pPr>
    </w:p>
    <w:p>
      <w:pPr>
        <w:jc w:val="center"/>
        <w:rPr>
          <w:rFonts w:ascii="Arial" w:hAnsi="Arial"/>
          <w:sz w:val="20"/>
        </w:rPr>
      </w:pPr>
      <w:r>
        <w:rPr>
          <w:rFonts w:ascii="Arial" w:hAnsi="Arial"/>
          <w:sz w:val="20"/>
        </w:rPr>
        <w:t>Published and printed by: Statistical Office of the Republic of Serbia, No 5 Milana Rakica 5, Belgrade</w:t>
      </w:r>
    </w:p>
    <w:p>
      <w:pPr>
        <w:jc w:val="center"/>
        <w:rPr>
          <w:rFonts w:ascii="Arial" w:hAnsi="Arial"/>
          <w:sz w:val="20"/>
        </w:rPr>
      </w:pPr>
      <w:r>
        <w:rPr>
          <w:rFonts w:ascii="Arial" w:hAnsi="Arial"/>
          <w:sz w:val="20"/>
        </w:rPr>
        <w:t xml:space="preserve">Phone: +381 11 2412922 ● Fax: +381 11 2411260 ● www.statserb.sr.gov.yu </w:t>
      </w:r>
    </w:p>
    <w:p>
      <w:pPr>
        <w:jc w:val="center"/>
        <w:rPr>
          <w:rFonts w:ascii="Arial" w:hAnsi="Arial"/>
          <w:sz w:val="20"/>
        </w:rPr>
      </w:pPr>
      <w:r>
        <w:rPr>
          <w:rFonts w:ascii="Arial" w:hAnsi="Arial"/>
          <w:sz w:val="20"/>
        </w:rPr>
        <w:t>Responsible: Dragan Vukmirovic, PhD, Director</w:t>
      </w:r>
    </w:p>
    <w:p>
      <w:pPr>
        <w:ind w:left="198" w:right="29"/>
        <w:jc w:val="center"/>
        <w:rPr>
          <w:sz w:val="20"/>
        </w:rPr>
      </w:pPr>
      <w:r>
        <w:rPr>
          <w:rFonts w:ascii="Arial" w:hAnsi="Arial"/>
          <w:sz w:val="20"/>
        </w:rPr>
        <w:t>Circulation: 50 ● Issued monthly</w:t>
      </w:r>
    </w:p>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021" w:right="1021"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framePr w:wrap="around" w:vAnchor="text" w:hAnchor="margin" w:x="-16" w:y="1"/>
      <w:pBdr>
        <w:top w:val="single" w:sz="4" w:space="0" w:shadow="0" w:frame="0"/>
      </w:pBdr>
      <w:jc w:val="right"/>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7"/>
      <w:pBdr>
        <w:top w:val="single" w:sz="4" w:space="0" w:shadow="0" w:frame="0"/>
      </w:pBdr>
      <w:jc w:val="right"/>
      <w:rPr>
        <w:rFonts w:ascii="Arial" w:hAnsi="Arial"/>
        <w:sz w:val="16"/>
      </w:rPr>
    </w:pPr>
    <w:r>
      <w:rPr>
        <w:rFonts w:ascii="Arial" w:hAnsi="Arial"/>
        <w:sz w:val="16"/>
      </w:rPr>
      <w:t xml:space="preserve">                                                                                                                   SERB 95 CN21 110408</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framePr w:wrap="around" w:vAnchor="text" w:hAnchor="margin" w:x="-16" w:y="1"/>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7"/>
      <w:pBdr>
        <w:top w:val="single" w:sz="4" w:space="0" w:shadow="0" w:frame="0"/>
      </w:pBdr>
      <w:jc w:val="right"/>
      <w:rPr>
        <w:rFonts w:ascii="Arial" w:hAnsi="Arial"/>
        <w:sz w:val="16"/>
      </w:rPr>
    </w:pPr>
    <w:r>
      <w:rPr>
        <w:rFonts w:ascii="Arial" w:hAnsi="Arial"/>
        <w:sz w:val="16"/>
      </w:rPr>
      <w:t>SERB 52 CN21 080308</w:t>
    </w:r>
  </w:p>
</w:ft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outlineLvl w:val="0"/>
    </w:pPr>
    <w:rPr>
      <w:rFonts w:ascii="Arial Cirilica" w:hAnsi="Arial Cirilica"/>
      <w:b w:val="1"/>
      <w:sz w:val="18"/>
    </w:rPr>
  </w:style>
  <w:style w:type="paragraph" w:styleId="P3">
    <w:name w:val="Heading 3"/>
    <w:basedOn w:val="P0"/>
    <w:next w:val="P0"/>
    <w:pPr>
      <w:keepNext w:val="1"/>
      <w:outlineLvl w:val="2"/>
    </w:pPr>
    <w:rPr>
      <w:rFonts w:ascii="Arial Cirilica" w:hAnsi="Arial Cirilica"/>
      <w:i w:val="1"/>
      <w:sz w:val="16"/>
    </w:rPr>
  </w:style>
  <w:style w:type="paragraph" w:styleId="P4">
    <w:name w:val="Heading 5"/>
    <w:basedOn w:val="P0"/>
    <w:next w:val="P0"/>
    <w:pPr>
      <w:keepNext w:val="1"/>
      <w:ind w:left="360"/>
      <w:jc w:val="center"/>
      <w:outlineLvl w:val="4"/>
    </w:pPr>
    <w:rPr>
      <w:rFonts w:ascii="Arial" w:hAnsi="Arial"/>
      <w:b w:val="1"/>
      <w:sz w:val="26"/>
    </w:rPr>
  </w:style>
  <w:style w:type="paragraph" w:styleId="P5">
    <w:name w:val="xl24"/>
    <w:basedOn w:val="P0"/>
    <w:next w:val="P5"/>
    <w:pPr>
      <w:spacing w:before="100" w:after="100" w:beforeAutospacing="1" w:afterAutospacing="1"/>
    </w:pPr>
    <w:rPr>
      <w:rFonts w:ascii="Arial Cirilica" w:hAnsi="Arial Cirilica"/>
    </w:rPr>
  </w:style>
  <w:style w:type="paragraph" w:styleId="P6">
    <w:name w:val="Header"/>
    <w:basedOn w:val="P0"/>
    <w:next w:val="P6"/>
    <w:pPr>
      <w:tabs>
        <w:tab w:val="center" w:pos="4320" w:leader="none"/>
        <w:tab w:val="right" w:pos="8640" w:leader="none"/>
      </w:tabs>
    </w:pPr>
    <w:rPr/>
  </w:style>
  <w:style w:type="paragraph" w:styleId="P7">
    <w:name w:val="Footer"/>
    <w:basedOn w:val="P0"/>
    <w:next w:val="P7"/>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f61sp20</dc:creator>
  <dcterms:created xsi:type="dcterms:W3CDTF">2008-04-11T09:54:00Z</dcterms:created>
  <cp:lastModifiedBy>Nikola Kapetanovic</cp:lastModifiedBy>
  <cp:lastPrinted>2008-04-11T09:55:00Z</cp:lastPrinted>
  <dcterms:modified xsi:type="dcterms:W3CDTF">2020-01-10T11:46:23Z</dcterms:modified>
  <cp:revision>4</cp:revision>
  <dc:title>Republic of Serbia</dc:title>
</cp:coreProperties>
</file>