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704A576F" Type="http://schemas.openxmlformats.org/officeDocument/2006/relationships/officeDocument" Target="/word/document.xml" /><Relationship Id="coreR704A576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9923" w:type="dxa"/>
        <w:jc w:val="center"/>
        <w:tblInd w:w="15"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exact" w:val="113"/>
        </w:trPr>
        <w:tc>
          <w:tcPr>
            <w:tcW w:w="6692" w:type="dxa"/>
            <w:vMerge w:val="restart"/>
            <w:tcBorders>
              <w:top w:val="single" w:sz="18" w:space="0" w:shadow="0" w:frame="0"/>
              <w:left w:val="none" w:sz="0" w:space="0" w:shadow="0" w:frame="0"/>
              <w:bottom w:val="none" w:sz="0" w:space="0" w:shadow="0" w:frame="0"/>
            </w:tcBorders>
            <w:vAlign w:val="center"/>
          </w:tcPr>
          <w:p>
            <w:pPr>
              <w:pStyle w:val="P7"/>
              <w:tabs>
                <w:tab w:val="clear" w:pos="4320" w:leader="none"/>
                <w:tab w:val="clear" w:pos="8640" w:leader="none"/>
              </w:tabs>
              <w:rPr>
                <w:rFonts w:ascii="Arial" w:hAnsi="Arial"/>
              </w:rPr>
            </w:pPr>
            <w:r>
              <w:rPr>
                <w:rFonts w:ascii="Arial" w:hAnsi="Arial"/>
              </w:rPr>
              <w:t>Republic of Serbia</w:t>
            </w:r>
          </w:p>
          <w:p>
            <w:r>
              <w:rPr>
                <w:rFonts w:ascii="Arial" w:hAnsi="Arial"/>
              </w:rPr>
              <w:t>Statistical Office of the Republic of Serbia</w:t>
            </w:r>
          </w:p>
        </w:tc>
        <w:tc>
          <w:tcPr>
            <w:tcW w:w="3231"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94"/>
        </w:trPr>
        <w:tc>
          <w:tcPr>
            <w:tcW w:w="3231" w:type="nil"/>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3231" w:type="dxa"/>
            <w:tcBorders>
              <w:top w:val="single" w:sz="4" w:space="0" w:shadow="0" w:frame="0"/>
              <w:left w:val="single" w:sz="4" w:space="0" w:shadow="0" w:frame="0"/>
              <w:bottom w:val="single" w:sz="4" w:space="0" w:shadow="0" w:frame="0"/>
              <w:right w:val="single" w:sz="4" w:space="0" w:shadow="0" w:frame="0"/>
            </w:tcBorders>
            <w:vAlign w:val="center"/>
          </w:tcPr>
          <w:p>
            <w:pPr>
              <w:pStyle w:val="P5"/>
              <w:rPr>
                <w:sz w:val="24"/>
              </w:rPr>
            </w:pPr>
            <w:r>
              <w:rPr>
                <w:sz w:val="24"/>
              </w:rPr>
              <w:t>ISSN 0353-9555</w:t>
            </w:r>
          </w:p>
        </w:tc>
      </w:tr>
      <w:tr>
        <w:trPr>
          <w:wAfter w:w="0" w:type="dxa"/>
          <w:trHeight w:hRule="atLeast" w:val="113"/>
        </w:trPr>
        <w:tc>
          <w:tcPr>
            <w:tcW w:w="6692"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3231"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141"/>
        </w:trPr>
        <w:tc>
          <w:tcPr>
            <w:tcW w:w="6692" w:type="dxa"/>
            <w:tcBorders>
              <w:top w:val="none" w:sz="0" w:space="0" w:shadow="0" w:frame="0"/>
              <w:left w:val="none" w:sz="0" w:space="0" w:shadow="0" w:frame="0"/>
              <w:bottom w:val="none" w:sz="0" w:space="0" w:shadow="0" w:frame="0"/>
              <w:right w:val="none" w:sz="0" w:space="0" w:shadow="0" w:frame="0"/>
            </w:tcBorders>
          </w:tcPr>
          <w:p>
            <w:pPr>
              <w:rPr>
                <w:rFonts w:ascii="Arial" w:hAnsi="Arial"/>
                <w:b w:val="1"/>
                <w:sz w:val="72"/>
              </w:rPr>
            </w:pPr>
            <w:r>
              <w:rPr>
                <w:rFonts w:ascii="Arial" w:hAnsi="Arial"/>
                <w:b w:val="1"/>
                <w:sz w:val="72"/>
              </w:rPr>
              <w:t>COMMUNICATION</w:t>
            </w:r>
          </w:p>
          <w:p>
            <w:pPr>
              <w:rPr>
                <w:b w:val="1"/>
              </w:rPr>
            </w:pPr>
            <w:r>
              <w:rPr>
                <w:rFonts w:ascii="Arial" w:hAnsi="Arial"/>
                <w:sz w:val="22"/>
              </w:rPr>
              <w:t>Number 49 • Year LVIII, 29/02/2008</w:t>
            </w:r>
          </w:p>
        </w:tc>
        <w:tc>
          <w:tcPr>
            <w:tcW w:w="3231" w:type="dxa"/>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72"/>
              </w:rPr>
            </w:pPr>
            <w:r>
              <w:rPr>
                <w:rFonts w:ascii="Arial" w:hAnsi="Arial"/>
                <w:b w:val="1"/>
                <w:sz w:val="72"/>
              </w:rPr>
              <w:t>CN20</w:t>
            </w:r>
          </w:p>
        </w:tc>
      </w:tr>
      <w:tr>
        <w:trPr>
          <w:wAfter w:w="0" w:type="dxa"/>
          <w:trHeight w:hRule="exact" w:val="305"/>
        </w:trPr>
        <w:tc>
          <w:tcPr>
            <w:tcW w:w="6692" w:type="dxa"/>
            <w:vMerge w:val="restart"/>
            <w:tcBorders>
              <w:top w:val="none" w:sz="0" w:space="0" w:shadow="0" w:frame="0"/>
              <w:left w:val="none" w:sz="0" w:space="0" w:shadow="0" w:frame="0"/>
              <w:bottom w:val="none" w:sz="0" w:space="0" w:shadow="0" w:frame="0"/>
              <w:right w:val="none" w:sz="0" w:space="0" w:shadow="0" w:frame="0"/>
            </w:tcBorders>
            <w:vAlign w:val="center"/>
          </w:tcPr>
          <w:p>
            <w:pPr>
              <w:rPr>
                <w:b w:val="1"/>
              </w:rPr>
            </w:pPr>
            <w:r>
              <w:rPr>
                <w:rFonts w:ascii="Arial" w:hAnsi="Arial"/>
                <w:b w:val="1"/>
              </w:rPr>
              <w:t>Price statistics</w:t>
            </w:r>
          </w:p>
        </w:tc>
        <w:tc>
          <w:tcPr>
            <w:tcW w:w="3231"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bookmarkStart w:id="0" w:name="serb"/>
            <w:bookmarkEnd w:id="0"/>
            <w:r>
              <w:rPr>
                <w:b w:val="1"/>
                <w:sz w:val="20"/>
              </w:rPr>
              <w:t>SERB 49 CN20 290208</w:t>
            </w:r>
          </w:p>
        </w:tc>
      </w:tr>
      <w:tr>
        <w:trPr>
          <w:wAfter w:w="0" w:type="dxa"/>
          <w:trHeight w:hRule="exact" w:val="113"/>
        </w:trPr>
        <w:tc>
          <w:tcPr>
            <w:tcW w:w="3231" w:type="nil"/>
            <w:vMerge w:val="continue"/>
            <w:tcBorders>
              <w:top w:val="none" w:sz="0" w:space="0" w:shadow="0" w:frame="0"/>
              <w:left w:val="none" w:sz="0" w:space="0" w:shadow="0" w:frame="0"/>
              <w:bottom w:val="single" w:sz="18" w:space="0" w:shadow="0" w:frame="0"/>
            </w:tcBorders>
          </w:tcPr>
          <w:p>
            <w:pPr>
              <w:pStyle w:val="P1"/>
              <w:ind w:left="144"/>
              <w:rPr>
                <w:b w:val="1"/>
              </w:rPr>
            </w:pPr>
          </w:p>
        </w:tc>
        <w:tc>
          <w:tcPr>
            <w:tcW w:w="3231"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
    <w:tbl>
      <w:tblPr>
        <w:tblStyle w:val="T2"/>
        <w:tblW w:w="9923" w:type="dxa"/>
        <w:tblLayout w:type="fixed"/>
        <w:tblCellMar>
          <w:left w:w="0" w:type="dxa"/>
          <w:right w:w="0" w:type="dxa"/>
        </w:tblCellMar>
      </w:tblPr>
      <w:tblGrid/>
      <w:tr>
        <w:trPr>
          <w:wAfter w:w="0" w:type="dxa"/>
        </w:trPr>
        <w:tc>
          <w:tcPr>
            <w:tcW w:w="9923" w:type="dxa"/>
            <w:gridSpan w:val="5"/>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b w:val="1"/>
                <w:sz w:val="32"/>
              </w:rPr>
            </w:pPr>
            <w:r>
              <w:rPr>
                <w:rFonts w:ascii="Arial" w:hAnsi="Arial"/>
                <w:b w:val="1"/>
                <w:sz w:val="32"/>
              </w:rPr>
              <w:t>Indices of producers' prices of manufactured products</w:t>
            </w:r>
          </w:p>
        </w:tc>
      </w:tr>
      <w:tr>
        <w:trPr>
          <w:wAfter w:w="0" w:type="dxa"/>
        </w:trPr>
        <w:tc>
          <w:tcPr>
            <w:tcW w:w="9923" w:type="dxa"/>
            <w:gridSpan w:val="5"/>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b w:val="1"/>
                <w:sz w:val="32"/>
              </w:rPr>
            </w:pPr>
            <w:bookmarkStart w:id="1" w:name="naslov"/>
            <w:bookmarkEnd w:id="1"/>
            <w:r>
              <w:rPr>
                <w:rFonts w:ascii="Arial" w:hAnsi="Arial"/>
                <w:b w:val="1"/>
                <w:sz w:val="32"/>
              </w:rPr>
              <w:t>for Republic of Serbia - January 2008.</w:t>
            </w:r>
          </w:p>
        </w:tc>
      </w:tr>
      <w:tr>
        <w:trPr>
          <w:wAfter w:w="0" w:type="dxa"/>
        </w:trPr>
        <w:tc>
          <w:tcPr>
            <w:tcW w:w="9923" w:type="dxa"/>
            <w:gridSpan w:val="5"/>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b w:val="1"/>
                <w:sz w:val="32"/>
              </w:rPr>
            </w:pPr>
          </w:p>
        </w:tc>
      </w:tr>
      <w:tr>
        <w:trPr>
          <w:wAfter w:w="0" w:type="dxa"/>
        </w:trPr>
        <w:tc>
          <w:tcPr>
            <w:tcW w:w="9923" w:type="dxa"/>
            <w:gridSpan w:val="5"/>
            <w:tcBorders>
              <w:top w:val="none" w:sz="0" w:space="0" w:shadow="0" w:frame="0"/>
              <w:left w:val="none" w:sz="0" w:space="0" w:shadow="0" w:frame="0"/>
              <w:right w:val="none" w:sz="0" w:space="0" w:shadow="0" w:frame="0"/>
            </w:tcBorders>
            <w:vAlign w:val="bottom"/>
          </w:tcPr>
          <w:p>
            <w:pPr>
              <w:jc w:val="center"/>
              <w:rPr>
                <w:rFonts w:ascii="Arial" w:hAnsi="Arial"/>
                <w:b w:val="1"/>
                <w:sz w:val="22"/>
              </w:rPr>
            </w:pPr>
            <w:r>
              <w:rPr>
                <w:rFonts w:ascii="Arial" w:hAnsi="Arial"/>
                <w:b w:val="1"/>
                <w:sz w:val="22"/>
              </w:rPr>
              <w:t>Indices of producers' prices of manufactured products</w:t>
            </w:r>
          </w:p>
        </w:tc>
      </w:tr>
      <w:tr>
        <w:trPr>
          <w:wAfter w:w="0" w:type="dxa"/>
        </w:trPr>
        <w:tc>
          <w:tcPr>
            <w:tcW w:w="9923" w:type="dxa"/>
            <w:gridSpan w:val="5"/>
            <w:tcBorders>
              <w:top w:val="none" w:sz="0" w:space="0" w:shadow="0" w:frame="0"/>
              <w:left w:val="none" w:sz="0" w:space="0" w:shadow="0" w:frame="0"/>
              <w:bottom w:val="single" w:sz="8" w:space="0" w:shadow="0" w:frame="0"/>
              <w:right w:val="none" w:sz="0" w:space="0" w:shadow="0" w:frame="0"/>
            </w:tcBorders>
            <w:vAlign w:val="bottom"/>
          </w:tcPr>
          <w:p>
            <w:pPr>
              <w:pStyle w:val="P2"/>
              <w:spacing w:before="60" w:after="60"/>
              <w:rPr>
                <w:rFonts w:ascii="Arial" w:hAnsi="Arial"/>
              </w:rPr>
            </w:pPr>
            <w:r>
              <w:rPr>
                <w:rFonts w:ascii="Arial" w:hAnsi="Arial"/>
              </w:rPr>
              <w:t>Republic of Serbia</w:t>
            </w:r>
          </w:p>
        </w:tc>
      </w:tr>
      <w:tr>
        <w:trPr>
          <w:wAfter w:w="0" w:type="dxa"/>
        </w:trPr>
        <w:tc>
          <w:tcPr>
            <w:tcW w:w="4369" w:type="dxa"/>
            <w:vMerge w:val="restart"/>
            <w:tcBorders>
              <w:top w:val="single" w:sz="8" w:space="0" w:shadow="0" w:frame="0"/>
              <w:left w:val="none" w:sz="0" w:space="0" w:shadow="0" w:frame="0"/>
              <w:right w:val="single" w:sz="4" w:space="0" w:shadow="0" w:frame="0"/>
            </w:tcBorders>
            <w:vAlign w:val="bottom"/>
          </w:tcPr>
          <w:p>
            <w:pPr>
              <w:rPr>
                <w:rFonts w:ascii="Arial" w:hAnsi="Arial"/>
                <w:sz w:val="20"/>
              </w:rPr>
            </w:pPr>
            <w:bookmarkStart w:id="2" w:name="zaglavlje11"/>
            <w:r>
              <w:rPr>
                <w:rFonts w:ascii="Arial" w:hAnsi="Arial"/>
                <w:sz w:val="20"/>
              </w:rPr>
              <w:t> </w:t>
            </w:r>
          </w:p>
        </w:tc>
        <w:tc>
          <w:tcPr>
            <w:tcW w:w="1395"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 2008</w:t>
            </w:r>
          </w:p>
        </w:tc>
        <w:tc>
          <w:tcPr>
            <w:tcW w:w="1395"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 2008</w:t>
            </w:r>
          </w:p>
        </w:tc>
        <w:tc>
          <w:tcPr>
            <w:tcW w:w="1395"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 2008</w:t>
            </w:r>
          </w:p>
        </w:tc>
        <w:tc>
          <w:tcPr>
            <w:tcW w:w="1369" w:type="dxa"/>
            <w:tcBorders>
              <w:top w:val="single" w:sz="8" w:space="0" w:shadow="0" w:frame="0"/>
              <w:left w:val="single" w:sz="4" w:space="0" w:shadow="0" w:frame="0"/>
            </w:tcBorders>
            <w:vAlign w:val="bottom"/>
          </w:tcPr>
          <w:p>
            <w:pPr>
              <w:jc w:val="center"/>
              <w:rPr>
                <w:rFonts w:ascii="Arial" w:hAnsi="Arial"/>
                <w:sz w:val="16"/>
              </w:rPr>
            </w:pPr>
            <w:r>
              <w:rPr>
                <w:rFonts w:ascii="Arial" w:hAnsi="Arial"/>
                <w:sz w:val="16"/>
              </w:rPr>
              <w:t>ø 2007</w:t>
            </w:r>
          </w:p>
        </w:tc>
      </w:tr>
      <w:tr>
        <w:trPr>
          <w:wAfter w:w="0" w:type="dxa"/>
        </w:trPr>
        <w:tc>
          <w:tcPr>
            <w:tcW w:w="4369" w:type="dxa"/>
            <w:vMerge w:val="continue"/>
            <w:tcBorders>
              <w:left w:val="none" w:sz="0" w:space="0" w:shadow="0" w:frame="0"/>
              <w:right w:val="single" w:sz="4" w:space="0" w:shadow="0" w:frame="0"/>
            </w:tcBorders>
            <w:vAlign w:val="bottom"/>
          </w:tcPr>
          <w:p>
            <w:pPr>
              <w:rPr>
                <w:rFonts w:ascii="Arial" w:hAnsi="Arial"/>
                <w:sz w:val="20"/>
              </w:rPr>
            </w:pPr>
            <w:bookmarkEnd w:id="2"/>
          </w:p>
        </w:tc>
        <w:tc>
          <w:tcPr>
            <w:tcW w:w="1395" w:type="dxa"/>
            <w:tcBorders>
              <w:left w:val="single" w:sz="4" w:space="0" w:shadow="0" w:frame="0"/>
              <w:right w:val="single" w:sz="4" w:space="0" w:shadow="0" w:frame="0"/>
            </w:tcBorders>
            <w:vAlign w:val="bottom"/>
          </w:tcPr>
          <w:p>
            <w:pPr>
              <w:jc w:val="center"/>
              <w:rPr>
                <w:rFonts w:ascii="Arial" w:hAnsi="Arial"/>
                <w:sz w:val="6"/>
              </w:rPr>
            </w:pPr>
          </w:p>
        </w:tc>
        <w:tc>
          <w:tcPr>
            <w:tcW w:w="1395" w:type="dxa"/>
            <w:tcBorders>
              <w:left w:val="single" w:sz="4" w:space="0" w:shadow="0" w:frame="0"/>
              <w:right w:val="single" w:sz="4" w:space="0" w:shadow="0" w:frame="0"/>
            </w:tcBorders>
            <w:vAlign w:val="bottom"/>
          </w:tcPr>
          <w:p>
            <w:pPr>
              <w:jc w:val="center"/>
              <w:rPr>
                <w:rFonts w:ascii="Arial" w:hAnsi="Arial"/>
                <w:sz w:val="6"/>
              </w:rPr>
            </w:pPr>
          </w:p>
        </w:tc>
        <w:tc>
          <w:tcPr>
            <w:tcW w:w="1395" w:type="dxa"/>
            <w:tcBorders>
              <w:left w:val="single" w:sz="4" w:space="0" w:shadow="0" w:frame="0"/>
              <w:right w:val="single" w:sz="4" w:space="0" w:shadow="0" w:frame="0"/>
            </w:tcBorders>
            <w:vAlign w:val="bottom"/>
          </w:tcPr>
          <w:p>
            <w:pPr>
              <w:jc w:val="center"/>
              <w:rPr>
                <w:rFonts w:ascii="Arial" w:hAnsi="Arial"/>
                <w:sz w:val="6"/>
              </w:rPr>
            </w:pPr>
          </w:p>
        </w:tc>
        <w:tc>
          <w:tcPr>
            <w:tcW w:w="1369" w:type="dxa"/>
            <w:tcBorders>
              <w:left w:val="single" w:sz="4" w:space="0" w:shadow="0" w:frame="0"/>
            </w:tcBorders>
            <w:vAlign w:val="bottom"/>
          </w:tcPr>
          <w:p>
            <w:pPr>
              <w:jc w:val="center"/>
              <w:rPr>
                <w:rFonts w:ascii="Arial" w:hAnsi="Arial"/>
                <w:sz w:val="6"/>
              </w:rPr>
            </w:pPr>
          </w:p>
        </w:tc>
      </w:tr>
      <w:tr>
        <w:trPr>
          <w:wAfter w:w="0" w:type="dxa"/>
        </w:trPr>
        <w:tc>
          <w:tcPr>
            <w:tcW w:w="4369" w:type="dxa"/>
            <w:vMerge w:val="continue"/>
            <w:tcBorders>
              <w:left w:val="none" w:sz="0" w:space="0" w:shadow="0" w:frame="0"/>
              <w:bottom w:val="single" w:sz="8" w:space="0" w:shadow="0" w:frame="0"/>
              <w:right w:val="single" w:sz="4" w:space="0" w:shadow="0" w:frame="0"/>
            </w:tcBorders>
            <w:vAlign w:val="bottom"/>
          </w:tcPr>
          <w:p>
            <w:pPr>
              <w:rPr>
                <w:rFonts w:ascii="Arial" w:hAnsi="Arial"/>
                <w:sz w:val="20"/>
              </w:rPr>
            </w:pPr>
            <w:bookmarkStart w:id="3" w:name="zaglavlje12"/>
          </w:p>
        </w:tc>
        <w:tc>
          <w:tcPr>
            <w:tcW w:w="1395"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ø 2007</w:t>
            </w:r>
          </w:p>
        </w:tc>
        <w:tc>
          <w:tcPr>
            <w:tcW w:w="1395"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XII 2007</w:t>
            </w:r>
          </w:p>
        </w:tc>
        <w:tc>
          <w:tcPr>
            <w:tcW w:w="1395"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I 2007</w:t>
            </w:r>
          </w:p>
        </w:tc>
        <w:tc>
          <w:tcPr>
            <w:tcW w:w="1369" w:type="dxa"/>
            <w:tcBorders>
              <w:top w:val="none" w:sz="0" w:space="0" w:shadow="0" w:frame="0"/>
              <w:left w:val="single" w:sz="4" w:space="0" w:shadow="0" w:frame="0"/>
              <w:bottom w:val="single" w:sz="8" w:space="0" w:shadow="0" w:frame="0"/>
            </w:tcBorders>
            <w:vAlign w:val="bottom"/>
          </w:tcPr>
          <w:p>
            <w:pPr>
              <w:jc w:val="center"/>
              <w:rPr>
                <w:rFonts w:ascii="Arial" w:hAnsi="Arial"/>
                <w:sz w:val="16"/>
              </w:rPr>
            </w:pPr>
            <w:r>
              <w:rPr>
                <w:rFonts w:ascii="Arial" w:hAnsi="Arial"/>
                <w:sz w:val="16"/>
              </w:rPr>
              <w:t>ø 2006</w:t>
            </w:r>
          </w:p>
        </w:tc>
      </w:tr>
      <w:tr>
        <w:trPr>
          <w:wAfter w:w="0" w:type="dxa"/>
        </w:trPr>
        <w:tc>
          <w:tcPr>
            <w:tcW w:w="9923" w:type="dxa"/>
            <w:gridSpan w:val="5"/>
            <w:tcBorders>
              <w:top w:val="single" w:sz="8" w:space="0" w:shadow="0" w:frame="0"/>
              <w:left w:val="none" w:sz="0" w:space="0" w:shadow="0" w:frame="0"/>
              <w:right w:val="none" w:sz="0" w:space="0" w:shadow="0" w:frame="0"/>
            </w:tcBorders>
            <w:vAlign w:val="bottom"/>
          </w:tcPr>
          <w:p>
            <w:pPr>
              <w:rPr>
                <w:rFonts w:ascii="Arial" w:hAnsi="Arial"/>
                <w:b w:val="1"/>
                <w:sz w:val="22"/>
              </w:rPr>
            </w:pPr>
            <w:bookmarkEnd w:id="3"/>
          </w:p>
        </w:tc>
      </w:tr>
      <w:tr>
        <w:trPr>
          <w:wAfter w:w="0" w:type="dxa"/>
        </w:trPr>
        <w:tc>
          <w:tcPr>
            <w:tcW w:w="9923" w:type="dxa"/>
            <w:gridSpan w:val="5"/>
            <w:tcBorders>
              <w:left w:val="none" w:sz="0" w:space="0" w:shadow="0" w:frame="0"/>
              <w:right w:val="none" w:sz="0" w:space="0" w:shadow="0" w:frame="0"/>
            </w:tcBorders>
            <w:vAlign w:val="bottom"/>
          </w:tcPr>
          <w:p>
            <w:pPr>
              <w:rPr>
                <w:rFonts w:ascii="Arial" w:hAnsi="Arial"/>
                <w:sz w:val="22"/>
              </w:rPr>
            </w:pPr>
            <w:r>
              <w:rPr>
                <w:rFonts w:ascii="Arial" w:hAnsi="Arial"/>
                <w:b w:val="1"/>
                <w:sz w:val="22"/>
              </w:rPr>
              <w:t xml:space="preserve">                                                                  </w:t>
            </w:r>
            <w:r>
              <w:rPr>
                <w:rFonts w:ascii="Arial" w:hAnsi="Arial"/>
                <w:b w:val="1"/>
                <w:sz w:val="22"/>
              </w:rPr>
              <w:t>Republic of Serbia</w:t>
            </w:r>
          </w:p>
        </w:tc>
      </w:tr>
      <w:tr>
        <w:trPr>
          <w:wAfter w:w="0" w:type="dxa"/>
        </w:trPr>
        <w:tc>
          <w:tcPr>
            <w:tcW w:w="4369" w:type="dxa"/>
            <w:tcBorders>
              <w:top w:val="none" w:sz="0" w:space="0" w:shadow="0" w:frame="0"/>
              <w:left w:val="none" w:sz="0" w:space="0" w:shadow="0" w:frame="0"/>
              <w:bottom w:val="none" w:sz="0" w:space="0" w:shadow="0" w:frame="0"/>
            </w:tcBorders>
            <w:vAlign w:val="bottom"/>
          </w:tcPr>
          <w:p>
            <w:pPr>
              <w:rPr>
                <w:rFonts w:ascii="Arial" w:hAnsi="Arial"/>
                <w:b w:val="1"/>
                <w:sz w:val="16"/>
              </w:rPr>
            </w:pPr>
          </w:p>
        </w:tc>
        <w:tc>
          <w:tcPr>
            <w:tcW w:w="1395" w:type="dxa"/>
            <w:tcBorders>
              <w:top w:val="none" w:sz="0" w:space="0" w:shadow="0" w:frame="0"/>
              <w:bottom w:val="none" w:sz="0" w:space="0" w:shadow="0" w:frame="0"/>
            </w:tcBorders>
            <w:vAlign w:val="bottom"/>
          </w:tcPr>
          <w:p>
            <w:pPr>
              <w:jc w:val="right"/>
              <w:rPr>
                <w:rFonts w:ascii="Arial" w:hAnsi="Arial"/>
                <w:sz w:val="16"/>
              </w:rPr>
            </w:pPr>
          </w:p>
        </w:tc>
        <w:tc>
          <w:tcPr>
            <w:tcW w:w="1395" w:type="dxa"/>
            <w:tcBorders>
              <w:top w:val="none" w:sz="0" w:space="0" w:shadow="0" w:frame="0"/>
              <w:bottom w:val="none" w:sz="0" w:space="0" w:shadow="0" w:frame="0"/>
            </w:tcBorders>
            <w:vAlign w:val="bottom"/>
          </w:tcPr>
          <w:p>
            <w:pPr>
              <w:jc w:val="right"/>
              <w:rPr>
                <w:rFonts w:ascii="Arial" w:hAnsi="Arial"/>
                <w:sz w:val="16"/>
              </w:rPr>
            </w:pPr>
          </w:p>
        </w:tc>
        <w:tc>
          <w:tcPr>
            <w:tcW w:w="1395" w:type="dxa"/>
            <w:tcBorders>
              <w:top w:val="none" w:sz="0" w:space="0" w:shadow="0" w:frame="0"/>
              <w:bottom w:val="none" w:sz="0" w:space="0" w:shadow="0" w:frame="0"/>
            </w:tcBorders>
            <w:vAlign w:val="bottom"/>
          </w:tcPr>
          <w:p>
            <w:pPr>
              <w:jc w:val="right"/>
              <w:rPr>
                <w:rFonts w:ascii="Arial" w:hAnsi="Arial"/>
                <w:sz w:val="16"/>
              </w:rPr>
            </w:pPr>
          </w:p>
        </w:tc>
        <w:tc>
          <w:tcPr>
            <w:tcW w:w="1369" w:type="dxa"/>
            <w:tcBorders>
              <w:top w:val="none" w:sz="0" w:space="0" w:shadow="0" w:frame="0"/>
              <w:bottom w:val="none" w:sz="0" w:space="0" w:shadow="0" w:frame="0"/>
              <w:right w:val="none" w:sz="0" w:space="0" w:shadow="0" w:frame="0"/>
            </w:tcBorders>
            <w:vAlign w:val="bottom"/>
          </w:tcPr>
          <w:p>
            <w:pPr>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bookmarkStart w:id="4" w:name="podaci1"/>
            <w:r>
              <w:rPr>
                <w:rFonts w:ascii="Arial" w:hAnsi="Arial"/>
                <w:b w:val="1"/>
                <w:sz w:val="16"/>
              </w:rPr>
              <w:t>TOTAL</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107.1</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102.6</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111.0</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105.9</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pStyle w:val="P4"/>
              <w:rPr>
                <w:rFonts w:ascii="Arial" w:hAnsi="Arial"/>
              </w:rPr>
            </w:pPr>
            <w:r>
              <w:rPr>
                <w:rFonts w:ascii="Arial" w:hAnsi="Arial"/>
              </w:rPr>
              <w:t>By destination of consumption</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Energy </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113.0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106.9</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122.0</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108.2</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Intermediate goods except energy</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104.0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101.1</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107.1</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107.4</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Capital goods </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98.4</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100.1</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95.5</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98.8</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Durable consumer goods</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98.2</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97.1</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101.2</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Non durable consumer goods</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107.1</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100.6</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109.5</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104.7</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MINING AND QUARRYING</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130.5</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128.4</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130.8</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Mining and quarrying of energy-producing materials</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134.5</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132.6</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133.6</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99.1</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Mining of coal </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112.2</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100.1</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117.4</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115.3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Extraction of crude petroleum and gas service activities</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151.0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161.7</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144.5</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87.1</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Mining and quarrying except energy-producing materials</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102.4</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99.7</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109.8</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106.3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Mining of metal ores </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106.0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99.0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121.6</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105.9</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Other mining and quarrying</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101.2</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106.1</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106.4</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MANUFACTURING</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105.9</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100.5</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109.1</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105.1</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food products, beverages and tobacco</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110.3</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100.9</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114.2</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105.7</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food products and beverages</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110.6</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100.8</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113.9</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106.6</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tobacco products</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107.2</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102.7</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117.9</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95.6</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textiles and textile products</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100.4</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101.8</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textile yarns and textiles</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99.6</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99.1</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98.9</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wearing apparel and fur</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101.0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103.7</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108.4</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leather and leather products</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101.1</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101.7</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101.6</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wood and wood products</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100.7</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97.8</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102.2</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paper, publishing and printing</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101.1</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100.1</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101.5</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105.7</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pulp, paper and paper products</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103.4</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100.2</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103.6</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100.9</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Publishing, printing and reproduction</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99.9</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100.4</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108.3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coke and refined petroleum products</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118.5</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98.7</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140.2</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107.8</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chemical products and fibres</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103.7</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101.0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107.6</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107.3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rubber and plastical products</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100.3</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100.5</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98.7</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other mineral products</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103.7</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102.6</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105.9</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108.3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metal and metal products</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102.0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100.4</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103.3</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103.2</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basic metals</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105.5</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99.6</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110.2</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103.3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metal products, except machinery</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100.9</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100.7</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101.3</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103.2</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other machinery and equipment</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100.1</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99.9</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100.8</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electrical and optical equipment</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98.2</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98.0</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103.8</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office and calculating machinery</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97.2</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94.6</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97.6</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 of other electrical machinery and apparatus</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98.1</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99.5</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102.4</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116.7</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radio,tv and communication equipment </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99.5</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101.3</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96.8</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93.5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precision and optical instruments</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101.1</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100.7</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transport equipment</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96.5</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89.1</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motor vehicles and trailers</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99.0</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102.5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other transport equipment</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83.8</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62.3</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93.4</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Manufacturing n.e.c.</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98.2</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97.6</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99.0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ELECTRICITY, GAS AND WATER SUPPLY</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101.1</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99.7</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109.2</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112.3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Electricity, gas and water supply</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101.1</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99.7</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109.2</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112.3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Electricity, gas and hot water supply</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101.0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99.6</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109.5</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113.0</w:t>
            </w:r>
          </w:p>
        </w:tc>
      </w:tr>
      <w:tr>
        <w:trPr>
          <w:wAfter w:w="0" w:type="dxa"/>
        </w:trPr>
        <w:tc>
          <w:tcPr>
            <w:tcW w:w="4369" w:type="dxa"/>
            <w:tcBorders>
              <w:top w:val="none" w:sz="0" w:space="0" w:shadow="0" w:frame="0"/>
              <w:left w:val="none" w:sz="0" w:space="0" w:shadow="0" w:frame="0"/>
              <w:right w:val="single" w:sz="8" w:space="0" w:shadow="0" w:frame="0"/>
            </w:tcBorders>
            <w:vAlign w:val="bottom"/>
          </w:tcPr>
          <w:p>
            <w:pPr>
              <w:rPr>
                <w:rFonts w:ascii="Arial" w:hAnsi="Arial"/>
                <w:sz w:val="16"/>
              </w:rPr>
            </w:pPr>
            <w:r>
              <w:rPr>
                <w:rFonts w:ascii="Arial" w:hAnsi="Arial"/>
                <w:sz w:val="16"/>
              </w:rPr>
              <w:t xml:space="preserve">     Purification and distribution of water</w:t>
            </w:r>
          </w:p>
        </w:tc>
        <w:tc>
          <w:tcPr>
            <w:tcW w:w="1395" w:type="dxa"/>
            <w:tcBorders>
              <w:top w:val="none" w:sz="0" w:space="0" w:shadow="0" w:frame="0"/>
              <w:left w:val="single" w:sz="8" w:space="0" w:shadow="0" w:frame="0"/>
              <w:right w:val="none" w:sz="0" w:space="0" w:shadow="0" w:frame="0"/>
            </w:tcBorders>
            <w:vAlign w:val="bottom"/>
          </w:tcPr>
          <w:p>
            <w:pPr>
              <w:jc w:val="right"/>
              <w:rPr>
                <w:rFonts w:ascii="Arial" w:hAnsi="Arial"/>
                <w:sz w:val="16"/>
              </w:rPr>
            </w:pPr>
            <w:r>
              <w:rPr>
                <w:rFonts w:ascii="Arial" w:hAnsi="Arial"/>
                <w:sz w:val="16"/>
              </w:rPr>
              <w:t>102.0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106.3</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107.1</w:t>
            </w:r>
          </w:p>
        </w:tc>
      </w:tr>
      <w:tr>
        <w:trPr>
          <w:wAfter w:w="0" w:type="dxa"/>
        </w:trPr>
        <w:tc>
          <w:tcPr>
            <w:tcW w:w="9923" w:type="dxa"/>
            <w:gridSpan w:val="5"/>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b w:val="1"/>
                <w:sz w:val="16"/>
              </w:rPr>
            </w:pPr>
            <w:bookmarkEnd w:id="4"/>
            <w:r>
              <w:rPr>
                <w:rFonts w:ascii="Arial" w:hAnsi="Arial"/>
                <w:b w:val="1"/>
                <w:sz w:val="22"/>
              </w:rPr>
              <w:t>Indices of producers' prices of manufactured products</w:t>
            </w:r>
            <w:r>
              <w:rPr>
                <w:rFonts w:ascii="Arial" w:hAnsi="Arial"/>
                <w:b w:val="1"/>
                <w:sz w:val="16"/>
              </w:rPr>
              <w:t xml:space="preserve"> </w:t>
            </w:r>
            <w:r>
              <w:rPr>
                <w:rFonts w:ascii="Arial" w:hAnsi="Arial"/>
                <w:b w:val="1"/>
                <w:sz w:val="22"/>
              </w:rPr>
              <w:t>(continued)</w:t>
            </w:r>
          </w:p>
        </w:tc>
      </w:tr>
      <w:tr>
        <w:trPr>
          <w:wAfter w:w="0" w:type="dxa"/>
        </w:trPr>
        <w:tc>
          <w:tcPr>
            <w:tcW w:w="4369" w:type="dxa"/>
            <w:tcBorders>
              <w:top w:val="none" w:sz="0" w:space="0" w:shadow="0" w:frame="0"/>
              <w:left w:val="none" w:sz="0" w:space="0" w:shadow="0" w:frame="0"/>
              <w:bottom w:val="single" w:sz="8" w:space="0" w:shadow="0" w:frame="0"/>
            </w:tcBorders>
            <w:vAlign w:val="bottom"/>
          </w:tcPr>
          <w:p>
            <w:pPr>
              <w:pStyle w:val="P3"/>
              <w:spacing w:before="60" w:after="60"/>
              <w:rPr>
                <w:sz w:val="18"/>
              </w:rPr>
            </w:pPr>
            <w:r>
              <w:rPr>
                <w:sz w:val="18"/>
              </w:rPr>
              <w:t>Republic of Serbia</w:t>
            </w:r>
          </w:p>
        </w:tc>
        <w:tc>
          <w:tcPr>
            <w:tcW w:w="1395" w:type="dxa"/>
            <w:tcBorders>
              <w:top w:val="none" w:sz="0" w:space="0" w:shadow="0" w:frame="0"/>
              <w:bottom w:val="single" w:sz="8" w:space="0" w:shadow="0" w:frame="0"/>
              <w:right w:val="none" w:sz="0" w:space="0" w:shadow="0" w:frame="0"/>
            </w:tcBorders>
            <w:vAlign w:val="bottom"/>
          </w:tcPr>
          <w:p>
            <w:pPr>
              <w:spacing w:before="60" w:after="60"/>
              <w:rPr>
                <w:rFonts w:ascii="Arial" w:hAnsi="Arial"/>
                <w:sz w:val="18"/>
              </w:rPr>
            </w:pPr>
          </w:p>
        </w:tc>
        <w:tc>
          <w:tcPr>
            <w:tcW w:w="1395" w:type="dxa"/>
            <w:tcBorders>
              <w:top w:val="none" w:sz="0" w:space="0" w:shadow="0" w:frame="0"/>
              <w:left w:val="none" w:sz="0" w:space="0" w:shadow="0" w:frame="0"/>
              <w:bottom w:val="single" w:sz="8" w:space="0" w:shadow="0" w:frame="0"/>
              <w:right w:val="none" w:sz="0" w:space="0" w:shadow="0" w:frame="0"/>
            </w:tcBorders>
            <w:vAlign w:val="bottom"/>
          </w:tcPr>
          <w:p>
            <w:pPr>
              <w:spacing w:before="60" w:after="60"/>
              <w:rPr>
                <w:rFonts w:ascii="Arial" w:hAnsi="Arial"/>
                <w:sz w:val="18"/>
              </w:rPr>
            </w:pPr>
          </w:p>
        </w:tc>
        <w:tc>
          <w:tcPr>
            <w:tcW w:w="1395" w:type="dxa"/>
            <w:tcBorders>
              <w:top w:val="none" w:sz="0" w:space="0" w:shadow="0" w:frame="0"/>
              <w:left w:val="none" w:sz="0" w:space="0" w:shadow="0" w:frame="0"/>
              <w:bottom w:val="single" w:sz="8" w:space="0" w:shadow="0" w:frame="0"/>
              <w:right w:val="none" w:sz="0" w:space="0" w:shadow="0" w:frame="0"/>
            </w:tcBorders>
            <w:vAlign w:val="bottom"/>
          </w:tcPr>
          <w:p>
            <w:pPr>
              <w:spacing w:before="60" w:after="60"/>
              <w:rPr>
                <w:rFonts w:ascii="Arial" w:hAnsi="Arial"/>
                <w:sz w:val="18"/>
              </w:rPr>
            </w:pPr>
          </w:p>
        </w:tc>
        <w:tc>
          <w:tcPr>
            <w:tcW w:w="1369" w:type="dxa"/>
            <w:tcBorders>
              <w:top w:val="none" w:sz="0" w:space="0" w:shadow="0" w:frame="0"/>
              <w:left w:val="none" w:sz="0" w:space="0" w:shadow="0" w:frame="0"/>
              <w:bottom w:val="single" w:sz="4" w:space="0" w:shadow="0" w:frame="0"/>
              <w:right w:val="none" w:sz="0" w:space="0" w:shadow="0" w:frame="0"/>
            </w:tcBorders>
            <w:vAlign w:val="bottom"/>
          </w:tcPr>
          <w:p>
            <w:pPr>
              <w:spacing w:before="60" w:after="60"/>
              <w:rPr>
                <w:rFonts w:ascii="Arial" w:hAnsi="Arial"/>
                <w:sz w:val="18"/>
              </w:rPr>
            </w:pPr>
          </w:p>
        </w:tc>
      </w:tr>
      <w:tr>
        <w:trPr>
          <w:wAfter w:w="0" w:type="dxa"/>
        </w:trPr>
        <w:tc>
          <w:tcPr>
            <w:tcW w:w="4369" w:type="dxa"/>
            <w:vMerge w:val="restart"/>
            <w:tcBorders>
              <w:top w:val="single" w:sz="8" w:space="0" w:shadow="0" w:frame="0"/>
              <w:left w:val="none" w:sz="0" w:space="0" w:shadow="0" w:frame="0"/>
              <w:right w:val="single" w:sz="8" w:space="0" w:shadow="0" w:frame="0"/>
            </w:tcBorders>
            <w:vAlign w:val="bottom"/>
          </w:tcPr>
          <w:p>
            <w:pPr>
              <w:rPr>
                <w:rFonts w:ascii="Arial" w:hAnsi="Arial"/>
                <w:sz w:val="20"/>
              </w:rPr>
            </w:pPr>
            <w:bookmarkStart w:id="5" w:name="zaglavlje21"/>
          </w:p>
        </w:tc>
        <w:tc>
          <w:tcPr>
            <w:tcW w:w="1395" w:type="dxa"/>
            <w:tcBorders>
              <w:top w:val="single" w:sz="8" w:space="0" w:shadow="0" w:frame="0"/>
              <w:left w:val="single" w:sz="8" w:space="0" w:shadow="0" w:frame="0"/>
              <w:right w:val="single" w:sz="4" w:space="0" w:shadow="0" w:frame="0"/>
            </w:tcBorders>
            <w:vAlign w:val="bottom"/>
          </w:tcPr>
          <w:p>
            <w:pPr>
              <w:jc w:val="center"/>
              <w:rPr>
                <w:rFonts w:ascii="Arial" w:hAnsi="Arial"/>
                <w:sz w:val="16"/>
              </w:rPr>
            </w:pPr>
            <w:r>
              <w:rPr>
                <w:rFonts w:ascii="Arial" w:hAnsi="Arial"/>
                <w:sz w:val="16"/>
              </w:rPr>
              <w:t>I 2008</w:t>
            </w:r>
          </w:p>
        </w:tc>
        <w:tc>
          <w:tcPr>
            <w:tcW w:w="1395"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 2008</w:t>
            </w:r>
          </w:p>
        </w:tc>
        <w:tc>
          <w:tcPr>
            <w:tcW w:w="1395"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 2008</w:t>
            </w:r>
          </w:p>
        </w:tc>
        <w:tc>
          <w:tcPr>
            <w:tcW w:w="1369" w:type="dxa"/>
            <w:tcBorders>
              <w:top w:val="single" w:sz="4" w:space="0" w:shadow="0" w:frame="0"/>
              <w:left w:val="single" w:sz="4" w:space="0" w:shadow="0" w:frame="0"/>
            </w:tcBorders>
            <w:vAlign w:val="bottom"/>
          </w:tcPr>
          <w:p>
            <w:pPr>
              <w:jc w:val="center"/>
              <w:rPr>
                <w:rFonts w:ascii="Arial" w:hAnsi="Arial"/>
                <w:sz w:val="16"/>
              </w:rPr>
            </w:pPr>
            <w:r>
              <w:rPr>
                <w:rFonts w:ascii="Arial" w:hAnsi="Arial"/>
                <w:sz w:val="16"/>
              </w:rPr>
              <w:t>ø 2007</w:t>
            </w:r>
          </w:p>
        </w:tc>
      </w:tr>
      <w:tr>
        <w:trPr>
          <w:wAfter w:w="0" w:type="dxa"/>
        </w:trPr>
        <w:tc>
          <w:tcPr>
            <w:tcW w:w="4369" w:type="dxa"/>
            <w:vMerge w:val="continue"/>
            <w:tcBorders>
              <w:left w:val="none" w:sz="0" w:space="0" w:shadow="0" w:frame="0"/>
              <w:right w:val="single" w:sz="8" w:space="0" w:shadow="0" w:frame="0"/>
            </w:tcBorders>
            <w:vAlign w:val="bottom"/>
          </w:tcPr>
          <w:p>
            <w:pPr>
              <w:rPr>
                <w:rFonts w:ascii="Arial" w:hAnsi="Arial"/>
                <w:sz w:val="20"/>
              </w:rPr>
            </w:pPr>
            <w:bookmarkEnd w:id="5"/>
          </w:p>
        </w:tc>
        <w:tc>
          <w:tcPr>
            <w:tcW w:w="1395" w:type="dxa"/>
            <w:tcBorders>
              <w:left w:val="single" w:sz="8" w:space="0" w:shadow="0" w:frame="0"/>
              <w:right w:val="single" w:sz="4" w:space="0" w:shadow="0" w:frame="0"/>
            </w:tcBorders>
            <w:vAlign w:val="bottom"/>
          </w:tcPr>
          <w:p>
            <w:pPr>
              <w:jc w:val="center"/>
              <w:rPr>
                <w:rFonts w:ascii="Arial" w:hAnsi="Arial"/>
                <w:sz w:val="6"/>
              </w:rPr>
            </w:pPr>
          </w:p>
        </w:tc>
        <w:tc>
          <w:tcPr>
            <w:tcW w:w="1395" w:type="dxa"/>
            <w:tcBorders>
              <w:left w:val="single" w:sz="4" w:space="0" w:shadow="0" w:frame="0"/>
              <w:right w:val="single" w:sz="4" w:space="0" w:shadow="0" w:frame="0"/>
            </w:tcBorders>
            <w:vAlign w:val="bottom"/>
          </w:tcPr>
          <w:p>
            <w:pPr>
              <w:jc w:val="center"/>
              <w:rPr>
                <w:rFonts w:ascii="Arial" w:hAnsi="Arial"/>
                <w:sz w:val="6"/>
              </w:rPr>
            </w:pPr>
          </w:p>
        </w:tc>
        <w:tc>
          <w:tcPr>
            <w:tcW w:w="1395" w:type="dxa"/>
            <w:tcBorders>
              <w:left w:val="single" w:sz="4" w:space="0" w:shadow="0" w:frame="0"/>
              <w:right w:val="single" w:sz="4" w:space="0" w:shadow="0" w:frame="0"/>
            </w:tcBorders>
            <w:vAlign w:val="bottom"/>
          </w:tcPr>
          <w:p>
            <w:pPr>
              <w:jc w:val="center"/>
              <w:rPr>
                <w:rFonts w:ascii="Arial" w:hAnsi="Arial"/>
                <w:sz w:val="6"/>
              </w:rPr>
            </w:pPr>
          </w:p>
        </w:tc>
        <w:tc>
          <w:tcPr>
            <w:tcW w:w="1369" w:type="dxa"/>
            <w:tcBorders>
              <w:left w:val="single" w:sz="4" w:space="0" w:shadow="0" w:frame="0"/>
            </w:tcBorders>
            <w:vAlign w:val="bottom"/>
          </w:tcPr>
          <w:p>
            <w:pPr>
              <w:jc w:val="center"/>
              <w:rPr>
                <w:rFonts w:ascii="Arial" w:hAnsi="Arial"/>
                <w:sz w:val="6"/>
              </w:rPr>
            </w:pPr>
          </w:p>
        </w:tc>
      </w:tr>
      <w:tr>
        <w:trPr>
          <w:wAfter w:w="0" w:type="dxa"/>
        </w:trPr>
        <w:tc>
          <w:tcPr>
            <w:tcW w:w="4369" w:type="dxa"/>
            <w:vMerge w:val="continue"/>
            <w:tcBorders>
              <w:left w:val="none" w:sz="0" w:space="0" w:shadow="0" w:frame="0"/>
              <w:bottom w:val="single" w:sz="8" w:space="0" w:shadow="0" w:frame="0"/>
              <w:right w:val="single" w:sz="8" w:space="0" w:shadow="0" w:frame="0"/>
            </w:tcBorders>
            <w:vAlign w:val="bottom"/>
          </w:tcPr>
          <w:p>
            <w:pPr>
              <w:rPr>
                <w:rFonts w:ascii="Arial" w:hAnsi="Arial"/>
                <w:sz w:val="20"/>
              </w:rPr>
            </w:pPr>
            <w:bookmarkStart w:id="6" w:name="zaglavlje22"/>
          </w:p>
        </w:tc>
        <w:tc>
          <w:tcPr>
            <w:tcW w:w="1395" w:type="dxa"/>
            <w:tcBorders>
              <w:top w:val="none" w:sz="0" w:space="0" w:shadow="0" w:frame="0"/>
              <w:left w:val="single" w:sz="8"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ø 2007</w:t>
            </w:r>
          </w:p>
        </w:tc>
        <w:tc>
          <w:tcPr>
            <w:tcW w:w="1395"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XII 2007</w:t>
            </w:r>
          </w:p>
        </w:tc>
        <w:tc>
          <w:tcPr>
            <w:tcW w:w="1395"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I 2007</w:t>
            </w:r>
          </w:p>
        </w:tc>
        <w:tc>
          <w:tcPr>
            <w:tcW w:w="1369" w:type="dxa"/>
            <w:tcBorders>
              <w:top w:val="none" w:sz="0" w:space="0" w:shadow="0" w:frame="0"/>
              <w:left w:val="single" w:sz="4" w:space="0" w:shadow="0" w:frame="0"/>
              <w:bottom w:val="single" w:sz="4" w:space="0" w:shadow="0" w:frame="0"/>
            </w:tcBorders>
            <w:vAlign w:val="bottom"/>
          </w:tcPr>
          <w:p>
            <w:pPr>
              <w:jc w:val="center"/>
              <w:rPr>
                <w:rFonts w:ascii="Arial" w:hAnsi="Arial"/>
                <w:sz w:val="16"/>
              </w:rPr>
            </w:pPr>
            <w:r>
              <w:rPr>
                <w:rFonts w:ascii="Arial" w:hAnsi="Arial"/>
                <w:sz w:val="16"/>
              </w:rPr>
              <w:t>ø 2006</w:t>
            </w:r>
          </w:p>
        </w:tc>
      </w:tr>
      <w:tr>
        <w:trPr>
          <w:wAfter w:w="0" w:type="dxa"/>
        </w:trPr>
        <w:tc>
          <w:tcPr>
            <w:tcW w:w="4369" w:type="dxa"/>
            <w:tcBorders>
              <w:top w:val="single" w:sz="8" w:space="0" w:shadow="0" w:frame="0"/>
              <w:left w:val="none" w:sz="0" w:space="0" w:shadow="0" w:frame="0"/>
              <w:bottom w:val="none" w:sz="0" w:space="0" w:shadow="0" w:frame="0"/>
              <w:right w:val="single" w:sz="8" w:space="0" w:shadow="0" w:frame="0"/>
            </w:tcBorders>
            <w:vAlign w:val="bottom"/>
          </w:tcPr>
          <w:p>
            <w:pPr>
              <w:rPr>
                <w:rFonts w:ascii="Arial" w:hAnsi="Arial"/>
                <w:sz w:val="16"/>
              </w:rPr>
            </w:pPr>
            <w:bookmarkEnd w:id="6"/>
          </w:p>
        </w:tc>
        <w:tc>
          <w:tcPr>
            <w:tcW w:w="1395" w:type="dxa"/>
            <w:tcBorders>
              <w:top w:val="single" w:sz="8"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p>
        </w:tc>
        <w:tc>
          <w:tcPr>
            <w:tcW w:w="1395" w:type="dxa"/>
            <w:tcBorders>
              <w:top w:val="single" w:sz="8"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1395" w:type="dxa"/>
            <w:tcBorders>
              <w:top w:val="single" w:sz="8"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1369" w:type="dxa"/>
            <w:tcBorders>
              <w:top w:val="single" w:sz="4"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pStyle w:val="P4"/>
              <w:rPr>
                <w:rFonts w:ascii="Arial" w:hAnsi="Arial"/>
              </w:rPr>
            </w:pPr>
            <w:r>
              <w:rPr>
                <w:rFonts w:ascii="Arial" w:hAnsi="Arial"/>
              </w:rPr>
              <w:t>Selected groups of products</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 </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bookmarkStart w:id="7" w:name="podaci2"/>
            <w:r>
              <w:rPr>
                <w:rFonts w:ascii="Arial" w:hAnsi="Arial"/>
                <w:sz w:val="16"/>
              </w:rPr>
              <w:t xml:space="preserve">   Agricultural machines and equipment</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99.9</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98.8</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98.1</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Chemicals for agriculture</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101.7</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102.9</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102.7</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Materials for incorporating in construction</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102.3</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100.9</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104.0</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105.5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Road vehicles</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99.6</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99.6</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102.9</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Liquid fuels and lubricants</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116.0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98.0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141.6</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108.6</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Metal apparatus for household</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100.7</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102.4</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104.1</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Electrical apparatus</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96.6</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86.1</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91.0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Wooden furniture</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97.2</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96.3</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99.5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Clothes (materials and ready-made clothing)</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99.9</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100.4</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105.5</w:t>
            </w:r>
          </w:p>
        </w:tc>
      </w:tr>
      <w:tr>
        <w:trPr>
          <w:wAfter w:w="0" w:type="dxa"/>
        </w:trPr>
        <w:tc>
          <w:tcPr>
            <w:tcW w:w="4369" w:type="dxa"/>
            <w:tcBorders>
              <w:top w:val="none" w:sz="0" w:space="0" w:shadow="0" w:frame="0"/>
              <w:left w:val="none" w:sz="0" w:space="0" w:shadow="0" w:frame="0"/>
              <w:right w:val="single" w:sz="8" w:space="0" w:shadow="0" w:frame="0"/>
            </w:tcBorders>
            <w:vAlign w:val="bottom"/>
          </w:tcPr>
          <w:p>
            <w:pPr>
              <w:rPr>
                <w:rFonts w:ascii="Arial" w:hAnsi="Arial"/>
                <w:sz w:val="16"/>
              </w:rPr>
            </w:pPr>
            <w:r>
              <w:rPr>
                <w:rFonts w:ascii="Arial" w:hAnsi="Arial"/>
                <w:sz w:val="16"/>
              </w:rPr>
              <w:t xml:space="preserve">   Footwear (leather and rubber)</w:t>
            </w:r>
          </w:p>
        </w:tc>
        <w:tc>
          <w:tcPr>
            <w:tcW w:w="1395" w:type="dxa"/>
            <w:tcBorders>
              <w:top w:val="none" w:sz="0" w:space="0" w:shadow="0" w:frame="0"/>
              <w:left w:val="single" w:sz="8" w:space="0" w:shadow="0" w:frame="0"/>
              <w:right w:val="none" w:sz="0" w:space="0" w:shadow="0" w:frame="0"/>
            </w:tcBorders>
            <w:vAlign w:val="bottom"/>
          </w:tcPr>
          <w:p>
            <w:pPr>
              <w:jc w:val="right"/>
              <w:rPr>
                <w:rFonts w:ascii="Arial" w:hAnsi="Arial"/>
                <w:sz w:val="16"/>
              </w:rPr>
            </w:pPr>
            <w:r>
              <w:rPr>
                <w:rFonts w:ascii="Arial" w:hAnsi="Arial"/>
                <w:sz w:val="16"/>
              </w:rPr>
              <w:t>100.0</w:t>
            </w:r>
          </w:p>
        </w:tc>
        <w:tc>
          <w:tcPr>
            <w:tcW w:w="1395" w:type="dxa"/>
            <w:tcBorders>
              <w:top w:val="none" w:sz="0" w:space="0" w:shadow="0" w:frame="0"/>
              <w:left w:val="none" w:sz="0" w:space="0" w:shadow="0" w:frame="0"/>
              <w:right w:val="none" w:sz="0" w:space="0" w:shadow="0" w:frame="0"/>
            </w:tcBorders>
            <w:vAlign w:val="bottom"/>
          </w:tcPr>
          <w:p>
            <w:pPr>
              <w:jc w:val="right"/>
              <w:rPr>
                <w:rFonts w:ascii="Arial" w:hAnsi="Arial"/>
                <w:sz w:val="16"/>
              </w:rPr>
            </w:pPr>
            <w:r>
              <w:rPr>
                <w:rFonts w:ascii="Arial" w:hAnsi="Arial"/>
                <w:sz w:val="16"/>
              </w:rPr>
              <w:t>100.0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100.1</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102.2</w:t>
            </w:r>
          </w:p>
        </w:tc>
      </w:tr>
      <w:tr>
        <w:trPr>
          <w:wAfter w:w="0" w:type="dxa"/>
        </w:trPr>
        <w:tc>
          <w:tcPr>
            <w:tcW w:w="4369" w:type="dxa"/>
            <w:tcBorders>
              <w:top w:val="none" w:sz="0" w:space="0" w:shadow="0" w:frame="0"/>
              <w:left w:val="none" w:sz="0" w:space="0" w:shadow="0" w:frame="0"/>
              <w:bottom w:val="none" w:sz="0" w:space="0" w:shadow="0" w:frame="0"/>
            </w:tcBorders>
            <w:vAlign w:val="bottom"/>
          </w:tcPr>
          <w:p>
            <w:pPr>
              <w:rPr>
                <w:rFonts w:ascii="Arial" w:hAnsi="Arial"/>
                <w:sz w:val="16"/>
              </w:rPr>
            </w:pPr>
            <w:bookmarkEnd w:id="7"/>
          </w:p>
        </w:tc>
        <w:tc>
          <w:tcPr>
            <w:tcW w:w="1395" w:type="dxa"/>
            <w:tcBorders>
              <w:top w:val="none" w:sz="0" w:space="0" w:shadow="0" w:frame="0"/>
              <w:bottom w:val="none" w:sz="0" w:space="0" w:shadow="0" w:frame="0"/>
            </w:tcBorders>
            <w:vAlign w:val="bottom"/>
          </w:tcPr>
          <w:p>
            <w:pPr>
              <w:ind w:right="227"/>
              <w:rPr>
                <w:rFonts w:ascii="Arial" w:hAnsi="Arial"/>
                <w:sz w:val="16"/>
              </w:rPr>
            </w:pPr>
          </w:p>
        </w:tc>
        <w:tc>
          <w:tcPr>
            <w:tcW w:w="1395" w:type="dxa"/>
            <w:tcBorders>
              <w:top w:val="none" w:sz="0" w:space="0" w:shadow="0" w:frame="0"/>
              <w:bottom w:val="none" w:sz="0" w:space="0" w:shadow="0" w:frame="0"/>
              <w:right w:val="none" w:sz="0" w:space="0" w:shadow="0" w:frame="0"/>
            </w:tcBorders>
            <w:vAlign w:val="bottom"/>
          </w:tcPr>
          <w:p>
            <w:pPr>
              <w:ind w:right="227"/>
              <w:rPr>
                <w:rFonts w:ascii="Arial" w:hAnsi="Arial"/>
                <w:sz w:val="16"/>
              </w:rPr>
            </w:pPr>
          </w:p>
        </w:tc>
        <w:tc>
          <w:tcPr>
            <w:tcW w:w="1395" w:type="dxa"/>
            <w:tcBorders>
              <w:top w:val="none" w:sz="0" w:space="0" w:shadow="0" w:frame="0"/>
              <w:left w:val="none" w:sz="0" w:space="0" w:shadow="0" w:frame="0"/>
              <w:bottom w:val="none" w:sz="0" w:space="0" w:shadow="0" w:frame="0"/>
              <w:right w:val="none" w:sz="0" w:space="0" w:shadow="0" w:frame="0"/>
            </w:tcBorders>
            <w:vAlign w:val="bottom"/>
          </w:tcPr>
          <w:p>
            <w:pPr>
              <w:ind w:right="227"/>
              <w:rPr>
                <w:rFonts w:ascii="Arial" w:hAnsi="Arial"/>
                <w:sz w:val="16"/>
              </w:rPr>
            </w:pPr>
          </w:p>
        </w:tc>
        <w:tc>
          <w:tcPr>
            <w:tcW w:w="1369" w:type="dxa"/>
            <w:tcBorders>
              <w:top w:val="none" w:sz="0" w:space="0" w:shadow="0" w:frame="0"/>
              <w:left w:val="none" w:sz="0" w:space="0" w:shadow="0" w:frame="0"/>
              <w:bottom w:val="none" w:sz="0" w:space="0" w:shadow="0" w:frame="0"/>
              <w:right w:val="none" w:sz="0" w:space="0" w:shadow="0" w:frame="0"/>
            </w:tcBorders>
            <w:vAlign w:val="bottom"/>
          </w:tcPr>
          <w:p>
            <w:pPr>
              <w:ind w:right="227"/>
              <w:rPr>
                <w:rFonts w:ascii="Arial" w:hAnsi="Arial"/>
                <w:sz w:val="16"/>
              </w:rPr>
            </w:pPr>
          </w:p>
        </w:tc>
      </w:tr>
      <w:tr>
        <w:trPr>
          <w:wAfter w:w="0" w:type="dxa"/>
        </w:trPr>
        <w:tc>
          <w:tcPr>
            <w:tcW w:w="9923" w:type="dxa"/>
            <w:gridSpan w:val="5"/>
            <w:tcBorders>
              <w:top w:val="none" w:sz="0" w:space="0" w:shadow="0" w:frame="0"/>
              <w:left w:val="none" w:sz="0" w:space="0" w:shadow="0" w:frame="0"/>
              <w:bottom w:val="none" w:sz="0" w:space="0" w:shadow="0" w:frame="0"/>
            </w:tcBorders>
            <w:vAlign w:val="bottom"/>
          </w:tcPr>
          <w:p>
            <w:pPr>
              <w:ind w:right="227"/>
              <w:rPr>
                <w:rFonts w:ascii="Arial" w:hAnsi="Arial"/>
                <w:sz w:val="22"/>
              </w:rPr>
            </w:pPr>
            <w:r>
              <w:rPr>
                <w:rFonts w:ascii="Arial" w:hAnsi="Arial"/>
                <w:b w:val="1"/>
                <w:sz w:val="22"/>
              </w:rPr>
              <w:t xml:space="preserve">                                                                   </w:t>
            </w:r>
            <w:r>
              <w:rPr>
                <w:rFonts w:ascii="Arial" w:hAnsi="Arial"/>
                <w:b w:val="1"/>
                <w:sz w:val="22"/>
              </w:rPr>
              <w:t>Central Serbia</w:t>
            </w:r>
          </w:p>
        </w:tc>
      </w:tr>
      <w:tr>
        <w:trPr>
          <w:wAfter w:w="0" w:type="dxa"/>
        </w:trPr>
        <w:tc>
          <w:tcPr>
            <w:tcW w:w="4369" w:type="dxa"/>
            <w:tcBorders>
              <w:top w:val="none" w:sz="0" w:space="0" w:shadow="0" w:frame="0"/>
              <w:left w:val="none" w:sz="0" w:space="0" w:shadow="0" w:frame="0"/>
            </w:tcBorders>
            <w:vAlign w:val="bottom"/>
          </w:tcPr>
          <w:p>
            <w:pPr>
              <w:rPr>
                <w:rFonts w:ascii="Arial" w:hAnsi="Arial"/>
                <w:sz w:val="16"/>
              </w:rPr>
            </w:pPr>
          </w:p>
        </w:tc>
        <w:tc>
          <w:tcPr>
            <w:tcW w:w="1395" w:type="dxa"/>
            <w:tcBorders>
              <w:top w:val="none" w:sz="0" w:space="0" w:shadow="0" w:frame="0"/>
              <w:bottom w:val="none" w:sz="0" w:space="0" w:shadow="0" w:frame="0"/>
              <w:right w:val="none" w:sz="0" w:space="0" w:shadow="0" w:frame="0"/>
            </w:tcBorders>
            <w:vAlign w:val="bottom"/>
          </w:tcPr>
          <w:p>
            <w:pPr>
              <w:ind w:right="227"/>
              <w:rPr>
                <w:rFonts w:ascii="Arial" w:hAnsi="Arial"/>
                <w:sz w:val="16"/>
              </w:rPr>
            </w:pPr>
          </w:p>
        </w:tc>
        <w:tc>
          <w:tcPr>
            <w:tcW w:w="1395" w:type="dxa"/>
            <w:tcBorders>
              <w:top w:val="none" w:sz="0" w:space="0" w:shadow="0" w:frame="0"/>
              <w:left w:val="none" w:sz="0" w:space="0" w:shadow="0" w:frame="0"/>
              <w:bottom w:val="none" w:sz="0" w:space="0" w:shadow="0" w:frame="0"/>
              <w:right w:val="none" w:sz="0" w:space="0" w:shadow="0" w:frame="0"/>
            </w:tcBorders>
            <w:vAlign w:val="bottom"/>
          </w:tcPr>
          <w:p>
            <w:pPr>
              <w:ind w:right="227"/>
              <w:rPr>
                <w:rFonts w:ascii="Arial" w:hAnsi="Arial"/>
                <w:b w:val="1"/>
                <w:sz w:val="16"/>
              </w:rPr>
            </w:pPr>
          </w:p>
        </w:tc>
        <w:tc>
          <w:tcPr>
            <w:tcW w:w="1395" w:type="dxa"/>
            <w:tcBorders>
              <w:top w:val="none" w:sz="0" w:space="0" w:shadow="0" w:frame="0"/>
              <w:left w:val="none" w:sz="0" w:space="0" w:shadow="0" w:frame="0"/>
              <w:bottom w:val="none" w:sz="0" w:space="0" w:shadow="0" w:frame="0"/>
              <w:right w:val="none" w:sz="0" w:space="0" w:shadow="0" w:frame="0"/>
            </w:tcBorders>
            <w:vAlign w:val="bottom"/>
          </w:tcPr>
          <w:p>
            <w:pPr>
              <w:ind w:right="227"/>
              <w:rPr>
                <w:rFonts w:ascii="Arial" w:hAnsi="Arial"/>
                <w:sz w:val="16"/>
              </w:rPr>
            </w:pPr>
          </w:p>
        </w:tc>
        <w:tc>
          <w:tcPr>
            <w:tcW w:w="1369" w:type="dxa"/>
            <w:tcBorders>
              <w:top w:val="none" w:sz="0" w:space="0" w:shadow="0" w:frame="0"/>
              <w:left w:val="none" w:sz="0" w:space="0" w:shadow="0" w:frame="0"/>
              <w:bottom w:val="none" w:sz="0" w:space="0" w:shadow="0" w:frame="0"/>
              <w:right w:val="none" w:sz="0" w:space="0" w:shadow="0" w:frame="0"/>
            </w:tcBorders>
            <w:vAlign w:val="bottom"/>
          </w:tcPr>
          <w:p>
            <w:pPr>
              <w:ind w:right="227"/>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pStyle w:val="P3"/>
            </w:pPr>
            <w:bookmarkStart w:id="8" w:name="podaci3"/>
            <w:r>
              <w:t>Total</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103.8</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100.2</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107.2</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107.3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pStyle w:val="P4"/>
              <w:rPr>
                <w:rFonts w:ascii="Arial" w:hAnsi="Arial"/>
              </w:rPr>
            </w:pPr>
            <w:r>
              <w:rPr>
                <w:rFonts w:ascii="Arial" w:hAnsi="Arial"/>
              </w:rPr>
              <w:t>By destination of consumption</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Energy</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105.6</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114.0</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113.6</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Intermediate goods except energy</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103.4</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100.4</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107.5</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109.2</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Capital goods</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98.2</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100.1</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95.2</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98.9</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Durable consumer goods</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98.0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96.8</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101.3</w:t>
            </w:r>
          </w:p>
        </w:tc>
      </w:tr>
      <w:tr>
        <w:trPr>
          <w:wAfter w:w="0" w:type="dxa"/>
        </w:trPr>
        <w:tc>
          <w:tcPr>
            <w:tcW w:w="4369" w:type="dxa"/>
            <w:tcBorders>
              <w:top w:val="none" w:sz="0" w:space="0" w:shadow="0" w:frame="0"/>
              <w:left w:val="none" w:sz="0" w:space="0" w:shadow="0" w:frame="0"/>
              <w:right w:val="single" w:sz="8" w:space="0" w:shadow="0" w:frame="0"/>
            </w:tcBorders>
            <w:vAlign w:val="bottom"/>
          </w:tcPr>
          <w:p>
            <w:pPr>
              <w:rPr>
                <w:rFonts w:ascii="Arial" w:hAnsi="Arial"/>
                <w:sz w:val="16"/>
              </w:rPr>
            </w:pPr>
            <w:r>
              <w:rPr>
                <w:rFonts w:ascii="Arial" w:hAnsi="Arial"/>
                <w:sz w:val="16"/>
              </w:rPr>
              <w:t xml:space="preserve">   Non durable consumer goods</w:t>
            </w:r>
          </w:p>
        </w:tc>
        <w:tc>
          <w:tcPr>
            <w:tcW w:w="1395" w:type="dxa"/>
            <w:tcBorders>
              <w:top w:val="none" w:sz="0" w:space="0" w:shadow="0" w:frame="0"/>
              <w:left w:val="single" w:sz="8" w:space="0" w:shadow="0" w:frame="0"/>
              <w:right w:val="none" w:sz="0" w:space="0" w:shadow="0" w:frame="0"/>
            </w:tcBorders>
            <w:vAlign w:val="bottom"/>
          </w:tcPr>
          <w:p>
            <w:pPr>
              <w:jc w:val="right"/>
              <w:rPr>
                <w:rFonts w:ascii="Arial" w:hAnsi="Arial"/>
                <w:sz w:val="16"/>
              </w:rPr>
            </w:pPr>
            <w:r>
              <w:rPr>
                <w:rFonts w:ascii="Arial" w:hAnsi="Arial"/>
                <w:sz w:val="16"/>
              </w:rPr>
              <w:t>106.2</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100.4</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109.1</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104.7</w:t>
            </w:r>
          </w:p>
        </w:tc>
      </w:tr>
      <w:tr>
        <w:trPr>
          <w:wAfter w:w="0" w:type="dxa"/>
        </w:trPr>
        <w:tc>
          <w:tcPr>
            <w:tcW w:w="4369" w:type="dxa"/>
            <w:tcBorders>
              <w:top w:val="none" w:sz="0" w:space="0" w:shadow="0" w:frame="0"/>
              <w:left w:val="none" w:sz="0" w:space="0" w:shadow="0" w:frame="0"/>
            </w:tcBorders>
            <w:vAlign w:val="bottom"/>
          </w:tcPr>
          <w:p>
            <w:pPr>
              <w:rPr>
                <w:rFonts w:ascii="Arial" w:hAnsi="Arial"/>
                <w:sz w:val="16"/>
              </w:rPr>
            </w:pPr>
            <w:bookmarkEnd w:id="8"/>
          </w:p>
        </w:tc>
        <w:tc>
          <w:tcPr>
            <w:tcW w:w="1395" w:type="dxa"/>
            <w:tcBorders>
              <w:top w:val="none" w:sz="0" w:space="0" w:shadow="0" w:frame="0"/>
              <w:right w:val="none" w:sz="0" w:space="0" w:shadow="0" w:frame="0"/>
            </w:tcBorders>
            <w:vAlign w:val="bottom"/>
          </w:tcPr>
          <w:p>
            <w:pPr>
              <w:ind w:right="227"/>
              <w:rPr>
                <w:rFonts w:ascii="Arial" w:hAnsi="Arial"/>
                <w:sz w:val="16"/>
              </w:rPr>
            </w:pPr>
          </w:p>
        </w:tc>
        <w:tc>
          <w:tcPr>
            <w:tcW w:w="1395" w:type="dxa"/>
            <w:tcBorders>
              <w:top w:val="none" w:sz="0" w:space="0" w:shadow="0" w:frame="0"/>
              <w:left w:val="none" w:sz="0" w:space="0" w:shadow="0" w:frame="0"/>
              <w:right w:val="none" w:sz="0" w:space="0" w:shadow="0" w:frame="0"/>
            </w:tcBorders>
            <w:vAlign w:val="bottom"/>
          </w:tcPr>
          <w:p>
            <w:pPr>
              <w:ind w:right="227"/>
              <w:rPr>
                <w:rFonts w:ascii="Arial" w:hAnsi="Arial"/>
                <w:sz w:val="16"/>
              </w:rPr>
            </w:pPr>
          </w:p>
        </w:tc>
        <w:tc>
          <w:tcPr>
            <w:tcW w:w="1395" w:type="dxa"/>
            <w:tcBorders>
              <w:top w:val="none" w:sz="0" w:space="0" w:shadow="0" w:frame="0"/>
              <w:left w:val="none" w:sz="0" w:space="0" w:shadow="0" w:frame="0"/>
              <w:right w:val="none" w:sz="0" w:space="0" w:shadow="0" w:frame="0"/>
            </w:tcBorders>
            <w:vAlign w:val="bottom"/>
          </w:tcPr>
          <w:p>
            <w:pPr>
              <w:ind w:right="227"/>
              <w:rPr>
                <w:rFonts w:ascii="Arial" w:hAnsi="Arial"/>
                <w:sz w:val="16"/>
              </w:rPr>
            </w:pPr>
          </w:p>
        </w:tc>
        <w:tc>
          <w:tcPr>
            <w:tcW w:w="1369" w:type="dxa"/>
            <w:tcBorders>
              <w:top w:val="none" w:sz="0" w:space="0" w:shadow="0" w:frame="0"/>
              <w:left w:val="none" w:sz="0" w:space="0" w:shadow="0" w:frame="0"/>
              <w:right w:val="none" w:sz="0" w:space="0" w:shadow="0" w:frame="0"/>
            </w:tcBorders>
            <w:vAlign w:val="bottom"/>
          </w:tcPr>
          <w:p>
            <w:pPr>
              <w:ind w:right="227"/>
              <w:rPr>
                <w:rFonts w:ascii="Arial" w:hAnsi="Arial"/>
                <w:sz w:val="16"/>
              </w:rPr>
            </w:pPr>
          </w:p>
        </w:tc>
      </w:tr>
      <w:tr>
        <w:trPr>
          <w:wAfter w:w="0" w:type="dxa"/>
        </w:trPr>
        <w:tc>
          <w:tcPr>
            <w:tcW w:w="9923" w:type="dxa"/>
            <w:gridSpan w:val="5"/>
            <w:tcBorders>
              <w:top w:val="none" w:sz="0" w:space="0" w:shadow="0" w:frame="0"/>
              <w:left w:val="none" w:sz="0" w:space="0" w:shadow="0" w:frame="0"/>
              <w:bottom w:val="none" w:sz="0" w:space="0" w:shadow="0" w:frame="0"/>
            </w:tcBorders>
            <w:vAlign w:val="bottom"/>
          </w:tcPr>
          <w:p>
            <w:pPr>
              <w:ind w:right="227"/>
              <w:rPr>
                <w:rFonts w:ascii="Arial" w:hAnsi="Arial"/>
                <w:sz w:val="22"/>
              </w:rPr>
            </w:pPr>
            <w:r>
              <w:rPr>
                <w:rFonts w:ascii="Arial" w:hAnsi="Arial"/>
                <w:b w:val="1"/>
                <w:sz w:val="22"/>
              </w:rPr>
              <w:t xml:space="preserve">                                                                   </w:t>
            </w:r>
            <w:r>
              <w:rPr>
                <w:rFonts w:ascii="Arial" w:hAnsi="Arial"/>
                <w:b w:val="1"/>
                <w:sz w:val="22"/>
              </w:rPr>
              <w:t>Vojvodina</w:t>
            </w:r>
          </w:p>
        </w:tc>
      </w:tr>
      <w:tr>
        <w:trPr>
          <w:wAfter w:w="0" w:type="dxa"/>
        </w:trPr>
        <w:tc>
          <w:tcPr>
            <w:tcW w:w="9923" w:type="dxa"/>
            <w:gridSpan w:val="5"/>
            <w:tcBorders>
              <w:top w:val="none" w:sz="0" w:space="0" w:shadow="0" w:frame="0"/>
              <w:left w:val="none" w:sz="0" w:space="0" w:shadow="0" w:frame="0"/>
              <w:bottom w:val="none" w:sz="0" w:space="0" w:shadow="0" w:frame="0"/>
            </w:tcBorders>
            <w:vAlign w:val="bottom"/>
          </w:tcPr>
          <w:p>
            <w:pPr>
              <w:ind w:right="227"/>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pStyle w:val="P3"/>
            </w:pPr>
            <w:bookmarkStart w:id="9" w:name="podaci4"/>
            <w:r>
              <w:t>Total</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111.9</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106.0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116.3</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103.8</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pStyle w:val="P4"/>
              <w:rPr>
                <w:rFonts w:ascii="Arial" w:hAnsi="Arial"/>
                <w:i w:val="1"/>
              </w:rPr>
            </w:pPr>
            <w:r>
              <w:rPr>
                <w:rFonts w:ascii="Arial" w:hAnsi="Arial"/>
              </w:rPr>
              <w:t>By destination of consumption</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Energy</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120.0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113.3</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129.6</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103.0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Intermediate goods except energy</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105.1</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102.1</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106.7</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104.3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Capital goods</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101.0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100.1</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101.2</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97.6</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Durable consumer goods</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100.0</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100.9</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Non durable consumer goods</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108.1</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100.7</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110.0</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104.7</w:t>
            </w:r>
          </w:p>
        </w:tc>
      </w:tr>
    </w:tbl>
    <w:p>
      <w:pPr>
        <w:pStyle w:val="P6"/>
        <w:spacing w:before="0" w:after="0" w:beforeAutospacing="0" w:afterAutospacing="0"/>
        <w:jc w:val="center"/>
        <w:rPr>
          <w:rFonts w:ascii="Arial" w:hAnsi="Arial"/>
          <w:b w:val="1"/>
        </w:rPr>
      </w:pPr>
      <w:bookmarkEnd w:id="9"/>
    </w:p>
    <w:p>
      <w:pPr>
        <w:pStyle w:val="P6"/>
        <w:spacing w:before="0" w:after="0" w:beforeAutospacing="0" w:afterAutospacing="0"/>
        <w:jc w:val="center"/>
        <w:rPr>
          <w:rFonts w:ascii="Arial" w:hAnsi="Arial"/>
          <w:b w:val="1"/>
        </w:rPr>
      </w:pPr>
    </w:p>
    <w:p>
      <w:pPr>
        <w:pStyle w:val="P6"/>
        <w:spacing w:before="0" w:after="0" w:beforeAutospacing="0" w:afterAutospacing="0"/>
        <w:jc w:val="center"/>
        <w:rPr>
          <w:rFonts w:ascii="Arial" w:hAnsi="Arial"/>
          <w:b w:val="1"/>
        </w:rPr>
      </w:pPr>
    </w:p>
    <w:p>
      <w:pPr>
        <w:ind w:hanging="624" w:left="624"/>
        <w:jc w:val="both"/>
        <w:rPr>
          <w:rFonts w:ascii="Arial" w:hAnsi="Arial"/>
          <w:sz w:val="20"/>
        </w:rPr>
      </w:pPr>
      <w:r>
        <w:rPr>
          <w:rFonts w:ascii="Arial" w:hAnsi="Arial"/>
          <w:b w:val="1"/>
          <w:sz w:val="20"/>
        </w:rPr>
        <w:t>Note:</w:t>
      </w:r>
      <w:r>
        <w:rPr>
          <w:rFonts w:ascii="Arial" w:hAnsi="Arial"/>
          <w:sz w:val="20"/>
        </w:rPr>
        <w:t xml:space="preserve"> Data are given by Classification of Activities (CA) by sectors, subsectors, and fields.In cases when subsector consist only of one field,data is been given only for subsector.Indices for Republic of Serbia are calculated without data for Kosovo and Metohia.</w:t>
      </w: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ind w:left="198" w:right="198"/>
        <w:jc w:val="center"/>
        <w:rPr>
          <w:rFonts w:ascii="Arial" w:hAnsi="Arial"/>
        </w:rPr>
      </w:pPr>
    </w:p>
    <w:p>
      <w:pPr>
        <w:jc w:val="center"/>
        <w:rPr>
          <w:rFonts w:ascii="Arial" w:hAnsi="Arial"/>
          <w:sz w:val="20"/>
        </w:rPr>
      </w:pPr>
      <w:r>
        <w:rPr>
          <w:rFonts w:ascii="Arial" w:hAnsi="Arial"/>
          <w:sz w:val="20"/>
        </w:rPr>
        <w:t>Published and printed by: Statistical Office of the Republic of Serbia, No 5 Milana Rakica 5, Belgrade</w:t>
      </w:r>
    </w:p>
    <w:p>
      <w:pPr>
        <w:jc w:val="center"/>
        <w:rPr>
          <w:rFonts w:ascii="Arial" w:hAnsi="Arial"/>
          <w:sz w:val="20"/>
        </w:rPr>
      </w:pPr>
      <w:r>
        <w:rPr>
          <w:rFonts w:ascii="Arial" w:hAnsi="Arial"/>
          <w:sz w:val="20"/>
        </w:rPr>
        <w:t xml:space="preserve">Phone: +381 11 2412922 ● Fax: +381 11 411260 ● www.statserb.sr.gov.yu </w:t>
      </w:r>
    </w:p>
    <w:p>
      <w:pPr>
        <w:jc w:val="center"/>
        <w:rPr>
          <w:rFonts w:ascii="Arial" w:hAnsi="Arial"/>
          <w:sz w:val="20"/>
        </w:rPr>
      </w:pPr>
      <w:r>
        <w:rPr>
          <w:rFonts w:ascii="Arial" w:hAnsi="Arial"/>
          <w:sz w:val="20"/>
        </w:rPr>
        <w:t>Responsible: Dragan Vukmirovic, PhD, Director</w:t>
      </w:r>
    </w:p>
    <w:p>
      <w:pPr>
        <w:ind w:left="198" w:right="29"/>
        <w:jc w:val="center"/>
        <w:rPr>
          <w:sz w:val="20"/>
        </w:rPr>
      </w:pPr>
      <w:r>
        <w:rPr>
          <w:rFonts w:ascii="Arial" w:hAnsi="Arial"/>
          <w:sz w:val="20"/>
        </w:rPr>
        <w:t>Circulation: 230 ● Issued monthly</w:t>
      </w:r>
    </w:p>
    <w:p>
      <w:pPr>
        <w:jc w:val="both"/>
        <w:rPr>
          <w:rFonts w:ascii="Arial" w:hAnsi="Arial"/>
          <w:sz w:val="18"/>
        </w:rPr>
      </w:pPr>
    </w:p>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1021" w:right="1021" w:top="1134" w:bottom="1134"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8"/>
      <w:framePr w:wrap="around" w:vAnchor="text" w:hAnchor="margin" w:x="-16" w:y="1"/>
      <w:pBdr>
        <w:top w:val="single" w:sz="4" w:space="0" w:shadow="0" w:frame="0"/>
      </w:pBdr>
      <w:jc w:val="right"/>
      <w:rPr>
        <w:rStyle w:val="C3"/>
        <w:rFonts w:ascii="Arial" w:hAnsi="Arial"/>
        <w:sz w:val="16"/>
      </w:rPr>
    </w:pPr>
    <w: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8"/>
      <w:pBdr>
        <w:top w:val="single" w:sz="4" w:space="0" w:shadow="0" w:frame="0"/>
      </w:pBdr>
      <w:ind w:firstLine="357"/>
      <w:jc w:val="right"/>
      <w:rPr>
        <w:rFonts w:ascii="Arial" w:hAnsi="Arial"/>
        <w:sz w:val="16"/>
      </w:rPr>
    </w:pPr>
    <w:r>
      <w:rPr>
        <w:rFonts w:ascii="Arial" w:hAnsi="Arial"/>
        <w:sz w:val="16"/>
      </w:rPr>
      <w:t xml:space="preserve">                                                                                                                   SERB 49 CN20 290208</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8"/>
      <w:framePr w:wrap="around" w:vAnchor="text" w:hAnchor="margin" w:x="-16" w:y="1"/>
      <w:rPr>
        <w:rStyle w:val="C3"/>
        <w:rFonts w:ascii="Arial" w:hAnsi="Arial"/>
        <w:sz w:val="16"/>
      </w:rPr>
    </w:pPr>
    <w: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8"/>
      <w:pBdr>
        <w:top w:val="single" w:sz="4" w:space="0" w:shadow="0" w:frame="0"/>
      </w:pBdr>
      <w:jc w:val="right"/>
      <w:rPr>
        <w:rFonts w:ascii="Arial" w:hAnsi="Arial"/>
        <w:sz w:val="16"/>
      </w:rPr>
    </w:pPr>
    <w:r>
      <w:rPr>
        <w:rFonts w:ascii="Arial" w:hAnsi="Arial"/>
        <w:sz w:val="16"/>
      </w:rPr>
      <w:t>SERB 52 CN20 080307</w:t>
    </w:r>
  </w:p>
</w:ft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outlineLvl w:val="0"/>
    </w:pPr>
    <w:rPr>
      <w:rFonts w:ascii="Arial Cirilica" w:hAnsi="Arial Cirilica"/>
      <w:b w:val="1"/>
      <w:sz w:val="18"/>
    </w:rPr>
  </w:style>
  <w:style w:type="paragraph" w:styleId="P3">
    <w:name w:val="Heading 2"/>
    <w:basedOn w:val="P0"/>
    <w:next w:val="P0"/>
    <w:pPr>
      <w:keepNext w:val="1"/>
      <w:outlineLvl w:val="1"/>
    </w:pPr>
    <w:rPr>
      <w:rFonts w:ascii="Arial" w:hAnsi="Arial"/>
      <w:b w:val="1"/>
      <w:sz w:val="16"/>
    </w:rPr>
  </w:style>
  <w:style w:type="paragraph" w:styleId="P4">
    <w:name w:val="Heading 3"/>
    <w:basedOn w:val="P0"/>
    <w:next w:val="P0"/>
    <w:pPr>
      <w:keepNext w:val="1"/>
      <w:outlineLvl w:val="2"/>
    </w:pPr>
    <w:rPr>
      <w:rFonts w:ascii="Arial Cirilica" w:hAnsi="Arial Cirilica"/>
      <w:i w:val="1"/>
      <w:sz w:val="16"/>
    </w:rPr>
  </w:style>
  <w:style w:type="paragraph" w:styleId="P5">
    <w:name w:val="Heading 5"/>
    <w:basedOn w:val="P0"/>
    <w:next w:val="P0"/>
    <w:pPr>
      <w:keepNext w:val="1"/>
      <w:ind w:left="360"/>
      <w:jc w:val="center"/>
      <w:outlineLvl w:val="4"/>
    </w:pPr>
    <w:rPr>
      <w:rFonts w:ascii="Arial" w:hAnsi="Arial"/>
      <w:b w:val="1"/>
      <w:sz w:val="26"/>
    </w:rPr>
  </w:style>
  <w:style w:type="paragraph" w:styleId="P6">
    <w:name w:val="xl24"/>
    <w:basedOn w:val="P0"/>
    <w:next w:val="P6"/>
    <w:pPr>
      <w:spacing w:before="100" w:after="100" w:beforeAutospacing="1" w:afterAutospacing="1"/>
    </w:pPr>
    <w:rPr>
      <w:rFonts w:ascii="Arial Cirilica" w:hAnsi="Arial Cirilica"/>
    </w:rPr>
  </w:style>
  <w:style w:type="paragraph" w:styleId="P7">
    <w:name w:val="Header"/>
    <w:basedOn w:val="P0"/>
    <w:next w:val="P7"/>
    <w:pPr>
      <w:tabs>
        <w:tab w:val="center" w:pos="4320" w:leader="none"/>
        <w:tab w:val="right" w:pos="8640" w:leader="none"/>
      </w:tabs>
    </w:pPr>
    <w:rPr/>
  </w:style>
  <w:style w:type="paragraph" w:styleId="P8">
    <w:name w:val="Footer"/>
    <w:basedOn w:val="P0"/>
    <w:next w:val="P8"/>
    <w:pPr>
      <w:tabs>
        <w:tab w:val="center" w:pos="4320" w:leader="none"/>
        <w:tab w:val="right" w:pos="864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f61sp20</dc:creator>
  <dcterms:created xsi:type="dcterms:W3CDTF">2008-02-29T15:02:00Z</dcterms:created>
  <cp:lastModifiedBy>Nikola Kapetanovic</cp:lastModifiedBy>
  <cp:lastPrinted>2008-03-03T08:49:00Z</cp:lastPrinted>
  <dcterms:modified xsi:type="dcterms:W3CDTF">2020-01-10T11:46:22Z</dcterms:modified>
  <cp:revision>3</cp:revision>
  <dc:title>Republic of Serbia</dc:title>
</cp:coreProperties>
</file>