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EEFBBD" Type="http://schemas.openxmlformats.org/officeDocument/2006/relationships/officeDocument" Target="/word/document.xml" /><Relationship Id="coreR70EEFBB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2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7088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52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rPr>
                <w:b w:val="0"/>
                <w:sz w:val="20"/>
              </w:rP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САОПШТЕЊЕ</w:t>
            </w:r>
          </w:p>
          <w:p>
            <w:pPr>
              <w:rPr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</w:t>
            </w:r>
            <w:r>
              <w:rPr>
                <w:rFonts w:ascii="Arial" w:hAnsi="Arial"/>
                <w:b w:val="1"/>
                <w:sz w:val="22"/>
              </w:rPr>
              <w:t>355</w:t>
            </w:r>
            <w:r>
              <w:rPr>
                <w:rFonts w:ascii="Arial" w:hAnsi="Arial"/>
                <w:b w:val="1"/>
                <w:sz w:val="22"/>
              </w:rPr>
              <w:t xml:space="preserve"> • год. LV</w:t>
            </w:r>
            <w:r>
              <w:rPr>
                <w:rFonts w:ascii="Arial" w:hAnsi="Arial"/>
                <w:b w:val="1"/>
                <w:sz w:val="22"/>
              </w:rPr>
              <w:t>I</w:t>
            </w:r>
            <w:r>
              <w:rPr>
                <w:rFonts w:ascii="Arial" w:hAnsi="Arial"/>
                <w:b w:val="1"/>
                <w:sz w:val="22"/>
              </w:rPr>
              <w:t>I</w:t>
            </w:r>
            <w:r>
              <w:rPr>
                <w:rFonts w:ascii="Arial" w:hAnsi="Arial"/>
                <w:b w:val="1"/>
                <w:sz w:val="22"/>
              </w:rPr>
              <w:t>I</w:t>
            </w:r>
            <w:r>
              <w:rPr>
                <w:rFonts w:ascii="Arial" w:hAnsi="Arial"/>
                <w:b w:val="1"/>
                <w:sz w:val="22"/>
              </w:rPr>
              <w:t xml:space="preserve">, </w:t>
            </w:r>
            <w:r>
              <w:rPr>
                <w:rFonts w:ascii="Arial" w:hAnsi="Arial"/>
                <w:b w:val="1"/>
                <w:sz w:val="22"/>
              </w:rPr>
              <w:t>30</w:t>
            </w:r>
            <w:r>
              <w:rPr>
                <w:rFonts w:ascii="Arial" w:hAnsi="Arial"/>
                <w:b w:val="1"/>
                <w:sz w:val="22"/>
              </w:rPr>
              <w:t>.12.</w:t>
            </w:r>
            <w:r>
              <w:rPr>
                <w:rFonts w:ascii="Arial" w:hAnsi="Arial"/>
                <w:b w:val="1"/>
                <w:sz w:val="22"/>
              </w:rPr>
              <w:t>200</w:t>
            </w:r>
            <w:r>
              <w:rPr>
                <w:rFonts w:ascii="Arial" w:hAnsi="Arial"/>
                <w:b w:val="1"/>
                <w:sz w:val="22"/>
              </w:rPr>
              <w:t>8</w:t>
            </w:r>
            <w:r>
              <w:rPr>
                <w:rFonts w:ascii="Arial" w:hAnsi="Arial"/>
                <w:b w:val="1"/>
                <w:sz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КС10</w:t>
            </w:r>
          </w:p>
        </w:tc>
      </w:tr>
      <w:tr>
        <w:trPr>
          <w:wAfter w:w="0" w:type="dxa"/>
          <w:trHeight w:hRule="exact" w:val="320"/>
        </w:trPr>
        <w:tc>
          <w:tcPr>
            <w:tcW w:w="7088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YUCS" w:hAnsi="Arial YUCS"/>
                <w:b w:val="1"/>
              </w:rPr>
            </w:pPr>
            <w:r>
              <w:rPr>
                <w:rFonts w:ascii="Arial" w:hAnsi="Arial"/>
                <w:b w:val="1"/>
              </w:rPr>
              <w:t>Комплексно саопштење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355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КС</w:t>
            </w:r>
            <w:r>
              <w:rPr>
                <w:b w:val="1"/>
                <w:sz w:val="20"/>
              </w:rPr>
              <w:t xml:space="preserve">10 </w:t>
            </w:r>
            <w:r>
              <w:rPr>
                <w:b w:val="1"/>
                <w:sz w:val="20"/>
              </w:rPr>
              <w:t>30</w:t>
            </w:r>
            <w:r>
              <w:rPr>
                <w:b w:val="1"/>
                <w:sz w:val="20"/>
              </w:rPr>
              <w:t>120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20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>
      <w:pPr>
        <w:spacing w:before="1080" w:after="48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ЕКОНОМСКА КРЕТАЊА У РЕПУБЛИЦИ СРБИЈИ</w:t>
      </w:r>
      <w:r>
        <w:rPr>
          <w:rFonts w:ascii="Arial" w:hAnsi="Arial"/>
          <w:b w:val="1"/>
          <w:sz w:val="28"/>
        </w:rPr>
        <w:t>,</w:t>
      </w:r>
      <w:r>
        <w:rPr>
          <w:rFonts w:ascii="Arial" w:hAnsi="Arial"/>
          <w:b w:val="1"/>
          <w:sz w:val="28"/>
        </w:rPr>
        <w:t xml:space="preserve"> </w:t>
      </w:r>
      <w:r>
        <w:rPr>
          <w:rFonts w:ascii="Arial" w:hAnsi="Arial"/>
          <w:b w:val="1"/>
          <w:sz w:val="28"/>
        </w:rPr>
        <w:t>2008</w:t>
      </w:r>
      <w:r>
        <w:rPr>
          <w:rFonts w:ascii="Arial" w:hAnsi="Arial"/>
          <w:b w:val="1"/>
          <w:sz w:val="28"/>
        </w:rPr>
        <w:t xml:space="preserve">. </w:t>
      </w:r>
    </w:p>
    <w:p>
      <w:pPr>
        <w:pStyle w:val="P17"/>
        <w:spacing w:lineRule="auto" w:line="264" w:before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Сви подаци о економским кретањима у 2008. години изнети у овом саопштењу процењени су на основу доступних и до сада објављених података. Приказани показатељи не обухватају податке за Косово и Метохију.</w:t>
      </w:r>
    </w:p>
    <w:p>
      <w:pPr>
        <w:pStyle w:val="P17"/>
        <w:spacing w:lineRule="auto" w:line="264" w:before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Најважнији макроекономски агрегат јесте бруто домаћи производ, који представља меру укупне економске активности свих резидентних институционалних јединица, при чему је обухваћена производња материјалних добара и свих врста услуга, како услуга повезаних са матeријалнoм производњом тако и свих врста нематеријалних услуга (сектора државе, здравства, образовања, финансијског посредовања и све друге услуге). Обрачуни бруто домаћег производа међународно су упоредиви. </w:t>
      </w:r>
    </w:p>
    <w:p>
      <w:pPr>
        <w:spacing w:lineRule="auto" w:line="264"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Процењено је да укупне економске активности у 2008. години, мерене бруто домаћим производом и исказане у сталним ценамa 2002. године, имају раст од 6,1% у односу на претходну годину. Посматрано по активностима, највећи раст бележе: сектор саобраћаја, складиштења и везa,  сектор финансијског посредовања, сектор пољопривреде и сектор трговине.  Сви остали сектори такође бележе раст, али знатно мањи. </w:t>
      </w:r>
    </w:p>
    <w:p>
      <w:pPr>
        <w:spacing w:lineRule="auto" w:line="264"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Индустријска производња расла је и у 2008. години, и то за 1,4%. Овом расту највише је допринео раст сектора вађења руда и камена, који износи 4,7%. Процењено је да је пољопривредна производња у 2008. години имала раст од 9,0%. </w:t>
      </w:r>
    </w:p>
    <w:p>
      <w:pPr>
        <w:spacing w:lineRule="auto" w:line="264"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Грађевинарство у 2008. години бележи раст од 4,9%. Трговина на мало је наставила да бележи раст, и то од 6,5%, док је раст трговине на велико био бржи и износи 10,3%.  У сектору угоститељства је у 2008. години забележен раст од 1,0%, док је број ноћења опао  за 0,3%. Сектор саобраћаја, складиштења и веза има тенденцију раста од 15,6%, а у том расту највећи удео имају телекомуникације, чији је  раст и даље велики и износи 53,5%. </w:t>
      </w:r>
    </w:p>
    <w:p>
      <w:pPr>
        <w:spacing w:lineRule="auto" w:line="264"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Број запослених у 2008. години исти је као и претходне године. Број запослених мушкараца се незнатно смањио, 0,6%, док је број запослених жена порастао за 0,8%.  У овом  саопштењу први пут су приказани подаци о стопи незапослености, која је у октобру 2008. године износила 14%, а добијени су на основу Анкете о радној снази. </w:t>
      </w:r>
    </w:p>
    <w:p>
      <w:pPr>
        <w:spacing w:lineRule="auto" w:line="264"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Зараде без пореза и доприноса наставиле су да расту и у 2008. години, тако да су у односу на 2007. годину номинално веће за 17,5%. Реално, зараде су имале раст од 3,8%. </w:t>
      </w:r>
    </w:p>
    <w:p>
      <w:pPr>
        <w:jc w:val="center"/>
        <w:rPr>
          <w:rFonts w:ascii="Arial" w:hAnsi="Arial"/>
          <w:sz w:val="4"/>
        </w:rPr>
      </w:pPr>
      <w:r>
        <w:rPr>
          <w:rFonts w:ascii="Arial" w:hAnsi="Arial"/>
          <w:b w:val="1"/>
          <w:sz w:val="20"/>
        </w:rPr>
        <w:br w:type="page"/>
      </w:r>
    </w:p>
    <w:p>
      <w:pPr>
        <w:jc w:val="center"/>
        <w:rPr>
          <w:rFonts w:ascii="Arial" w:hAnsi="Arial"/>
          <w:sz w:val="4"/>
        </w:rPr>
      </w:pPr>
    </w:p>
    <w:tbl>
      <w:tblPr>
        <w:tblStyle w:val="T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After w:w="28" w:type="dxa"/>
        </w:trPr>
        <w:tc>
          <w:tcPr>
            <w:tcW w:w="4820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4"/>
              <w:spacing w:lineRule="auto" w:line="264" w:before="120" w:after="120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ВАЖНИЈИ ИНДЕКСИ ЕКОНОМСКИХ  КРЕТАЊА</w:t>
            </w:r>
          </w:p>
        </w:tc>
        <w:tc>
          <w:tcPr>
            <w:tcW w:w="4820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7"/>
              <w:spacing w:lineRule="auto" w:line="264" w:before="120" w:after="120"/>
              <w:rPr>
                <w:sz w:val="20"/>
              </w:rPr>
            </w:pPr>
            <w:r>
              <w:rPr>
                <w:sz w:val="20"/>
              </w:rPr>
              <w:t>GENERAL INDICES OF ECONOMIC TRENDS</w:t>
            </w:r>
          </w:p>
        </w:tc>
      </w:tr>
      <w:tr>
        <w:trPr>
          <w:wAfter w:w="0" w:type="dxa"/>
        </w:trPr>
        <w:tc>
          <w:tcPr>
            <w:tcW w:w="2863" w:type="dxa"/>
            <w:vMerge w:val="restart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40" w:after="40"/>
              <w:ind w:hanging="170" w:left="170"/>
              <w:rPr>
                <w:rFonts w:ascii="Arial" w:hAnsi="Arial"/>
                <w:sz w:val="14"/>
              </w:rPr>
            </w:pPr>
          </w:p>
        </w:tc>
        <w:tc>
          <w:tcPr>
            <w:tcW w:w="3970" w:type="dxa"/>
            <w:gridSpan w:val="6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Индекси – претходна година = 100</w:t>
            </w:r>
          </w:p>
          <w:p>
            <w:pPr>
              <w:spacing w:lineRule="auto" w:line="264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 xml:space="preserve">Indices - </w:t>
            </w:r>
            <w:r>
              <w:rPr>
                <w:rFonts w:ascii="Arial" w:hAnsi="Arial"/>
                <w:i w:val="1"/>
                <w:sz w:val="14"/>
              </w:rPr>
              <w:t>previous year = 100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264" w:before="40" w:after="40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  <w:trHeight w:hRule="atLeast" w:val="327"/>
        </w:trPr>
        <w:tc>
          <w:tcPr>
            <w:tcW w:w="2863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40" w:after="40"/>
              <w:ind w:hanging="170" w:left="170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79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2008</w:t>
            </w:r>
            <w:r>
              <w:rPr>
                <w:rFonts w:ascii="Arial" w:hAnsi="Arial"/>
                <w:sz w:val="14"/>
                <w:vertAlign w:val="superscript"/>
              </w:rPr>
              <w:t>1)</w:t>
            </w:r>
          </w:p>
        </w:tc>
        <w:tc>
          <w:tcPr>
            <w:tcW w:w="2835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264" w:before="40" w:after="40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6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hanging="170" w:left="170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</w:tcBorders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bottom w:val="none" w:sz="0" w:space="0" w:shadow="0" w:frame="0"/>
            </w:tcBorders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shadow="0" w:frame="0"/>
              <w:bottom w:val="none" w:sz="0" w:space="0" w:shadow="0" w:frame="0"/>
            </w:tcBorders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bottom w:val="none" w:sz="0" w:space="0" w:shadow="0" w:frame="0"/>
            </w:tcBorders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hanging="170" w:left="170"/>
              <w:rPr>
                <w:rFonts w:ascii="Arial" w:hAnsi="Arial"/>
                <w:i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spacing w:lineRule="auto" w:line="264"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Бруто домаћи производ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2"/>
              <w:spacing w:lineRule="auto" w:line="264" w:before="20" w:after="20"/>
              <w:rPr>
                <w:sz w:val="14"/>
              </w:rPr>
            </w:pPr>
            <w:r>
              <w:rPr>
                <w:sz w:val="14"/>
              </w:rPr>
              <w:t xml:space="preserve">Gross domestic  product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 сталне цене 2002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106,0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106,1</w:t>
            </w:r>
          </w:p>
        </w:tc>
        <w:tc>
          <w:tcPr>
            <w:tcW w:w="2835" w:type="dxa"/>
            <w:gridSpan w:val="2"/>
            <w:tcBorders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3" w:left="17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At constant prices 2002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i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20" w:after="20"/>
              <w:rPr>
                <w:sz w:val="14"/>
              </w:rPr>
            </w:pPr>
            <w:r>
              <w:rPr>
                <w:sz w:val="14"/>
              </w:rPr>
              <w:t>Физички обим производње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5"/>
              <w:spacing w:lineRule="auto" w:line="264"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Physical volume of production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Пољопривреда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119,5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94,7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92,0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109,0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6" w:left="34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Agriculture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Искоришћавање шума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106,1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95,8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117,8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6" w:left="34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Forests exploitation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Индустрија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107,1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104,7</w:t>
            </w:r>
          </w:p>
        </w:tc>
        <w:tc>
          <w:tcPr>
            <w:tcW w:w="794" w:type="dxa"/>
            <w:tcBorders>
              <w:top w:val="none" w:sz="0" w:space="0" w:shadow="0" w:frame="0"/>
            </w:tcBorders>
            <w:vAlign w:val="center"/>
          </w:tcPr>
          <w:p>
            <w:pPr>
              <w:pStyle w:val="P15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6" w:left="34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Industry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Грађевинарство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109,8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105,8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110,9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118,9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6" w:left="34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Construction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20" w:after="20"/>
              <w:rPr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5"/>
              <w:spacing w:lineRule="auto" w:line="264" w:before="20" w:after="20"/>
              <w:rPr>
                <w:rFonts w:ascii="Arial" w:hAnsi="Arial"/>
                <w:i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20" w:after="20"/>
              <w:rPr>
                <w:sz w:val="14"/>
              </w:rPr>
            </w:pPr>
            <w:r>
              <w:rPr>
                <w:sz w:val="14"/>
              </w:rPr>
              <w:t>Трговина на велико и мало - сталне цене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5"/>
              <w:spacing w:lineRule="auto" w:line="264"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Wholesale and retail trade - constant prices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Промет робе на велико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124,3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117,0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113,3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116,7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110,3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Turnover in wholesale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Промет робе на мало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118,0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126,5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107,7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123,0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106,5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Turnover in retail trade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i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20" w:after="20"/>
              <w:rPr>
                <w:sz w:val="14"/>
              </w:rPr>
            </w:pPr>
            <w:r>
              <w:rPr>
                <w:sz w:val="14"/>
              </w:rPr>
              <w:t>Спољнотрговинска робна размена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5"/>
              <w:spacing w:lineRule="auto" w:line="264"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External trade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Извоз, у мил. USD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127,8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127,2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128,2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Export, in mill. USD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Увоз,  у мил. USD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143,8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97,3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128,9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Import, in mill. USD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i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20" w:after="20"/>
              <w:rPr>
                <w:sz w:val="14"/>
              </w:rPr>
            </w:pPr>
            <w:r>
              <w:rPr>
                <w:sz w:val="14"/>
              </w:rPr>
              <w:t>Хотели и ресторани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5"/>
              <w:spacing w:lineRule="auto" w:line="264"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Hotels and restaurants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Угоститељство - сталне цене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101,3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64"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98,3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106,0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101,0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Catering - constant prices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Туристи - ноћења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97,8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99,7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Tourists, nights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i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20" w:after="20"/>
              <w:rPr>
                <w:sz w:val="14"/>
              </w:rPr>
            </w:pPr>
            <w:r>
              <w:rPr>
                <w:sz w:val="14"/>
              </w:rPr>
              <w:t>Саобраћај, складиштење и везе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spacing w:lineRule="auto" w:line="264" w:before="20" w:after="20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0"/>
                <w:sz w:val="14"/>
              </w:rPr>
              <w:t>Transport, storage and communication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Саобраћај - укупно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104,7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104,4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101,1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Transport - all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Превоз путника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103,7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100,0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102,1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6" w:left="34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Passenger transported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Превоз робе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123,5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98,2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6" w:left="34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Goods transported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i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Поштанске активности и телекомуникације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134,1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152,8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Posted activities and telecommunication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Делатност пошта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130,3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104,7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107,9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6" w:left="34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 activities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Телекомуникације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122,8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135,5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177,5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144,3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153,5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6" w:left="34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Telecommunication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i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20" w:after="20"/>
              <w:rPr>
                <w:sz w:val="14"/>
              </w:rPr>
            </w:pPr>
            <w:r>
              <w:rPr>
                <w:sz w:val="14"/>
              </w:rPr>
              <w:t>Запослени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5"/>
              <w:spacing w:lineRule="auto" w:line="264"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Employees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100,9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100,0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Мушкарци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100,7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99,4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Men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101,2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100,8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Women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i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20" w:after="20"/>
              <w:rPr>
                <w:sz w:val="14"/>
              </w:rPr>
            </w:pPr>
            <w:r>
              <w:rPr>
                <w:sz w:val="14"/>
              </w:rPr>
              <w:t>Продуктивност рада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5"/>
              <w:spacing w:lineRule="auto" w:line="264"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Labоr productivity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 индустрији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109,0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107,0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in industry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i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64" w:before="20" w:after="20"/>
              <w:rPr>
                <w:i w:val="1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i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64" w:before="20" w:after="20"/>
              <w:rPr>
                <w:i w:val="1"/>
                <w:sz w:val="14"/>
              </w:rPr>
            </w:pPr>
            <w:r>
              <w:rPr>
                <w:i w:val="0"/>
                <w:sz w:val="14"/>
              </w:rPr>
              <w:t xml:space="preserve">Просечне зараде </w:t>
            </w:r>
          </w:p>
          <w:p>
            <w:pPr>
              <w:pStyle w:val="P3"/>
              <w:spacing w:lineRule="auto" w:line="264" w:before="20" w:after="20"/>
              <w:rPr>
                <w:i w:val="1"/>
                <w:sz w:val="14"/>
              </w:rPr>
            </w:pPr>
            <w:r>
              <w:rPr>
                <w:i w:val="0"/>
                <w:sz w:val="14"/>
              </w:rPr>
              <w:t>без пореза и доприноса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17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Average salaries (wages) </w:t>
            </w:r>
          </w:p>
          <w:p>
            <w:pPr>
              <w:spacing w:lineRule="auto" w:line="264" w:before="20" w:after="20"/>
              <w:ind w:hanging="170" w:left="17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tax and contributions deducted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64" w:before="20" w:after="20"/>
              <w:rPr>
                <w:b w:val="1"/>
                <w:i w:val="1"/>
                <w:sz w:val="14"/>
              </w:rPr>
            </w:pPr>
            <w:r>
              <w:rPr>
                <w:b w:val="0"/>
                <w:i w:val="0"/>
                <w:sz w:val="14"/>
              </w:rPr>
              <w:t>Номиналне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122,7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123,6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117,5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4"/>
              <w:spacing w:lineRule="auto" w:line="264" w:before="20" w:after="20"/>
              <w:rPr>
                <w:b w:val="1"/>
                <w:sz w:val="14"/>
              </w:rPr>
            </w:pPr>
            <w:r>
              <w:rPr>
                <w:b w:val="0"/>
                <w:sz w:val="14"/>
              </w:rPr>
              <w:t>Nominal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64" w:before="20" w:after="20"/>
              <w:rPr>
                <w:b w:val="1"/>
                <w:i w:val="1"/>
                <w:sz w:val="14"/>
              </w:rPr>
            </w:pPr>
            <w:r>
              <w:rPr>
                <w:b w:val="0"/>
                <w:i w:val="0"/>
                <w:sz w:val="14"/>
              </w:rPr>
              <w:t>Реалне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106,4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103,8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4"/>
              <w:spacing w:lineRule="auto" w:line="264" w:before="20" w:after="20"/>
              <w:rPr>
                <w:b w:val="1"/>
                <w:sz w:val="14"/>
              </w:rPr>
            </w:pPr>
            <w:r>
              <w:rPr>
                <w:b w:val="0"/>
                <w:sz w:val="14"/>
              </w:rPr>
              <w:t>Real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64" w:before="20" w:after="20"/>
              <w:ind w:left="170"/>
              <w:rPr>
                <w:b w:val="1"/>
                <w:i w:val="1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340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64" w:before="20" w:after="20"/>
              <w:rPr>
                <w:i w:val="1"/>
                <w:sz w:val="14"/>
              </w:rPr>
            </w:pPr>
            <w:r>
              <w:rPr>
                <w:i w:val="0"/>
                <w:sz w:val="14"/>
              </w:rPr>
              <w:t>Стопа незапослености</w:t>
            </w:r>
            <w:r>
              <w:rPr>
                <w:i w:val="0"/>
                <w:sz w:val="14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Unemployment rate</w:t>
            </w:r>
            <w:r>
              <w:rPr>
                <w:rFonts w:ascii="Arial" w:hAnsi="Arial"/>
                <w:sz w:val="14"/>
                <w:vertAlign w:val="superscript"/>
              </w:rPr>
              <w:t>2)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64" w:before="20" w:after="20"/>
              <w:ind w:left="170"/>
              <w:rPr>
                <w:b w:val="1"/>
                <w:i w:val="1"/>
                <w:sz w:val="14"/>
              </w:rPr>
            </w:pPr>
            <w:r>
              <w:rPr>
                <w:b w:val="0"/>
                <w:i w:val="0"/>
                <w:sz w:val="14"/>
              </w:rPr>
              <w:t>А</w:t>
            </w:r>
            <w:r>
              <w:rPr>
                <w:b w:val="0"/>
                <w:i w:val="0"/>
                <w:sz w:val="14"/>
              </w:rPr>
              <w:t>прил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13,3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April</w:t>
            </w:r>
          </w:p>
        </w:tc>
      </w:tr>
      <w:tr>
        <w:trPr>
          <w:wAfter w:w="0" w:type="dxa"/>
        </w:trPr>
        <w:tc>
          <w:tcPr>
            <w:tcW w:w="28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64" w:before="20" w:after="20"/>
              <w:ind w:left="170"/>
              <w:rPr>
                <w:b w:val="1"/>
                <w:i w:val="1"/>
                <w:sz w:val="14"/>
              </w:rPr>
            </w:pPr>
            <w:r>
              <w:rPr>
                <w:b w:val="0"/>
                <w:i w:val="0"/>
                <w:sz w:val="14"/>
              </w:rPr>
              <w:t>О</w:t>
            </w:r>
            <w:r>
              <w:rPr>
                <w:b w:val="0"/>
                <w:i w:val="0"/>
                <w:sz w:val="14"/>
              </w:rPr>
              <w:t>ктобар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20" w:after="2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2835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20" w:after="20"/>
              <w:ind w:hanging="170"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October</w:t>
            </w:r>
          </w:p>
        </w:tc>
      </w:tr>
    </w:tbl>
    <w:p>
      <w:pPr>
        <w:spacing w:lineRule="auto" w:line="269"/>
        <w:rPr>
          <w:sz w:val="14"/>
        </w:rPr>
      </w:pPr>
    </w:p>
    <w:tbl>
      <w:tblPr>
        <w:tblStyle w:val="T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4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vertAlign w:val="superscript"/>
              </w:rPr>
              <w:t>1)</w:t>
            </w:r>
            <w:r>
              <w:rPr>
                <w:rFonts w:ascii="Arial" w:hAnsi="Arial"/>
                <w:sz w:val="12"/>
              </w:rPr>
              <w:t xml:space="preserve"> Процена.</w:t>
            </w:r>
          </w:p>
          <w:p>
            <w:pPr>
              <w:pStyle w:val="P1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vertAlign w:val="superscript"/>
              </w:rPr>
              <w:t>2)</w:t>
            </w:r>
            <w:r>
              <w:rPr>
                <w:rFonts w:ascii="Arial" w:hAnsi="Arial"/>
                <w:sz w:val="12"/>
              </w:rPr>
              <w:t xml:space="preserve"> Извор: Анкета о радној снази. </w:t>
            </w:r>
          </w:p>
        </w:tc>
        <w:tc>
          <w:tcPr>
            <w:tcW w:w="1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2"/>
              </w:rPr>
            </w:pPr>
          </w:p>
        </w:tc>
        <w:tc>
          <w:tcPr>
            <w:tcW w:w="4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vertAlign w:val="superscript"/>
              </w:rPr>
              <w:t>1)</w:t>
            </w:r>
            <w:r>
              <w:rPr>
                <w:rFonts w:ascii="Arial" w:hAnsi="Arial"/>
                <w:sz w:val="12"/>
              </w:rPr>
              <w:t xml:space="preserve"> Estimated.</w:t>
            </w:r>
          </w:p>
          <w:p>
            <w:pPr>
              <w:pStyle w:val="P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vertAlign w:val="superscript"/>
              </w:rPr>
              <w:t>2)</w:t>
            </w:r>
            <w:r>
              <w:rPr>
                <w:rFonts w:ascii="Arial" w:hAnsi="Arial"/>
                <w:sz w:val="12"/>
              </w:rPr>
              <w:t xml:space="preserve"> Source: Labor Force Survey</w:t>
            </w:r>
          </w:p>
        </w:tc>
      </w:tr>
    </w:tbl>
    <w:p>
      <w:pPr>
        <w:ind w:left="198" w:right="29"/>
        <w:jc w:val="center"/>
        <w:rPr>
          <w:rFonts w:ascii="Arial" w:hAnsi="Arial"/>
          <w:sz w:val="28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200 •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77" w:right="1077" w:top="1418" w:bottom="1247" w:header="720" w:footer="851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16" w:y="1"/>
      <w:rPr>
        <w:rStyle w:val="C3"/>
        <w:sz w:val="20"/>
      </w:rPr>
    </w:pPr>
    <w:r>
      <w:fldChar w:fldCharType="begin"/>
    </w:r>
    <w:r>
      <w:rPr>
        <w:rStyle w:val="C3"/>
        <w:sz w:val="20"/>
      </w:rPr>
      <w:instrText xml:space="preserve">PAGE  </w:instrText>
    </w:r>
    <w:r>
      <w:rPr>
        <w:rStyle w:val="C3"/>
        <w:sz w:val="20"/>
      </w:rPr>
      <w:fldChar w:fldCharType="separate"/>
    </w:r>
    <w:r>
      <w:rPr>
        <w:rStyle w:val="C3"/>
        <w:sz w:val="20"/>
      </w:rPr>
      <w:t>#</w:t>
    </w:r>
    <w:r>
      <w:rPr>
        <w:rStyle w:val="C3"/>
        <w:sz w:val="20"/>
      </w:rPr>
      <w:fldChar w:fldCharType="end"/>
    </w:r>
  </w:p>
  <w:p>
    <w:pPr>
      <w:pStyle w:val="P9"/>
      <w:pBdr>
        <w:top w:val="single" w:sz="4" w:space="0" w:shadow="0" w:frame="0"/>
      </w:pBdr>
      <w:rPr>
        <w:rStyle w:val="C3"/>
      </w:rPr>
    </w:pPr>
    <w:r>
      <w:rPr>
        <w:rStyle w:val="C3"/>
        <w:rFonts w:ascii="Arial" w:hAnsi="Arial"/>
        <w:sz w:val="16"/>
      </w:rPr>
      <w:t>СРБ70 ШУ10 301104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9"/>
      <w:pBdr>
        <w:top w:val="single" w:sz="4" w:space="0" w:shadow="0" w:frame="0"/>
      </w:pBdr>
      <w:jc w:val="right"/>
      <w:rPr>
        <w:sz w:val="16"/>
      </w:rPr>
    </w:pPr>
    <w:r>
      <w:rPr>
        <w:rStyle w:val="C3"/>
        <w:rFonts w:ascii="Arial" w:hAnsi="Arial"/>
        <w:sz w:val="16"/>
      </w:rPr>
      <w:t>СРБ 355 КС10 301208</w:t>
    </w:r>
  </w:p>
</w:ftr>
</file>

<file path=word/numbering.xml><?xml version="1.0" encoding="utf-8"?>
<w:numbering xmlns:w="http://schemas.openxmlformats.org/wordprocessingml/2006/main">
  <w:abstractNum w:abstractNumId="0">
    <w:nsid w:val="18757E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47321BB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6B9800B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6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paragraph" w:styleId="P9">
    <w:name w:val="Footer"/>
    <w:basedOn w:val="P0"/>
    <w:next w:val="P9"/>
    <w:pPr>
      <w:tabs>
        <w:tab w:val="center" w:pos="4320" w:leader="none"/>
        <w:tab w:val="right" w:pos="8640" w:leader="none"/>
      </w:tabs>
    </w:pPr>
    <w:rPr/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Body Text Indent"/>
    <w:basedOn w:val="P0"/>
    <w:next w:val="P11"/>
    <w:pPr>
      <w:ind w:firstLine="360" w:left="360"/>
      <w:jc w:val="both"/>
    </w:pPr>
    <w:rPr>
      <w:rFonts w:ascii="Arial" w:hAnsi="Arial"/>
      <w:sz w:val="20"/>
    </w:rPr>
  </w:style>
  <w:style w:type="paragraph" w:styleId="P12">
    <w:name w:val="Plain Text"/>
    <w:basedOn w:val="P0"/>
    <w:next w:val="P12"/>
    <w:pPr/>
    <w:rPr>
      <w:rFonts w:ascii="Courier New" w:hAnsi="Courier New"/>
      <w:sz w:val="20"/>
    </w:rPr>
  </w:style>
  <w:style w:type="paragraph" w:styleId="P13">
    <w:name w:val="Body Text Indent 2"/>
    <w:basedOn w:val="P0"/>
    <w:next w:val="P13"/>
    <w:pPr>
      <w:ind w:firstLine="720"/>
      <w:jc w:val="both"/>
    </w:pPr>
    <w:rPr>
      <w:rFonts w:ascii="Arial" w:hAnsi="Arial"/>
      <w:sz w:val="20"/>
    </w:rPr>
  </w:style>
  <w:style w:type="paragraph" w:styleId="P14">
    <w:name w:val="Balloon Text"/>
    <w:basedOn w:val="P0"/>
    <w:next w:val="P14"/>
    <w:pPr>
      <w:widowControl w:val="0"/>
    </w:pPr>
    <w:rPr>
      <w:rFonts w:ascii="Tahoma" w:hAnsi="Tahoma"/>
      <w:sz w:val="16"/>
    </w:rPr>
  </w:style>
  <w:style w:type="paragraph" w:styleId="P15">
    <w:name w:val="pod"/>
    <w:basedOn w:val="P0"/>
    <w:next w:val="P15"/>
    <w:pPr>
      <w:widowControl w:val="0"/>
      <w:ind w:right="113"/>
      <w:jc w:val="right"/>
    </w:pPr>
    <w:rPr>
      <w:rFonts w:ascii="CTimesRoman" w:hAnsi="CTimesRoman"/>
      <w:sz w:val="14"/>
    </w:rPr>
  </w:style>
  <w:style w:type="paragraph" w:styleId="P16">
    <w:name w:val="fus"/>
    <w:basedOn w:val="P0"/>
    <w:next w:val="P16"/>
    <w:pPr>
      <w:widowControl w:val="0"/>
      <w:ind w:hanging="113" w:left="113"/>
      <w:jc w:val="both"/>
    </w:pPr>
    <w:rPr>
      <w:rFonts w:ascii="CTimesRoman" w:hAnsi="CTimesRoman"/>
      <w:sz w:val="14"/>
    </w:rPr>
  </w:style>
  <w:style w:type="paragraph" w:styleId="P17">
    <w:name w:val="Body Text"/>
    <w:basedOn w:val="P0"/>
    <w:next w:val="P17"/>
    <w:pPr>
      <w:spacing w:after="120"/>
    </w:pPr>
    <w:rPr/>
  </w:style>
  <w:style w:type="paragraph" w:styleId="P18">
    <w:name w:val="Title"/>
    <w:basedOn w:val="P0"/>
    <w:next w:val="P18"/>
    <w:pPr>
      <w:jc w:val="center"/>
    </w:pPr>
    <w:rPr>
      <w:rFonts w:ascii="Arial" w:hAnsi="Arial"/>
      <w:b w:val="1"/>
    </w:rPr>
  </w:style>
  <w:style w:type="paragraph" w:styleId="P19">
    <w:name w:val="Body Text Indent 3"/>
    <w:basedOn w:val="P0"/>
    <w:next w:val="P19"/>
    <w:pPr>
      <w:ind w:firstLine="720"/>
      <w:jc w:val="both"/>
    </w:pPr>
    <w:rPr>
      <w:rFonts w:ascii="Arial" w:hAnsi="Arial"/>
      <w:sz w:val="22"/>
    </w:rPr>
  </w:style>
  <w:style w:type="paragraph" w:styleId="P20">
    <w:name w:val="fuse"/>
    <w:basedOn w:val="P16"/>
    <w:next w:val="P20"/>
    <w:pPr/>
    <w:rPr>
      <w:rFonts w:ascii="TimesRoman" w:hAnsi="Times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2007-12-26T07:21:00Z</dcterms:created>
  <cp:lastModifiedBy>Nikola Kapetanovic</cp:lastModifiedBy>
  <cp:lastPrinted>2008-12-29T08:21:00Z</cp:lastPrinted>
  <dcterms:modified xsi:type="dcterms:W3CDTF">2020-01-09T15:40:03Z</dcterms:modified>
  <cp:revision>63</cp:revision>
  <dc:title>Република Србија</dc:title>
</cp:coreProperties>
</file>