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79B07B" Type="http://schemas.openxmlformats.org/officeDocument/2006/relationships/officeDocument" Target="/word/document.xml" /><Relationship Id="coreR7E79B07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578" w:type="dxa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349</w:t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III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1</w:t>
            </w:r>
            <w:r>
              <w:rPr>
                <w:rFonts w:ascii="Arial" w:hAnsi="Arial"/>
                <w:b w:val="1"/>
              </w:rPr>
              <w:t>1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1</w:t>
            </w:r>
            <w:r>
              <w:rPr>
                <w:rFonts w:ascii="Arial" w:hAnsi="Arial"/>
                <w:b w:val="1"/>
              </w:rPr>
              <w:t>2</w:t>
            </w:r>
            <w:r>
              <w:rPr>
                <w:rFonts w:ascii="Arial" w:hAnsi="Arial"/>
                <w:b w:val="1"/>
              </w:rPr>
              <w:t>.2008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ГР</w:t>
            </w:r>
            <w:r>
              <w:rPr>
                <w:rFonts w:ascii="Arial" w:hAnsi="Arial"/>
                <w:b w:val="1"/>
                <w:sz w:val="72"/>
              </w:rPr>
              <w:t>30</w:t>
            </w:r>
          </w:p>
        </w:tc>
      </w:tr>
      <w:tr>
        <w:trPr>
          <w:wAfter w:w="0" w:type="dxa"/>
          <w:trHeight w:hRule="exact" w:val="320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3</w:t>
            </w:r>
            <w:r>
              <w:rPr>
                <w:b w:val="1"/>
                <w:sz w:val="20"/>
              </w:rPr>
              <w:t>49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ГР</w:t>
            </w:r>
            <w:r>
              <w:rPr>
                <w:b w:val="1"/>
                <w:sz w:val="20"/>
              </w:rPr>
              <w:t>30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2</w:t>
            </w:r>
            <w:r>
              <w:rPr>
                <w:b w:val="1"/>
                <w:sz w:val="20"/>
              </w:rPr>
              <w:t>08</w:t>
            </w:r>
          </w:p>
        </w:tc>
      </w:tr>
      <w:tr>
        <w:trPr>
          <w:wAfter w:w="0" w:type="dxa"/>
          <w:trHeight w:hRule="exact" w:val="120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spacing w:lineRule="auto" w:line="36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Издате грађевинске дозволе</w:t>
      </w:r>
      <w:r>
        <w:rPr>
          <w:rFonts w:ascii="Arial" w:hAnsi="Arial"/>
          <w:b w:val="1"/>
          <w:sz w:val="28"/>
        </w:rPr>
        <w:t xml:space="preserve"> у Републици Србији</w:t>
      </w:r>
      <w:r>
        <w:rPr>
          <w:rStyle w:val="C3"/>
          <w:rFonts w:ascii="Times New Roman" w:hAnsi="Times New Roman"/>
          <w:b w:val="1"/>
          <w:sz w:val="28"/>
        </w:rPr>
        <w:footnoteReference w:id="0"/>
      </w:r>
      <w:r>
        <w:rPr>
          <w:rFonts w:ascii="Arial" w:hAnsi="Arial"/>
          <w:b w:val="1"/>
          <w:sz w:val="28"/>
        </w:rPr>
        <w:t xml:space="preserve"> у </w:t>
      </w:r>
      <w:r>
        <w:rPr>
          <w:rFonts w:ascii="Arial" w:hAnsi="Arial"/>
          <w:b w:val="1"/>
          <w:sz w:val="28"/>
        </w:rPr>
        <w:t>окто</w:t>
      </w:r>
      <w:r>
        <w:rPr>
          <w:rFonts w:ascii="Arial" w:hAnsi="Arial"/>
          <w:b w:val="1"/>
          <w:sz w:val="28"/>
        </w:rPr>
        <w:t>бру</w:t>
      </w:r>
      <w:r>
        <w:rPr>
          <w:rFonts w:ascii="Arial" w:hAnsi="Arial"/>
          <w:b w:val="1"/>
          <w:sz w:val="28"/>
        </w:rPr>
        <w:t xml:space="preserve"> 2008. 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– Претходни резултати –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Према броју дозвола које су издате у октобру 2008, пријављена је изградња 1918 станова с просечном површином 62,9 m². Број станова, према издатим дозволама, већи је за 53,0% него у октобру 2007. Од укупног броја станова у стамбеним зградама, 9,5% станова биће грађено у зградама с једним станом, с просечном површином 120,5 m², а 85,7% станова биће грађено у зградама с три и више станова, и њихова просечна површина биће знатно мања и износиће 52,6 m².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октобру 2008. издато је 1069 грађевинских дозвола, што је за 3,4% мање у односу на октобар претходне године, док је тај број у периоду од јануара до октобра 2008. мањи за 4,2% у односу на исти период у 2007. Индекс предвиђене вредности у октобру 2008. већи је за 24,0% у односу на октобар 2007.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Посматрано према врсти грађевина, у октобру 2008. издато је 77,5% дозвола за зграде и 22,5% за остале грађевине. Ако се посматрају само зграде, 73,6% односи се на стамбене и 26,4% на нестамбене зграде, док се код осталих грађевина највећи део односи на цевоводе, комуникационе и електричне водове, чак 81,3%.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Предвиђена вредност радова новоградње у октобру 2008. износи 75,0% од укупне предвиђене вредности радова. Највећа грађевинска активност, посматрано према окрузима, забележена је у граду Београду и износи 16,1% од предвиђене вредности радова новоградње. Затим следе Сремски округ, 14,2%, Јужнобачки, 11,5%, Севернобачки, 7,9%, и Колубарски, 7,0%, док се учешћа осталих округа крећу од 0,1% до 5,8%.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Поред ових података, корисницима стоје на располагању детаљни месечни подаци из ове области на нашем веб сајту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"http://www.stat.gov."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www.stat.gov.rs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(област Грађевинарство и базе података).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color w:val="000000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color w:val="000000"/>
          <w:sz w:val="20"/>
        </w:rPr>
        <w:t xml:space="preserve">1. </w:t>
      </w:r>
      <w:r>
        <w:rPr>
          <w:rFonts w:ascii="Arial" w:hAnsi="Arial"/>
          <w:b w:val="1"/>
          <w:color w:val="000000"/>
          <w:sz w:val="20"/>
        </w:rPr>
        <w:t xml:space="preserve">Индекси </w:t>
      </w:r>
      <w:r>
        <w:rPr>
          <w:rFonts w:ascii="Arial" w:hAnsi="Arial"/>
          <w:b w:val="1"/>
          <w:color w:val="000000"/>
          <w:sz w:val="20"/>
        </w:rPr>
        <w:t xml:space="preserve">издатих </w:t>
      </w:r>
      <w:r>
        <w:rPr>
          <w:rFonts w:ascii="Arial" w:hAnsi="Arial"/>
          <w:b w:val="1"/>
          <w:color w:val="000000"/>
          <w:sz w:val="20"/>
        </w:rPr>
        <w:t xml:space="preserve">грађевинских </w:t>
      </w:r>
      <w:r>
        <w:rPr>
          <w:rFonts w:ascii="Arial" w:hAnsi="Arial"/>
          <w:b w:val="1"/>
          <w:color w:val="000000"/>
          <w:sz w:val="20"/>
        </w:rPr>
        <w:t>дозвола у</w:t>
      </w:r>
      <w:r>
        <w:rPr>
          <w:rFonts w:ascii="Arial" w:hAnsi="Arial"/>
          <w:b w:val="1"/>
          <w:color w:val="000000"/>
          <w:sz w:val="20"/>
        </w:rPr>
        <w:t xml:space="preserve"> Републи</w:t>
      </w:r>
      <w:r>
        <w:rPr>
          <w:rFonts w:ascii="Arial" w:hAnsi="Arial"/>
          <w:b w:val="1"/>
          <w:color w:val="000000"/>
          <w:sz w:val="20"/>
        </w:rPr>
        <w:t>ци</w:t>
      </w:r>
      <w:r>
        <w:rPr>
          <w:rFonts w:ascii="Arial" w:hAnsi="Arial"/>
          <w:b w:val="1"/>
          <w:color w:val="000000"/>
          <w:sz w:val="20"/>
        </w:rPr>
        <w:t xml:space="preserve"> Србиј</w:t>
      </w:r>
      <w:r>
        <w:rPr>
          <w:rFonts w:ascii="Arial" w:hAnsi="Arial"/>
          <w:b w:val="1"/>
          <w:color w:val="000000"/>
          <w:sz w:val="20"/>
        </w:rPr>
        <w:t>и</w:t>
      </w:r>
      <w:r>
        <w:rPr>
          <w:rFonts w:ascii="Arial" w:hAnsi="Arial"/>
          <w:b w:val="1"/>
          <w:color w:val="000000"/>
          <w:sz w:val="20"/>
          <w:vertAlign w:val="superscript"/>
        </w:rPr>
        <w:t>1</w:t>
      </w:r>
    </w:p>
    <w:tbl>
      <w:tblPr>
        <w:tblStyle w:val="T2"/>
        <w:tblpPr w:leftFromText="181" w:rightFromText="181" w:tblpX="1" w:tblpY="131" w:horzAnchor="margin" w:vertAnchor="text" w:tblpXSpec="center"/>
        <w:tblW w:w="963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3723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4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I–X 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I–X  2007</w:t>
            </w:r>
          </w:p>
        </w:tc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 X 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 IX  2008</w:t>
            </w:r>
          </w:p>
        </w:tc>
        <w:tc>
          <w:tcPr>
            <w:tcW w:w="1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 X 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 X  2007</w:t>
            </w:r>
          </w:p>
        </w:tc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X 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Ø 2007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95,8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96,6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117,2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91,5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136,4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124,0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112,2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Зграде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93,0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115,6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86,8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116,1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124,9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94,7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132,3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129,0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123,6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93,9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133,0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131,5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130,3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грађевине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87,4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140,1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94,1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123,6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Предвиђена  вредност радова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107,0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212,6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122,2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158,2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Станови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124,9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153,0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138,9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116,8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147,2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131,7</w:t>
            </w:r>
          </w:p>
        </w:tc>
      </w:tr>
    </w:tbl>
    <w:p>
      <w:pPr>
        <w:pStyle w:val="P8"/>
      </w:pPr>
      <w:r>
        <w:drawing>
          <wp:inline xmlns:wp="http://schemas.openxmlformats.org/drawingml/2006/wordprocessingDrawing">
            <wp:extent cx="5847715" cy="264985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26498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8"/>
        <w:jc w:val="left"/>
        <w:rPr>
          <w:b w:val="1"/>
        </w:rPr>
      </w:pPr>
      <w:r>
        <w:rPr>
          <w:b w:val="0"/>
        </w:rPr>
        <w:t xml:space="preserve"> </w:t>
      </w:r>
      <w:r>
        <w:rPr>
          <w:b w:val="0"/>
        </w:rPr>
        <w:t>Без података за Косово и Метохију.</w:t>
      </w:r>
    </w:p>
    <w:p>
      <w:pPr>
        <w:pStyle w:val="P8"/>
        <w:jc w:val="left"/>
      </w:pPr>
    </w:p>
    <w:p>
      <w:pPr>
        <w:pStyle w:val="P8"/>
        <w:rPr>
          <w:sz w:val="24"/>
        </w:rPr>
      </w:pPr>
      <w:r>
        <w:rPr>
          <w:sz w:val="24"/>
        </w:rPr>
        <w:t>Напомене уз објављене податке</w:t>
      </w:r>
    </w:p>
    <w:p>
      <w:pPr>
        <w:jc w:val="both"/>
        <w:rPr>
          <w:rFonts w:ascii="Arial" w:hAnsi="Arial"/>
          <w:sz w:val="16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градa, и oпштинe, који, према Закону о планирању и изградњи („Службени гласник Републике Србије“, бр. 47/2003, чл. 89), издају одобрења за изградњу, пријаве почетка радова и употребне дозволе. 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оквиру овог истраживања појмом „грађевинска дозвола“ обједињују се два документа које издају надлежни органи: одобрење за изградњу и пријава почетка радова.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Обухватају се дозволе за све врсте грађевина описаних у Класификацији врста грађевина, тј. зa зграде и остале грађевине, и приказују се по територијама на којима се изводе планирани радови у земљи.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Подаци о издатим грађевинским дозволама показују будуће кретање грађевинске делатности и  омогућавају сагледавање структуре инвестиција како на државном нивоу, тако и на нивоу локалне самоуправе.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Грађевине</w:t>
      </w:r>
      <w:r>
        <w:rPr>
          <w:rFonts w:ascii="Arial" w:hAnsi="Arial"/>
          <w:sz w:val="20"/>
        </w:rPr>
        <w:t xml:space="preserve"> су конструкције спојене с тлом (подземна, надземна градња, као и водоградња) ради чије се градње обављају грађевински радови, а направљенe су од грађевинских материјала и готових производа за уградњу. Припрема земље, сејање или сађење, итд., које служе у пољопривредне сврхе, не спадају у грађевинске радове.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Зграде </w:t>
      </w:r>
      <w:r>
        <w:rPr>
          <w:rFonts w:ascii="Arial" w:hAnsi="Arial"/>
          <w:sz w:val="20"/>
        </w:rPr>
        <w:t>су трајне грађевине са кровом и спољним зидовима, изграђене као самосталне употребне целине које пружају заштиту од временских и других спољних утицаја, а намењене су за становање, обављање неке делатности или за смештај и чување животиња, робе, опреме за различите производне и услужне делатности итд.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Зградама се сматрају и грађевине које имају кров али немају (све) зидове (нпр. настрешнице), као и грађевине које су претежно или потпуно смештене испод површине земље (нпр. склоништа, подземне гараже, продавнице и други пословни простор у подземним пролазима и сл.).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Остале грађевине</w:t>
      </w:r>
      <w:r>
        <w:rPr>
          <w:rFonts w:ascii="Arial" w:hAnsi="Arial"/>
          <w:sz w:val="20"/>
        </w:rPr>
        <w:t xml:space="preserve"> су све грађевине који нису зграде: железнице, путеви, мостови, аутопутеви, аеродромске стазе, базени итд.</w:t>
      </w:r>
    </w:p>
    <w:p>
      <w:pPr>
        <w:pStyle w:val="P13"/>
        <w:rPr>
          <w:sz w:val="20"/>
        </w:rPr>
      </w:pPr>
      <w:r>
        <w:rPr>
          <w:b w:val="1"/>
          <w:i w:val="1"/>
          <w:sz w:val="20"/>
        </w:rPr>
        <w:tab/>
        <w:tab/>
      </w:r>
      <w:r>
        <w:rPr>
          <w:b w:val="1"/>
          <w:sz w:val="20"/>
        </w:rPr>
        <w:t>Бруто површина зграде (</w:t>
      </w:r>
      <w:r>
        <w:rPr>
          <w:b w:val="1"/>
          <w:sz w:val="20"/>
        </w:rPr>
        <w:t>m²</w:t>
      </w:r>
      <w:r>
        <w:rPr>
          <w:b w:val="1"/>
          <w:sz w:val="20"/>
        </w:rPr>
        <w:t xml:space="preserve">) </w:t>
      </w:r>
      <w:r>
        <w:rPr>
          <w:sz w:val="20"/>
        </w:rPr>
        <w:t>јесте збир површина свих етажа у згради које су обухваћене спољним зидовима, укључујући и дебљину спољних зидова.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Корисна површина стана</w:t>
      </w:r>
      <w:r>
        <w:rPr>
          <w:rFonts w:ascii="Arial" w:hAnsi="Arial"/>
          <w:sz w:val="20"/>
        </w:rPr>
        <w:t xml:space="preserve"> је подна површина мерена унутар спољних зидова стана и представља збир површина свих соба, кухиње, купатила, нужника и осталих помоћних просторија у саставу стана. 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Предвиђена вредност радова </w:t>
      </w:r>
      <w:r>
        <w:rPr>
          <w:rFonts w:ascii="Arial" w:hAnsi="Arial"/>
          <w:sz w:val="20"/>
        </w:rPr>
        <w:t>представља планирану вредност радова на грађевини.</w:t>
      </w:r>
    </w:p>
    <w:p>
      <w:pPr>
        <w:ind w:firstLine="720"/>
        <w:jc w:val="both"/>
        <w:rPr>
          <w:rStyle w:val="C5"/>
          <w:rFonts w:ascii="Arial" w:hAnsi="Arial"/>
          <w:i w:val="0"/>
          <w:sz w:val="20"/>
        </w:rPr>
      </w:pPr>
      <w:r>
        <w:rPr>
          <w:rFonts w:ascii="Arial" w:hAnsi="Arial"/>
          <w:sz w:val="20"/>
        </w:rPr>
        <w:t>Детаљна методолошка објашњења овог истраживања налазе се у едицији РЗСС Методологије и стандарди: Месечна истраживања о грађевинским дозволама, свеска бр. 22, и Класификација врста грађевина, свеска бр. 15.</w:t>
      </w: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● Tелефакс: 2411- 260 ● www.stat.gov.rs </w:t>
        <w:br w:type="textWrapping"/>
        <w:t xml:space="preserve">Одговара: др Драган Вукмировић, директор </w:t>
        <w:br w:type="textWrapping"/>
        <w:t>Tираж: 150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ИН</w:t>
    </w:r>
    <w:r>
      <w:rPr>
        <w:rFonts w:ascii="Arial" w:hAnsi="Arial"/>
        <w:sz w:val="16"/>
      </w:rPr>
      <w:t>10 260304</w:t>
    </w:r>
    <w:r>
      <w:rPr>
        <w:rStyle w:val="C4"/>
        <w:rFonts w:ascii="Arial" w:hAnsi="Arial"/>
        <w:sz w:val="16"/>
      </w:rPr>
      <w:tab/>
    </w:r>
  </w:p>
  <w:p>
    <w:pPr>
      <w:pStyle w:val="P12"/>
    </w:pPr>
  </w:p>
  <w:p>
    <w:pPr>
      <w:pStyle w:val="P12"/>
      <w:rPr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rPr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 349 ГР</w:t>
    </w:r>
    <w:r>
      <w:rPr>
        <w:rFonts w:ascii="Arial" w:hAnsi="Arial"/>
        <w:sz w:val="16"/>
      </w:rPr>
      <w:t>30 111208</w:t>
    </w: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9"/>
        <w:spacing w:before="60"/>
        <w:rPr>
          <w:rFonts w:ascii="Arial" w:hAnsi="Arial"/>
          <w:sz w:val="15"/>
        </w:rPr>
      </w:pPr>
      <w:r>
        <w:rPr>
          <w:rStyle w:val="C3"/>
          <w:rFonts w:ascii="Times New Roman" w:hAnsi="Times New Roman"/>
          <w:sz w:val="15"/>
        </w:rPr>
        <w:footnoteRef/>
      </w:r>
      <w:r>
        <w:rPr>
          <w:rFonts w:ascii="Arial" w:hAnsi="Arial"/>
          <w:sz w:val="15"/>
        </w:rPr>
        <w:t xml:space="preserve"> Без података за Косово и Метохију.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342414F2"/>
    <w:multiLevelType w:val="hybridMultilevel"/>
    <w:lvl w:ilvl="0" w:tplc="123EECC1">
      <w:start w:val="1"/>
      <w:numFmt w:val="bullet"/>
      <w:suff w:val="tab"/>
      <w:lvlText w:val="–"/>
      <w:lvlJc w:val="left"/>
      <w:pPr>
        <w:ind w:hanging="360" w:left="507"/>
        <w:tabs>
          <w:tab w:val="left" w:pos="507" w:leader="none"/>
        </w:tabs>
      </w:pPr>
      <w:rPr>
        <w:rFonts w:ascii="Times New Roman" w:hAnsi="Times New Roman"/>
      </w:rPr>
    </w:lvl>
    <w:lvl w:ilvl="1" w:tplc="2A6A09C4">
      <w:start w:val="1"/>
      <w:numFmt w:val="bullet"/>
      <w:suff w:val="tab"/>
      <w:lvlText w:val="o"/>
      <w:lvlJc w:val="left"/>
      <w:pPr>
        <w:ind w:hanging="360" w:left="1227"/>
        <w:tabs>
          <w:tab w:val="left" w:pos="1227" w:leader="none"/>
        </w:tabs>
      </w:pPr>
      <w:rPr>
        <w:rFonts w:ascii="Courier New" w:hAnsi="Courier New"/>
      </w:rPr>
    </w:lvl>
    <w:lvl w:ilvl="2" w:tplc="4EC4777E">
      <w:start w:val="1"/>
      <w:numFmt w:val="bullet"/>
      <w:suff w:val="tab"/>
      <w:lvlText w:val=""/>
      <w:lvlJc w:val="left"/>
      <w:pPr>
        <w:ind w:hanging="360" w:left="1947"/>
        <w:tabs>
          <w:tab w:val="left" w:pos="1947" w:leader="none"/>
        </w:tabs>
      </w:pPr>
      <w:rPr>
        <w:rFonts w:ascii="Wingdings" w:hAnsi="Wingdings"/>
      </w:rPr>
    </w:lvl>
    <w:lvl w:ilvl="3" w:tplc="4DE33CCE">
      <w:start w:val="1"/>
      <w:numFmt w:val="bullet"/>
      <w:suff w:val="tab"/>
      <w:lvlText w:val=""/>
      <w:lvlJc w:val="left"/>
      <w:pPr>
        <w:ind w:hanging="360" w:left="2667"/>
        <w:tabs>
          <w:tab w:val="left" w:pos="2667" w:leader="none"/>
        </w:tabs>
      </w:pPr>
      <w:rPr>
        <w:rFonts w:ascii="Symbol" w:hAnsi="Symbol"/>
      </w:rPr>
    </w:lvl>
    <w:lvl w:ilvl="4" w:tplc="68181608">
      <w:start w:val="1"/>
      <w:numFmt w:val="bullet"/>
      <w:suff w:val="tab"/>
      <w:lvlText w:val="o"/>
      <w:lvlJc w:val="left"/>
      <w:pPr>
        <w:ind w:hanging="360" w:left="3387"/>
        <w:tabs>
          <w:tab w:val="left" w:pos="3387" w:leader="none"/>
        </w:tabs>
      </w:pPr>
      <w:rPr>
        <w:rFonts w:ascii="Courier New" w:hAnsi="Courier New"/>
      </w:rPr>
    </w:lvl>
    <w:lvl w:ilvl="5" w:tplc="2C67DDC9">
      <w:start w:val="1"/>
      <w:numFmt w:val="bullet"/>
      <w:suff w:val="tab"/>
      <w:lvlText w:val=""/>
      <w:lvlJc w:val="left"/>
      <w:pPr>
        <w:ind w:hanging="360" w:left="4107"/>
        <w:tabs>
          <w:tab w:val="left" w:pos="4107" w:leader="none"/>
        </w:tabs>
      </w:pPr>
      <w:rPr>
        <w:rFonts w:ascii="Wingdings" w:hAnsi="Wingdings"/>
      </w:rPr>
    </w:lvl>
    <w:lvl w:ilvl="6" w:tplc="26FA2D8D">
      <w:start w:val="1"/>
      <w:numFmt w:val="bullet"/>
      <w:suff w:val="tab"/>
      <w:lvlText w:val=""/>
      <w:lvlJc w:val="left"/>
      <w:pPr>
        <w:ind w:hanging="360" w:left="4827"/>
        <w:tabs>
          <w:tab w:val="left" w:pos="4827" w:leader="none"/>
        </w:tabs>
      </w:pPr>
      <w:rPr>
        <w:rFonts w:ascii="Symbol" w:hAnsi="Symbol"/>
      </w:rPr>
    </w:lvl>
    <w:lvl w:ilvl="7" w:tplc="6F6E6CB4">
      <w:start w:val="1"/>
      <w:numFmt w:val="bullet"/>
      <w:suff w:val="tab"/>
      <w:lvlText w:val="o"/>
      <w:lvlJc w:val="left"/>
      <w:pPr>
        <w:ind w:hanging="360" w:left="5547"/>
        <w:tabs>
          <w:tab w:val="left" w:pos="5547" w:leader="none"/>
        </w:tabs>
      </w:pPr>
      <w:rPr>
        <w:rFonts w:ascii="Courier New" w:hAnsi="Courier New"/>
      </w:rPr>
    </w:lvl>
    <w:lvl w:ilvl="8" w:tplc="1F8D2C0A">
      <w:start w:val="1"/>
      <w:numFmt w:val="bullet"/>
      <w:suff w:val="tab"/>
      <w:lvlText w:val=""/>
      <w:lvlJc w:val="left"/>
      <w:pPr>
        <w:ind w:hanging="360" w:left="6267"/>
        <w:tabs>
          <w:tab w:val="left" w:pos="6267" w:leader="none"/>
        </w:tabs>
      </w:pPr>
      <w:rPr>
        <w:rFonts w:ascii="Wingdings" w:hAnsi="Wingdings"/>
      </w:rPr>
    </w:lvl>
  </w:abstractNum>
  <w:abstractNum w:abstractNumId="1">
    <w:nsid w:val="40D735A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5DF554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7E571AD5"/>
    <w:multiLevelType w:val="hybridMultilevel"/>
    <w:lvl w:ilvl="0" w:tplc="692AD4BD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774768E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6176F5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D02D03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C58BF0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063CD0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490AAF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304F36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D55090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2">
    <w:name w:val="Foot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 2"/>
    <w:basedOn w:val="P0"/>
    <w:next w:val="P13"/>
    <w:pPr>
      <w:tabs>
        <w:tab w:val="left" w:pos="142" w:leader="none"/>
      </w:tabs>
      <w:jc w:val="both"/>
    </w:pPr>
    <w:rPr>
      <w:rFonts w:ascii="Arial" w:hAnsi="Arial"/>
    </w:rPr>
  </w:style>
  <w:style w:type="paragraph" w:styleId="P14">
    <w:name w:val="Body Text 3"/>
    <w:basedOn w:val="P0"/>
    <w:next w:val="P14"/>
    <w:pPr>
      <w:framePr w:wrap="around" w:vAnchor="text" w:hAnchor="margin" w:y="121"/>
      <w:jc w:val="center"/>
    </w:pPr>
    <w:rPr>
      <w:rFonts w:ascii="Arial" w:hAnsi="Arial"/>
      <w:sz w:val="16"/>
    </w:rPr>
  </w:style>
  <w:style w:type="paragraph" w:styleId="P15">
    <w:name w:val="Balloon Text"/>
    <w:basedOn w:val="P0"/>
    <w:next w:val="P15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2008-12-08T08:10:00Z</dcterms:created>
  <cp:lastModifiedBy>Nikola Kapetanovic</cp:lastModifiedBy>
  <cp:lastPrinted>2008-12-11T10:19:00Z</cp:lastPrinted>
  <dcterms:modified xsi:type="dcterms:W3CDTF">2020-01-09T15:40:03Z</dcterms:modified>
  <cp:revision>8</cp:revision>
  <dc:title>Република Србија</dc:title>
</cp:coreProperties>
</file>