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302FF9" Type="http://schemas.openxmlformats.org/officeDocument/2006/relationships/officeDocument" Target="/word/document.xml" /><Relationship Id="coreR23302F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343 • год. </w:t>
            </w:r>
            <w:r>
              <w:rPr>
                <w:rFonts w:ascii="Arial" w:hAnsi="Arial"/>
                <w:b w:val="1"/>
                <w:sz w:val="22"/>
              </w:rPr>
              <w:t>LVIII, 08.12.2008.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343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081208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новембар 200</w:t>
            </w:r>
            <w:r>
              <w:rPr>
                <w:rFonts w:ascii="Arial" w:hAnsi="Arial"/>
                <w:b w:val="1"/>
                <w:sz w:val="28"/>
              </w:rPr>
              <w:t>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343 ЦН21 081208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a15dm04</dc:creator>
  <dcterms:created xsi:type="dcterms:W3CDTF">2008-12-08T11:41:00Z</dcterms:created>
  <cp:lastModifiedBy>Nikola Kapetanovic</cp:lastModifiedBy>
  <cp:lastPrinted>2008-12-08T13:31:00Z</cp:lastPrinted>
  <dcterms:modified xsi:type="dcterms:W3CDTF">2020-01-09T15:40:02Z</dcterms:modified>
  <cp:revision>4</cp:revision>
  <dc:title>Република Србија</dc:title>
</cp:coreProperties>
</file>