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D41917" Type="http://schemas.openxmlformats.org/officeDocument/2006/relationships/officeDocument" Target="/word/document.xml" /><Relationship Id="coreR67D4191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39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31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18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11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ГР1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31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ГР11 </w:t>
            </w:r>
            <w:r>
              <w:rPr>
                <w:b w:val="1"/>
                <w:sz w:val="20"/>
              </w:rPr>
              <w:t>18</w:t>
            </w:r>
            <w:r>
              <w:rPr>
                <w:b w:val="1"/>
                <w:sz w:val="20"/>
              </w:rPr>
              <w:t>11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Грађевинска делатност</w:t>
      </w:r>
      <w:r>
        <w:rPr>
          <w:rFonts w:ascii="Arial" w:hAnsi="Arial"/>
          <w:b w:val="1"/>
          <w:sz w:val="28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у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 xml:space="preserve"> кварталу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 године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>Индекси грађевинских радова на територији Републике Србије</w:t>
      </w: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I–IX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I–IX 2007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III квартал 2007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III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II квартал 2008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III квартал 2008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  <w:p>
            <w:pPr>
              <w:spacing w:before="40" w:after="40"/>
              <w:ind w:left="14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 текуће цене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111,7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121,1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− сталне цене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118,7 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Радници на градилиштима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100,2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Часови рада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1701" w:type="dxa"/>
            <w:vAlign w:val="bottom"/>
          </w:tcPr>
          <w:p>
            <w:pPr>
              <w:spacing w:before="40" w:after="40"/>
              <w:ind w:right="5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</w:tr>
    </w:tbl>
    <w:p>
      <w:pPr>
        <w:jc w:val="center"/>
        <w:rPr>
          <w:rFonts w:ascii="Arial" w:hAnsi="Arial"/>
          <w:color w:val="000000"/>
          <w:sz w:val="4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 xml:space="preserve"> Индекси вредности изведених и уговорених радова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броја радника и одрађених часова рада</w:t>
      </w:r>
      <w:r>
        <w:rPr>
          <w:rFonts w:ascii="Arial" w:hAnsi="Arial"/>
          <w:b w:val="1"/>
          <w:sz w:val="20"/>
        </w:rPr>
        <w:t xml:space="preserve">,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завршених и незавршених станова</w:t>
      </w:r>
    </w:p>
    <w:p>
      <w:pPr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Извођачи из Републике Србије</w:t>
      </w:r>
      <w:r>
        <w:rPr>
          <w:rFonts w:ascii="Arial" w:hAnsi="Arial"/>
          <w:color w:val="000000"/>
          <w:sz w:val="20"/>
          <w:vertAlign w:val="superscript"/>
        </w:rPr>
        <w:tab/>
        <w:tab/>
        <w:tab/>
        <w:tab/>
        <w:tab/>
        <w:tab/>
        <w:tab/>
        <w:t xml:space="preserve">                         </w:t>
      </w:r>
      <w:r>
        <w:rPr>
          <w:rFonts w:ascii="Arial" w:hAnsi="Arial"/>
          <w:color w:val="000000"/>
          <w:sz w:val="16"/>
        </w:rPr>
        <w:t>III квартал 2007=100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</w:tc>
        <w:tc>
          <w:tcPr>
            <w:tcW w:w="89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уговорених радова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радника на градили-штима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Часови рада на градили-штима</w:t>
            </w:r>
          </w:p>
        </w:tc>
        <w:tc>
          <w:tcPr>
            <w:tcW w:w="17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Завршени станови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Број неза-вршених станова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8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9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13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207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94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Централна Србија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110,8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90,0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125,7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109,1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123,8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809,9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655,0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152,3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178,0</w:t>
            </w:r>
          </w:p>
        </w:tc>
        <w:tc>
          <w:tcPr>
            <w:tcW w:w="89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851" w:type="dxa"/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137,5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</w:tcPr>
          <w:p>
            <w:pPr>
              <w:spacing w:before="40" w:after="40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>
      <w:pPr>
        <w:rPr>
          <w:rFonts w:ascii="Arial" w:hAnsi="Arial"/>
          <w:color w:val="000000"/>
          <w:sz w:val="16"/>
        </w:rPr>
      </w:pPr>
    </w:p>
    <w:p>
      <w:pPr>
        <w:jc w:val="center"/>
        <w:rPr>
          <w:rFonts w:ascii="Arial" w:hAnsi="Arial"/>
          <w:b w:val="1"/>
          <w:sz w:val="4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3. Структура вредности</w:t>
      </w:r>
      <w:r>
        <w:rPr>
          <w:rFonts w:ascii="Arial" w:hAnsi="Arial"/>
          <w:b w:val="1"/>
          <w:sz w:val="20"/>
        </w:rPr>
        <w:t xml:space="preserve"> изведених радова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по врстама градње</w:t>
      </w:r>
    </w:p>
    <w:p>
      <w:pPr>
        <w:spacing w:before="60"/>
        <w:rPr>
          <w:rFonts w:ascii="Arial" w:hAnsi="Arial"/>
          <w:b w:val="1"/>
          <w:sz w:val="20"/>
        </w:rPr>
      </w:pPr>
      <w:r>
        <w:rPr>
          <w:rFonts w:ascii="Arial" w:hAnsi="Arial"/>
          <w:sz w:val="16"/>
        </w:rPr>
        <w:t>Извођачи из Републике Србије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53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Вредност изведених радова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1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430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</w:tr>
      <w:tr>
        <w:trPr>
          <w:wAfter w:w="0" w:type="dxa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стамбене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нестамбене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саобраћајна инфрастру-ктура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цевоводи, комуника-циони и електрични водови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сложене индустријске  грађевине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остале непоменуте грађевине 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22,5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51,6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</w:tr>
      <w:tr>
        <w:trPr>
          <w:wAfter w:w="0" w:type="dxa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  <w:tc>
          <w:tcPr>
            <w:tcW w:w="119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3,2</w:t>
            </w:r>
          </w:p>
        </w:tc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26,9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1077" w:type="dxa"/>
            <w:vAlign w:val="bottom"/>
          </w:tcPr>
          <w:p>
            <w:pPr>
              <w:spacing w:before="40" w:after="4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</w:tr>
    </w:tbl>
    <w:p>
      <w:pPr>
        <w:jc w:val="center"/>
        <w:rPr>
          <w:rFonts w:ascii="Arial" w:hAnsi="Arial"/>
          <w:sz w:val="16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20"/>
        </w:rPr>
        <w:br w:type="page"/>
      </w:r>
      <w:r>
        <w:rPr>
          <w:rFonts w:ascii="Arial" w:hAnsi="Arial"/>
          <w:b w:val="1"/>
          <w:sz w:val="20"/>
        </w:rPr>
        <w:t>Вредност изведених радова по врстама градње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у Републици Србиј</w:t>
      </w:r>
      <w:r>
        <w:rPr>
          <w:rFonts w:ascii="Arial" w:hAnsi="Arial"/>
          <w:b w:val="1"/>
          <w:sz w:val="20"/>
        </w:rPr>
        <w:t>и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b w:val="1"/>
          <w:sz w:val="20"/>
        </w:rPr>
        <w:fldChar w:fldCharType="begin"/>
      </w:r>
      <w:r>
        <w:rPr>
          <w:rFonts w:ascii="Arial" w:hAnsi="Arial"/>
          <w:b w:val="1"/>
          <w:sz w:val="20"/>
        </w:rPr>
        <w:instrText xml:space="preserve"> EMBED MSGraph.Chart.8 \s </w:instrText>
      </w:r>
      <w:r>
        <w:rPr>
          <w:rFonts w:ascii="Arial" w:hAnsi="Arial"/>
          <w:b w:val="1"/>
          <w:sz w:val="20"/>
        </w:rPr>
        <w:fldChar w:fldCharType="separate"/>
      </w:r>
      <w:r>
        <w:drawing>
          <wp:inline xmlns:wp="http://schemas.openxmlformats.org/drawingml/2006/wordprocessingDrawing">
            <wp:extent cx="5104765" cy="19329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sz w:val="20"/>
        </w:rPr>
        <w:fldChar w:fldCharType="end"/>
      </w:r>
    </w:p>
    <w:p>
      <w:pPr>
        <w:pStyle w:val="P8"/>
        <w:tabs>
          <w:tab w:val="left" w:pos="3118" w:leader="none"/>
          <w:tab w:val="left" w:pos="6420" w:leader="none"/>
          <w:tab w:val="left" w:pos="6480" w:leader="none"/>
          <w:tab w:val="left" w:pos="6855" w:leader="none"/>
          <w:tab w:val="left" w:pos="8100" w:leader="none"/>
        </w:tabs>
        <w:jc w:val="left"/>
        <w:rPr>
          <w:sz w:val="20"/>
        </w:rPr>
      </w:pPr>
      <w:r>
        <w:rPr>
          <w:sz w:val="24"/>
        </w:rPr>
        <w:tab/>
      </w:r>
      <w:r>
        <w:rPr>
          <w:sz w:val="20"/>
        </w:rPr>
        <w:t>Вредност изведених радова по територијама</w:t>
      </w:r>
    </w:p>
    <w:p>
      <w:pPr>
        <w:pStyle w:val="P8"/>
        <w:rPr>
          <w:sz w:val="20"/>
        </w:rPr>
      </w:pPr>
      <w:r>
        <w:rPr>
          <w:sz w:val="20"/>
        </w:rPr>
        <w:fldChar w:fldCharType="begin"/>
      </w:r>
      <w:r>
        <w:rPr>
          <w:b w:val="0"/>
          <w:sz w:val="20"/>
        </w:rPr>
        <w:instrText xml:space="preserve"> EMBED MSGraph.Chart.8 \s </w:instrText>
      </w:r>
      <w:r>
        <w:rPr>
          <w:sz w:val="20"/>
        </w:rPr>
        <w:fldChar w:fldCharType="separate"/>
      </w:r>
      <w:r>
        <w:drawing>
          <wp:inline xmlns:wp="http://schemas.openxmlformats.org/drawingml/2006/wordprocessingDrawing">
            <wp:extent cx="5104765" cy="18288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828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fldChar w:fldCharType="end"/>
      </w:r>
    </w:p>
    <w:p>
      <w:pPr>
        <w:pStyle w:val="P8"/>
        <w:rPr>
          <w:sz w:val="22"/>
        </w:rPr>
      </w:pPr>
    </w:p>
    <w:p>
      <w:pPr>
        <w:pStyle w:val="P8"/>
        <w:rPr>
          <w:sz w:val="22"/>
        </w:rPr>
      </w:pPr>
      <w:r>
        <w:rPr>
          <w:sz w:val="22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pStyle w:val="P11"/>
        <w:ind w:firstLine="720"/>
        <w:rPr>
          <w:sz w:val="19"/>
        </w:rPr>
      </w:pPr>
      <w:r>
        <w:rPr>
          <w:sz w:val="19"/>
        </w:rPr>
        <w:t xml:space="preserve">Исказани подаци прикупљају се у оквиру истраживања о тромесечној грађевинској активности. Извештај попуњавају предузећа из области грађевинарства, као и јединице које обављају грађевинску делатност а налазе се у саставу неграђевинских предузећа. Истраживањем нису обухваћена сва предузећа већ само она која имају значајну грађевинску активност, без обзира на својину предузећа. 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Подаци се исказују по територијама на којима се изводе радови у земљи и иностранству.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Вредност изведених радова у извештајном тромесечју</w:t>
      </w:r>
      <w:r>
        <w:rPr>
          <w:rFonts w:ascii="Arial" w:hAnsi="Arial"/>
          <w:sz w:val="19"/>
        </w:rPr>
        <w:t xml:space="preserve"> представља вредност изведених радова на грађевини, коју је у току тромесечја извештајна јединица извела с радницима које је непосредно ангажовала за извођење радова.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Индекси вредности у сталним ценама добијени су дељењем индекса у текућим ценама одговарајућим индексима цена произвођача елемената и материјала за уграђивање у грађевинарству. 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У табели 3 дата је структура вредности изведених радова по врстама грађевина, према Класификацији врста грађевина. </w:t>
      </w:r>
    </w:p>
    <w:p>
      <w:pPr>
        <w:pStyle w:val="P13"/>
        <w:ind w:firstLine="720"/>
        <w:rPr>
          <w:sz w:val="19"/>
        </w:rPr>
      </w:pPr>
      <w:r>
        <w:rPr>
          <w:b w:val="1"/>
          <w:sz w:val="19"/>
        </w:rPr>
        <w:t xml:space="preserve">Вредност </w:t>
      </w:r>
      <w:r>
        <w:rPr>
          <w:b w:val="1"/>
          <w:sz w:val="19"/>
        </w:rPr>
        <w:t>уговорени</w:t>
      </w:r>
      <w:r>
        <w:rPr>
          <w:b w:val="1"/>
          <w:sz w:val="19"/>
        </w:rPr>
        <w:t>х</w:t>
      </w:r>
      <w:r>
        <w:rPr>
          <w:b w:val="1"/>
          <w:sz w:val="19"/>
        </w:rPr>
        <w:t xml:space="preserve"> радова</w:t>
      </w:r>
      <w:r>
        <w:rPr>
          <w:sz w:val="19"/>
        </w:rPr>
        <w:t xml:space="preserve"> подразумева укупну вредност уговора склопљених у извештајном тромесечју (нови уговори).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Просечан број радника </w:t>
      </w:r>
      <w:r>
        <w:rPr>
          <w:rFonts w:ascii="Arial" w:hAnsi="Arial"/>
          <w:sz w:val="19"/>
        </w:rPr>
        <w:t>представља</w:t>
      </w:r>
      <w:r>
        <w:rPr>
          <w:rFonts w:ascii="Arial" w:hAnsi="Arial"/>
          <w:b w:val="1"/>
          <w:sz w:val="19"/>
        </w:rPr>
        <w:t xml:space="preserve"> </w:t>
      </w:r>
      <w:r>
        <w:rPr>
          <w:rFonts w:ascii="Arial" w:hAnsi="Arial"/>
          <w:sz w:val="19"/>
        </w:rPr>
        <w:t>просечан број радника које је извештајна јединица ангажовала за извођење радова.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Часови рада на градилиштима </w:t>
      </w:r>
      <w:r>
        <w:rPr>
          <w:rFonts w:ascii="Arial" w:hAnsi="Arial"/>
          <w:sz w:val="19"/>
        </w:rPr>
        <w:t>јесу стварно одрађени часови на градилиштима у извештајном тромесечју од стране радника који су непосредно изводили грађевинске радове.</w:t>
      </w:r>
    </w:p>
    <w:p>
      <w:pPr>
        <w:ind w:firstLine="720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Подаци о становима</w:t>
      </w:r>
      <w:r>
        <w:rPr>
          <w:rFonts w:ascii="Arial" w:hAnsi="Arial"/>
          <w:sz w:val="19"/>
        </w:rPr>
        <w:t xml:space="preserve"> обухватају станове који се граде у искључиво стамбеним, претежно стамбеним или у претежно нестамбеним зградама. Завршеним станом сматра се само онај стан на коме су завршени сви предвиђени грађевински, инсталациони и завршни радови. Као незавршени станови на крају извештајног тромесечја обухватају се сви станови који су почели да се граде а који још нису завршени, као и станови који још нису ни почели да се граде а налазе се у започетим зградама.</w:t>
      </w:r>
    </w:p>
    <w:p>
      <w:pPr>
        <w:ind w:firstLine="720"/>
        <w:jc w:val="both"/>
        <w:rPr>
          <w:rFonts w:ascii="Arial" w:hAnsi="Arial"/>
          <w:sz w:val="19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● Tелефакс: 2411- 260 ● www.stat.gov.rs</w:t>
        <w:br w:type="textWrapping"/>
        <w:t xml:space="preserve">Одговара: др Драган Вукмировић, директор </w:t>
        <w:br w:type="textWrapping"/>
        <w:t>Tираж: 150 ● Периодика излажења: тромесечна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jc w:val="right"/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 xml:space="preserve">СРБ 319  ГР</w:t>
    </w:r>
    <w:r>
      <w:rPr>
        <w:rFonts w:ascii="Arial" w:hAnsi="Arial"/>
        <w:sz w:val="16"/>
      </w:rPr>
      <w:t>11 181108</w:t>
    </w:r>
  </w:p>
</w:ftr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78FCD229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14DBB195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26BBBBB2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65E18D03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151B37FF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6325EB9E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2C8B269C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373EB784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50F709D1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E571AD5"/>
    <w:multiLevelType w:val="hybridMultilevel"/>
    <w:lvl w:ilvl="0" w:tplc="5A415F6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4808637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DDC1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053E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A6518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BC76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78A3CA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CE304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767B1C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2008-11-14T10:51:00Z</dcterms:created>
  <cp:lastModifiedBy>Nikola Kapetanovic</cp:lastModifiedBy>
  <cp:lastPrinted>2008-11-17T10:41:00Z</cp:lastPrinted>
  <dcterms:modified xsi:type="dcterms:W3CDTF">2020-01-09T15:40:02Z</dcterms:modified>
  <cp:revision>14</cp:revision>
  <dc:title>Република Србија</dc:title>
</cp:coreProperties>
</file>