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048797" Type="http://schemas.openxmlformats.org/officeDocument/2006/relationships/officeDocument" Target="/word/document.xml" /><Relationship Id="coreR4D0487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0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28</w:t>
            </w:r>
            <w:r>
              <w:rPr>
                <w:rFonts w:ascii="Arial" w:hAnsi="Arial"/>
                <w:b w:val="1"/>
              </w:rPr>
              <w:t>3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II, 29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09</w:t>
            </w:r>
            <w:r>
              <w:rPr>
                <w:rFonts w:ascii="Arial" w:hAnsi="Arial"/>
                <w:b w:val="1"/>
              </w:rPr>
              <w:t>.2008.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283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СВ</w:t>
            </w:r>
            <w:r>
              <w:rPr>
                <w:b w:val="1"/>
                <w:sz w:val="20"/>
              </w:rPr>
              <w:t>30 2909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36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</w:t>
      </w:r>
    </w:p>
    <w:p>
      <w:pPr>
        <w:pStyle w:val="P6"/>
        <w:ind w:left="0"/>
      </w:pPr>
      <w:r>
        <w:t>Гранични промет путничких моторних возила и путника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- Република Србија </w:t>
      </w:r>
      <w:r>
        <w:rPr>
          <w:rFonts w:ascii="Arial" w:hAnsi="Arial"/>
          <w:b w:val="1"/>
          <w:sz w:val="28"/>
        </w:rPr>
        <w:t>-</w:t>
      </w: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 - Прво и друго тромесечје</w:t>
      </w:r>
      <w:r>
        <w:rPr>
          <w:rFonts w:ascii="Arial" w:hAnsi="Arial"/>
          <w:b w:val="1"/>
        </w:rPr>
        <w:t xml:space="preserve">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 xml:space="preserve">. </w:t>
      </w:r>
      <w:r>
        <w:rPr>
          <w:rFonts w:ascii="Arial" w:hAnsi="Arial"/>
          <w:b w:val="1"/>
        </w:rPr>
        <w:t>године</w:t>
      </w:r>
      <w:r>
        <w:rPr>
          <w:rFonts w:ascii="Arial" w:hAnsi="Arial"/>
          <w:b w:val="1"/>
        </w:rPr>
        <w:t xml:space="preserve"> - 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  <w:rPr>
          <w:sz w:val="20"/>
        </w:rPr>
      </w:pPr>
      <w:r>
        <w:rPr>
          <w:sz w:val="20"/>
        </w:rPr>
        <w:t xml:space="preserve">Улаз путничких моторних возила и путника </w:t>
      </w:r>
    </w:p>
    <w:tbl>
      <w:tblPr>
        <w:tblStyle w:val="T2"/>
        <w:tblW w:w="9727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Земља регистрације 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2007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2008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2120748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2051356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68049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716849</w:t>
            </w: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2189413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2123607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64259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1547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792200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103,2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814586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782509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31320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2538107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926336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894231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31341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3394724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113,6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1306162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1268847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36729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4630389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1263077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1229376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32918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4527281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58490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57429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224274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63562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62775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208337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110,3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377569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371718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5440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991979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309418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304264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845941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99858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94679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5157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500303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95798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90173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5614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481418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96,0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9052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9043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22970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10575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10541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27554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70472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68101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224696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71382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69197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230007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101,3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76104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74908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237385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67992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66993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204742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31345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29397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1948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141281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31113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2760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187393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54845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54693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143775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50596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50265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174136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4257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11627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13595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105,0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61402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60409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208368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72006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70066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217387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118,0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22242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21489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79754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23246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22837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88186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440520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422724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17746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1838977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460061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446679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13359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1852335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104,3</w:t>
            </w:r>
          </w:p>
        </w:tc>
      </w:tr>
    </w:tbl>
    <w:p/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  <w:rPr>
          <w:sz w:val="20"/>
        </w:rPr>
      </w:pPr>
      <w:r>
        <w:rPr>
          <w:sz w:val="20"/>
        </w:rPr>
        <w:t xml:space="preserve">Излаз путничких моторних возила и путника </w:t>
      </w:r>
    </w:p>
    <w:tbl>
      <w:tblPr>
        <w:tblStyle w:val="T2"/>
        <w:tblW w:w="9727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Земља регистрације 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2007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2008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Укупно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2055292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1987004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66869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1419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71585</w:t>
            </w:r>
            <w:r>
              <w:rPr>
                <w:rFonts w:ascii="Arial Narrow" w:hAnsi="Arial Narrow"/>
                <w:b w:val="1"/>
                <w:sz w:val="16"/>
              </w:rPr>
              <w:t>88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2286297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2220213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64423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1661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760298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818689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786903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31009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2612532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878233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845476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31879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3286786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1236603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1200101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35860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4546056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1408064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1374737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32544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4316199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55918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54893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221922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62249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61520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201629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362096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356321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5320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978782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374299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369458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4414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824832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103,3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96601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91070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5496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487239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92729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86707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6019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473265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6630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17725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7050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7037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20442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70387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68173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229274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89118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87126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1966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151573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61226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60103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1112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205596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78275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248438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30663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28746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142464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36698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2825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197750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119,4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54654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54518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146971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70517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70232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60565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3594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12242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4894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4885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21626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56052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55075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193378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69464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67513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210044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28294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27645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93611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30062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103258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410472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393333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17093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1816852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491284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478049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13088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1802777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119,8</w:t>
            </w:r>
          </w:p>
        </w:tc>
      </w:tr>
    </w:tbl>
    <w:p>
      <w:pPr>
        <w:pStyle w:val="P7"/>
        <w:rPr>
          <w:sz w:val="20"/>
        </w:rPr>
      </w:pPr>
      <w:r>
        <w:br w:type="page"/>
      </w:r>
      <w:r>
        <w:rPr>
          <w:sz w:val="20"/>
        </w:rPr>
        <w:t xml:space="preserve">Промет путничких моторних возила, по граничним прелазимa, </w:t>
      </w:r>
    </w:p>
    <w:p>
      <w:pPr>
        <w:pStyle w:val="P7"/>
        <w:rPr>
          <w:sz w:val="20"/>
          <w:vertAlign w:val="superscript"/>
        </w:rPr>
      </w:pPr>
      <w:r>
        <w:rPr>
          <w:sz w:val="20"/>
        </w:rPr>
        <w:t>први и други квартал 2008.</w:t>
      </w:r>
      <w:r>
        <w:rPr>
          <w:sz w:val="20"/>
          <w:vertAlign w:val="superscript"/>
        </w:rPr>
        <w:t>1)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40" w:after="40"/>
              <w:rPr>
                <w:rFonts w:ascii="Arial Narrow" w:hAnsi="Arial Narrow"/>
                <w:sz w:val="16"/>
              </w:rPr>
            </w:pPr>
          </w:p>
        </w:tc>
        <w:tc>
          <w:tcPr>
            <w:tcW w:w="3856" w:type="dxa"/>
            <w:gridSpan w:val="4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Улаз</w:t>
            </w:r>
          </w:p>
        </w:tc>
        <w:tc>
          <w:tcPr>
            <w:tcW w:w="3856" w:type="dxa"/>
            <w:gridSpan w:val="4"/>
            <w:tcBorders>
              <w:right w:val="none" w:sz="0" w:space="0" w:shadow="0" w:frame="0"/>
            </w:tcBorders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964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2183631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2117305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64171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1555</w:t>
            </w:r>
          </w:p>
        </w:tc>
        <w:tc>
          <w:tcPr>
            <w:tcW w:w="964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2280805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2213940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64207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1658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БиХ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799484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780833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17748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903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866261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847865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Бадовинци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26932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25941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25941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25043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Рача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89704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82354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91436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84398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126868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123145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129530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125769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3761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Трбушница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223042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221948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288434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287341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332938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327445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903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330920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325314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Бугарској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83413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78898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4495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117985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113113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4846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Градина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74782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70440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4333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109620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104895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8631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8458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8218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Мађарској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474140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461117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12955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465587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452808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12726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Хоргош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336936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327360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268197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258741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9403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Келебија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95639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92704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157886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155107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41053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39504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38960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Македонији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102965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94727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102393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94214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8179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102237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94010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8227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101784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93616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Румунији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74683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74138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138046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137564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Караташ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41172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40956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108187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107987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Ватин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15625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13421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17666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17557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16324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Хрватској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471563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459538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466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449719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437234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12013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Батровци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297635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8862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281860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272547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9313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173928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170765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466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167859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164687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Црној Гори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177377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168049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9238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140808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131137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9521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Бродарево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107863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105309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2521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77505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74254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69514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62740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63303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56883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6331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</w:t>
            </w:r>
          </w:p>
        </w:tc>
      </w:tr>
    </w:tbl>
    <w:p>
      <w:pPr>
        <w:spacing w:lineRule="auto" w:line="216" w:before="60"/>
        <w:ind w:left="225"/>
        <w:jc w:val="both"/>
        <w:rPr>
          <w:rFonts w:ascii="Arial" w:hAnsi="Arial"/>
          <w:sz w:val="16"/>
        </w:rPr>
      </w:pPr>
    </w:p>
    <w:p>
      <w:pPr>
        <w:spacing w:lineRule="auto" w:line="216" w:before="60"/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4"/>
        </w:rPr>
        <w:t>Без малограничног промета.</w:t>
      </w:r>
    </w:p>
    <w:p>
      <w:pPr>
        <w:spacing w:lineRule="auto" w:line="216" w:before="60"/>
        <w:jc w:val="both"/>
        <w:rPr>
          <w:rFonts w:ascii="Arial" w:hAnsi="Arial"/>
          <w:sz w:val="18"/>
        </w:rPr>
      </w:pP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Укупан број путничких моторних возила која су ушла у Србију током првог и другог квартала 2008. године већи  је за 3,2% у односу на исти период претходнe годинe. Домаћих возила је за 13,6% више, док је страних мање за 3,3%. Од возила са страном регистрацијом највише их је с регистрацијом Босне и Херцеговине, 14,1%, затим Бугарске, 4,4%, и Хрватске, са учешћем од 3,3%. 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Излаз путничких моторних возила из Србије већи је за 11,1% у односу на исти период 2007. годинe. Кад је реч о возилима с регистрацијом Србије и Црне Горе у излазу, њих је за 7,2% више, док је у истом периоду излаз возила са страном регистрацијом већи за 13,8%. Најбројнија су возила с регистрацијом Босне и Херцеговине, са учешћем од  16,4%, а затим следе возила с регистрацијом Бугарске, са учешћем од 4,1%, и Мађарске, са учешћем од 3,9% у укупном излазу.   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Највећи број возила ушао је преко граничних прелаза с Босном и Херцеговином, 36%, а затим преко граничних прелаза с Мађарском, 21,7%. Највећи број возила у улазу ушао је у Србију преко граничног прелаза Хоргош, 15,3%, а затим преко Батроваца, 13,6%, и Трбушнице, 10,2%.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Преко граничних прелаза с Босном и Херцеговином изашао је највећи број путничких превозних средстава, 38%, а затим преко граничних прелаза с Мађарском, 20,4%. Три прелаза с највећим прометом путничких превозних средстава у излазу из Србије јесу Трбушница, са 12,6%,  затим Батровци, са 12,4%, и Хоргош, са 11,7%.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Укупан број путника који су свим врстама путничких превозних средстава ушли у Србију током првог и другог квартала 2008. године већи је за 10,5% у односу на исти период претходнe годинe. Број путника у возилима с регистрацијом Србије и Црне Горе већи је за 33,8%, док је у возилима са страном регистрацијом мањи за 2,2%. Укупан број путника изашлих из Србије током првог и другог квартала 2008. године већи је за 6,2% у односу на исти период претходнe годинe. Путника у домаћим возилима било је за 25,8% више, док је путника у страним возилима  за 5,1% мање.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</w:p>
    <w:p>
      <w:pPr>
        <w:spacing w:before="2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Телефон: 2412-922 (централа)●Телефакс: 2411-260 ● www.stat.gov.rs </w:t>
        <w:br w:type="textWrapping"/>
        <w:t xml:space="preserve">Одговара: др Драган Вукмировић, директор </w:t>
        <w:br w:type="textWrapping"/>
        <w:t>Тираж: 200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720" w:leader="none"/>
      </w:tabs>
      <w:ind w:right="-81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2</w:t>
      <w:tab/>
      <w:t xml:space="preserve">   </w:t>
      <w:tab/>
      <w:t>СРБ 283 СВ3</w:t>
    </w:r>
    <w:r>
      <w:rPr>
        <w:rFonts w:ascii="Arial" w:hAnsi="Arial"/>
        <w:sz w:val="16"/>
      </w:rPr>
      <w:t>0 290908</w:t>
    </w:r>
  </w:p>
</w:ftr>
</file>

<file path=word/numbering.xml><?xml version="1.0" encoding="utf-8"?>
<w:numbering xmlns:w="http://schemas.openxmlformats.org/wordprocessingml/2006/main">
  <w:abstractNum w:abstractNumId="0">
    <w:nsid w:val="20395AE7"/>
    <w:multiLevelType w:val="multilevel"/>
    <w:lvl w:ilvl="0">
      <w:start w:val="1"/>
      <w:numFmt w:val="decimal"/>
      <w:suff w:val="tab"/>
      <w:lvlText w:val="%1)"/>
      <w:lvlJc w:val="left"/>
      <w:pPr>
        <w:ind w:hanging="360" w:left="585"/>
        <w:tabs>
          <w:tab w:val="left" w:pos="58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05"/>
        <w:tabs>
          <w:tab w:val="left" w:pos="130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25"/>
        <w:tabs>
          <w:tab w:val="left" w:pos="202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45"/>
        <w:tabs>
          <w:tab w:val="left" w:pos="274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65"/>
        <w:tabs>
          <w:tab w:val="left" w:pos="346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85"/>
        <w:tabs>
          <w:tab w:val="left" w:pos="418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05"/>
        <w:tabs>
          <w:tab w:val="left" w:pos="490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25"/>
        <w:tabs>
          <w:tab w:val="left" w:pos="562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45"/>
        <w:tabs>
          <w:tab w:val="left" w:pos="6345" w:leader="none"/>
        </w:tabs>
      </w:pPr>
      <w:rPr/>
    </w:lvl>
  </w:abstractNum>
  <w:abstractNum w:abstractNumId="1">
    <w:nsid w:val="42F339A6"/>
    <w:multiLevelType w:val="hybridMultilevel"/>
    <w:lvl w:ilvl="0" w:tplc="35097DA6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E65720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EEC04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ABF0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99B2B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EBB1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92764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681D6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F0C4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B666B95"/>
    <w:multiLevelType w:val="hybridMultilevel"/>
    <w:lvl w:ilvl="0" w:tplc="4BCED6A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0357C6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97D1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880E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908CD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7FA1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0292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39B5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0AE80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7E571AD5"/>
    <w:multiLevelType w:val="hybridMultilevel"/>
    <w:lvl w:ilvl="0" w:tplc="2813472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CB82E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CB2E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8D2A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52B61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6605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CBEEE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EA7B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C27A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8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Footnote Text"/>
    <w:basedOn w:val="P0"/>
    <w:next w:val="P8"/>
    <w:pPr/>
    <w:rPr>
      <w:sz w:val="20"/>
    </w:rPr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Body Text"/>
    <w:basedOn w:val="P0"/>
    <w:next w:val="P10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1">
    <w:name w:val="Foot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 Indent 2"/>
    <w:basedOn w:val="P0"/>
    <w:next w:val="P12"/>
    <w:pPr>
      <w:ind w:firstLine="360" w:left="360"/>
      <w:jc w:val="both"/>
    </w:pPr>
    <w:rPr>
      <w:rFonts w:ascii="Arial" w:hAnsi="Arial"/>
      <w:sz w:val="22"/>
    </w:rPr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2008-10-07T08:11:00Z</dcterms:created>
  <cp:lastModifiedBy>Nikola Kapetanovic</cp:lastModifiedBy>
  <cp:lastPrinted>2008-10-07T08:23:00Z</cp:lastPrinted>
  <dcterms:modified xsi:type="dcterms:W3CDTF">2020-01-09T15:40:01Z</dcterms:modified>
  <cp:revision>6</cp:revision>
  <dc:title>Република Србија</dc:title>
</cp:coreProperties>
</file>