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CBCC85" Type="http://schemas.openxmlformats.org/officeDocument/2006/relationships/officeDocument" Target="/word/document.xml" /><Relationship Id="coreR33CBCC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67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268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3</w:t>
            </w:r>
            <w:r>
              <w:rPr>
                <w:rFonts w:ascii="Arial" w:hAnsi="Arial"/>
                <w:b w:val="1"/>
              </w:rPr>
              <w:t>0.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9.200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НР40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268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НР40 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90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outlineLvl w:val="0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Квартални </w:t>
      </w:r>
      <w:r>
        <w:rPr>
          <w:rFonts w:ascii="Arial" w:hAnsi="Arial"/>
          <w:b w:val="1"/>
        </w:rPr>
        <w:t>бруто домаћи производ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у сталним ценама 2002. године</w:t>
      </w:r>
    </w:p>
    <w:p>
      <w:pPr>
        <w:jc w:val="center"/>
        <w:outlineLvl w:val="0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- </w:t>
      </w:r>
      <w:r>
        <w:rPr>
          <w:rFonts w:ascii="Arial" w:hAnsi="Arial"/>
          <w:b w:val="1"/>
        </w:rPr>
        <w:t>други</w:t>
      </w:r>
      <w:r>
        <w:rPr>
          <w:rFonts w:ascii="Arial" w:hAnsi="Arial"/>
          <w:b w:val="1"/>
        </w:rPr>
        <w:t xml:space="preserve"> квартал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 xml:space="preserve"> -</w:t>
      </w:r>
    </w:p>
    <w:p>
      <w:pPr>
        <w:jc w:val="center"/>
        <w:rPr>
          <w:rFonts w:ascii="Arial" w:hAnsi="Arial"/>
        </w:rPr>
      </w:pPr>
    </w:p>
    <w:p>
      <w:pPr>
        <w:ind w:firstLine="720"/>
        <w:jc w:val="both"/>
        <w:rPr>
          <w:rFonts w:ascii="Arial" w:hAnsi="Arial"/>
          <w:sz w:val="20"/>
        </w:rPr>
      </w:pPr>
      <w:bookmarkStart w:id="0" w:name="OLE_LINK11"/>
      <w:r>
        <w:rPr>
          <w:rFonts w:ascii="Arial" w:hAnsi="Arial"/>
          <w:sz w:val="20"/>
        </w:rPr>
        <w:t xml:space="preserve">Републички завод за статистику Србије објављује резултате кварталног обрачуна бруто домаћег производа Републике Србије, у сталним ценама, изведеног по производном приступу. Подаци су приказани на нивоу сектора Kласификације делатности и односе се на период од првог квартала 2002. до другог квартала 2008. године. </w:t>
      </w:r>
    </w:p>
    <w:p>
      <w:pPr>
        <w:spacing w:lineRule="exact" w:line="180"/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табелама су приказани ниво и обим промена свих активности које учествују у формирању бруто домаћег производа</w:t>
      </w:r>
      <w:bookmarkEnd w:id="0"/>
      <w:r>
        <w:rPr>
          <w:rFonts w:ascii="Arial" w:hAnsi="Arial"/>
          <w:sz w:val="20"/>
        </w:rPr>
        <w:t>.</w:t>
      </w:r>
    </w:p>
    <w:p>
      <w:pPr>
        <w:spacing w:lineRule="exact" w:line="180"/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Ревизија раније објављених резултата годишњег обрачуна БДП у текућим ценама за период 1997-2006. године утицала је на промену пондера у базној години (2002). На основу ревидираних годишњих података у текућим ценама извршен је нови годишњи обрачун БДП у сталним ценама 2002. године за период 1997-2007. године. Извршен је обрачун кварталног БДП од првог квартала 1997. године и подаци су усаглашени са ревидираним годишњим резултатима обрачуна БДП у сталним ценама 2002. године. Поред тога, ревизија кварталних обрачуна урађена је и у складу са последњим званично објављеним подацима у статистичком систему.</w:t>
      </w:r>
    </w:p>
    <w:p>
      <w:pPr>
        <w:spacing w:lineRule="exact" w:line="18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У поређењу са истим периодом претходне године, бруто домаћи производ у првој половини 2008. године порастао је за 7,3%.</w:t>
      </w:r>
    </w:p>
    <w:p>
      <w:pPr>
        <w:spacing w:lineRule="exact" w:line="18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другом кварталу 2008. године реални раст БДП, у односу на исти период претходне године износио је 6,2%. Посматрано по активностима, у другом кварталу највећи раст бележе: сектор саобраћаја, 17,6%, сектор финансијскoг посредовања, 16,0%, сектор грађевинарства, 7,9%, сектор трговине, 5,8%, сектор прерађивачке индустрије, 4,4% и сектор хотела и ресторана, 4,3%. У сектору производње електричне енергије забележен је пад од 3,6%. </w:t>
      </w:r>
    </w:p>
    <w:p>
      <w:pPr>
        <w:spacing w:lineRule="exact" w:line="180"/>
        <w:jc w:val="both"/>
        <w:rPr>
          <w:rFonts w:ascii="Arial" w:hAnsi="Arial"/>
          <w:sz w:val="20"/>
        </w:rPr>
      </w:pPr>
    </w:p>
    <w:p>
      <w:pPr>
        <w:ind w:firstLine="720"/>
        <w:jc w:val="both"/>
      </w:pPr>
      <w:r>
        <w:rPr>
          <w:rFonts w:ascii="Arial" w:hAnsi="Arial"/>
          <w:sz w:val="20"/>
        </w:rPr>
        <w:t>Највећи допринос расту БДП, од 6,2%, у другом кварталу имали су: сектор саобраћаја (2,2 процентна поена), сектор финансијског посредовања (1,0 процентни поен), сектор трговине (0,7 процентних поена) и сектор прерађивачке индустрије (0,6 процентних поена).</w:t>
      </w:r>
      <w:r>
        <w:t xml:space="preserve"> </w:t>
      </w:r>
    </w:p>
    <w:p>
      <w:pPr>
        <w:jc w:val="both"/>
        <w:rPr>
          <w:rFonts w:ascii="Arial" w:hAnsi="Arial"/>
          <w:sz w:val="20"/>
        </w:rPr>
      </w:pPr>
      <w:r>
        <w:fldChar w:fldCharType="begin"/>
      </w:r>
      <w:r>
        <w:instrText xml:space="preserve"> EMBED Excel.Chart.8 \s </w:instrText>
      </w:r>
      <w:bookmarkStart w:id="1" w:name="_1180767891"/>
      <w:bookmarkEnd w:id="1"/>
      <w:bookmarkStart w:id="2" w:name="_1180768268"/>
      <w:bookmarkEnd w:id="2"/>
      <w:bookmarkStart w:id="3" w:name="_1252235974"/>
      <w:bookmarkEnd w:id="3"/>
      <w:bookmarkStart w:id="4" w:name="_1252236430"/>
      <w:bookmarkEnd w:id="4"/>
      <w:bookmarkStart w:id="5" w:name="_1252237110"/>
      <w:bookmarkEnd w:id="5"/>
      <w:bookmarkStart w:id="6" w:name="_1252240572"/>
      <w:bookmarkEnd w:id="6"/>
      <w:bookmarkStart w:id="7" w:name="_1259747474"/>
      <w:bookmarkEnd w:id="7"/>
      <w:bookmarkStart w:id="8" w:name="_1266914986"/>
      <w:bookmarkEnd w:id="8"/>
      <w:bookmarkStart w:id="9" w:name="_1268114749"/>
      <w:bookmarkEnd w:id="9"/>
      <w:bookmarkStart w:id="10" w:name="_1268121284"/>
      <w:bookmarkEnd w:id="10"/>
      <w:bookmarkStart w:id="11" w:name="_1268133461"/>
      <w:bookmarkEnd w:id="11"/>
      <w:bookmarkStart w:id="12" w:name="_1275386660"/>
      <w:bookmarkEnd w:id="12"/>
      <w:bookmarkStart w:id="13" w:name="_1275827125"/>
      <w:bookmarkEnd w:id="13"/>
      <w:bookmarkStart w:id="14" w:name="_1275828823"/>
      <w:bookmarkEnd w:id="14"/>
      <w:bookmarkStart w:id="15" w:name="_1275828899"/>
      <w:bookmarkEnd w:id="15"/>
      <w:bookmarkStart w:id="16" w:name="_1275990199"/>
      <w:bookmarkEnd w:id="16"/>
      <w:bookmarkStart w:id="17" w:name="_1275999385"/>
      <w:bookmarkEnd w:id="17"/>
      <w:bookmarkStart w:id="18" w:name="_1283779088"/>
      <w:bookmarkEnd w:id="18"/>
      <w:bookmarkStart w:id="19" w:name="_1284148949"/>
      <w:bookmarkEnd w:id="19"/>
      <w:bookmarkStart w:id="20" w:name="_1284195276"/>
      <w:bookmarkEnd w:id="20"/>
      <w:bookmarkStart w:id="21" w:name="_1284195419"/>
      <w:bookmarkEnd w:id="21"/>
      <w:bookmarkStart w:id="22" w:name="_1284195323"/>
      <w:bookmarkEnd w:id="22"/>
      <w:bookmarkStart w:id="23" w:name="_1284187162"/>
      <w:bookmarkEnd w:id="23"/>
      <w:bookmarkStart w:id="24" w:name="_1283856133"/>
      <w:bookmarkEnd w:id="24"/>
      <w:bookmarkStart w:id="25" w:name="_1283778877"/>
      <w:bookmarkEnd w:id="25"/>
      <w:bookmarkStart w:id="26" w:name="_1275996519"/>
      <w:bookmarkEnd w:id="26"/>
      <w:bookmarkStart w:id="27" w:name="_1275990140"/>
      <w:bookmarkEnd w:id="27"/>
      <w:bookmarkStart w:id="28" w:name="_1275828853"/>
      <w:bookmarkEnd w:id="28"/>
      <w:bookmarkStart w:id="29" w:name="_1275827391"/>
      <w:bookmarkEnd w:id="29"/>
      <w:bookmarkStart w:id="30" w:name="_1275387470"/>
      <w:bookmarkEnd w:id="30"/>
      <w:bookmarkStart w:id="31" w:name="_1268133498"/>
      <w:bookmarkEnd w:id="31"/>
      <w:bookmarkStart w:id="32" w:name="_1268128704"/>
      <w:bookmarkEnd w:id="32"/>
      <w:bookmarkStart w:id="33" w:name="_1268121168"/>
      <w:bookmarkEnd w:id="33"/>
      <w:bookmarkStart w:id="34" w:name="_1268047679"/>
      <w:bookmarkEnd w:id="34"/>
      <w:bookmarkStart w:id="35" w:name="_1260168816"/>
      <w:bookmarkEnd w:id="35"/>
      <w:bookmarkStart w:id="36" w:name="_1259744704"/>
      <w:bookmarkEnd w:id="36"/>
      <w:bookmarkStart w:id="37" w:name="_1252237625"/>
      <w:bookmarkEnd w:id="37"/>
      <w:bookmarkStart w:id="38" w:name="_1252236559"/>
      <w:bookmarkEnd w:id="38"/>
      <w:bookmarkStart w:id="39" w:name="_1252236380"/>
      <w:bookmarkEnd w:id="39"/>
      <w:bookmarkStart w:id="40" w:name="_1212912029"/>
      <w:bookmarkEnd w:id="40"/>
      <w:bookmarkStart w:id="41" w:name="_1180768252"/>
      <w:bookmarkEnd w:id="41"/>
      <w:bookmarkStart w:id="42" w:name="_1180768168"/>
      <w:bookmarkEnd w:id="42"/>
      <w:r>
        <w:fldChar w:fldCharType="separate"/>
      </w:r>
      <w:r>
        <w:drawing>
          <wp:inline xmlns:wp="http://schemas.openxmlformats.org/drawingml/2006/wordprocessingDrawing">
            <wp:extent cx="6229350" cy="25146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5146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right"/>
        <w:rPr>
          <w:rFonts w:ascii="Arial" w:hAnsi="Arial"/>
          <w:b w:val="1"/>
        </w:rPr>
      </w:pPr>
      <w:r>
        <w:rPr>
          <w:rFonts w:ascii="Arial" w:hAnsi="Arial"/>
        </w:rPr>
        <w:br w:type="page"/>
      </w: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sz w:val="20"/>
        </w:rPr>
        <w:t>Бруто домаћи производ у Републици Србији,</w:t>
      </w:r>
    </w:p>
    <w:tbl>
      <w:tblPr>
        <w:tblStyle w:val="T2"/>
        <w:tblpPr w:leftFromText="181" w:rightFromText="181" w:tblpX="1" w:tblpY="131" w:horzAnchor="margin" w:vertAnchor="text" w:tblpXSpec="center"/>
        <w:tblW w:w="9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bookmarkStart w:id="43" w:name="OLE_LINK3"/>
            <w:r>
              <w:rPr>
                <w:rFonts w:ascii="Arial" w:hAnsi="Arial"/>
                <w:sz w:val="16"/>
              </w:rPr>
              <w:t>Пољоприв-реда, лов и шумарство;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  <w:bookmarkEnd w:id="43"/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руда и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камена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вачка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електричне енергије,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гаса и воде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нарство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  <w:r>
              <w:t>Трговина на велико и мало,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оправке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</w:p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  <w:r>
              <w:t>Хотели и ресторани</w:t>
            </w:r>
          </w:p>
        </w:tc>
        <w:tc>
          <w:tcPr>
            <w:tcW w:w="10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складиштење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везе</w:t>
            </w:r>
          </w:p>
        </w:tc>
      </w:tr>
      <w:tr>
        <w:trPr>
          <w:wAfter w:w="0" w:type="dxa"/>
          <w:trHeight w:hRule="atLeast" w:val="20"/>
        </w:trPr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bookmarkStart w:id="44" w:name="OLE_LINK2"/>
            <w:bookmarkStart w:id="45" w:name="OLE_LINK7"/>
            <w:bookmarkStart w:id="46" w:name="OLE_LINK6"/>
            <w:bookmarkStart w:id="47" w:name="OLE_LINK5"/>
            <w:bookmarkStart w:id="48" w:name="OLE_LINK4"/>
            <w:r>
              <w:rPr>
                <w:rFonts w:ascii="Arial" w:hAnsi="Arial"/>
                <w:sz w:val="18"/>
              </w:rPr>
              <w:t>2002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129629,5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14630,7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161021,1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30688,1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29621,0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70293,3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9374,7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69772,9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120603,8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15382,7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151393,2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31630,5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32820,1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78473,1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9201,5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76416,5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143545,8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15588,9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164602,0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31598,8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33968,8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91781,3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9149,8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88460,4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136500,2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16118,0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164431,4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33260,4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34641,4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111980,8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8889,8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109167,5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136205,3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16914,3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173626,1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33951,2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37308,7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123516,1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8167,6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141155,1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125576,6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16872,6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182039,1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34718,2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40405,3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147646,2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8760,8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168525,0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24437,5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3956,5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35903,4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8511,8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6752,1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14870,2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2084,3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15823,9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28678,9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3360,4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39969,7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7375,6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7529,4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17244,9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2510,3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17012,6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38615,6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3482,1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41325,4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6752,3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7691,4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18221,4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2499,9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18277,6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37897,4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3831,8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43822,6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8048,4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7648,1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19956,7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2280,2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18658,8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24480,5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3445,5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32545,5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8937,7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7112,1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16522,8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1972,0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17000,3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28167,9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3596,0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38552,3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7473,6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8159,0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19567,2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2464,7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18926,2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34031,9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3986,5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38279,9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6792,0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8788,4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19587,2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2575,8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20329,2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33923,5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4354,7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42015,5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8427,1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8760,6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22795,9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2188,9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20160,9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24934,5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35977,7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9044,9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7638,8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19090,6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1991,5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19823,7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27666,4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42583,8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6342,3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8474,0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21892,9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2353,0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21456,0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42390,4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3856,9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40119,3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7444,5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9021,6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22557,7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2528,5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23359,7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48554,5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45921,3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8767,1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8834,3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28240,1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2276,8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23821,1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24307,6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3953,4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33564,6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9438,0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7275,9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22466,3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1973,6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23708,1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28246,1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3509,4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41173,5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6984,2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8684,4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28880,2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2390,8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26239,2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38832,0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42381,4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7454,9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9397,1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29455,3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2448,1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28868,8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45114,6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4589,1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47311,9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9383,3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9284,0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31178,9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2077,3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30351,4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24552,5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4208,7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36625,5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9377,1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8104,1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26013,3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1813,8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31514,7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28892,9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3611,6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43917,5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7415,2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9245,8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31104,8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2095,4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34656,0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42416,3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44245,4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7591,4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9797,5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31963,7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2287,3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37181,7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40343,6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4842,2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48837,7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9567,4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10161,3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34434,2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1971,2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37802,7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24435,7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40062,2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8839,5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9538,3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31884,2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1812,4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35729,4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28379,0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3710,0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46069,8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7971,7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10199,6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37320,6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2379,8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40630,3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37438,1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4259,0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46278,2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8002,6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10301,8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37629,5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2463,9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44643,1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35323,8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4693,0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49628,9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9904,4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10365,6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40811,9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2104,7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47522,3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25991,7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4601,2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41640,8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9810,4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9946,8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35533,0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1892,7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42929,6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29341,3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3709,9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48106,8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7684,0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11006,6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39498,4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2483,0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47788,2</w:t>
            </w:r>
          </w:p>
        </w:tc>
      </w:tr>
    </w:tbl>
    <w:p>
      <w:pPr>
        <w:rPr>
          <w:rFonts w:ascii="Arial" w:hAnsi="Arial"/>
          <w:sz w:val="20"/>
        </w:rPr>
      </w:pPr>
      <w:bookmarkEnd w:id="44"/>
      <w:bookmarkEnd w:id="45"/>
      <w:bookmarkEnd w:id="46"/>
      <w:bookmarkEnd w:id="47"/>
      <w:bookmarkEnd w:id="48"/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Претходни резултати.</w:t>
      </w:r>
    </w:p>
    <w:p>
      <w:pPr>
        <w:tabs>
          <w:tab w:val="right" w:pos="9546" w:leader="none"/>
        </w:tabs>
        <w:rPr>
          <w:rFonts w:ascii="Arial" w:hAnsi="Arial"/>
          <w:b w:val="1"/>
          <w:sz w:val="20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Процена</w:t>
      </w:r>
      <w:r>
        <w:rPr>
          <w:rFonts w:ascii="Arial" w:hAnsi="Arial"/>
          <w:sz w:val="20"/>
        </w:rPr>
        <w:t>.</w:t>
      </w: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>у сталним ценама 2002.</w:t>
      </w:r>
      <w:r>
        <w:rPr>
          <w:rFonts w:ascii="Arial" w:hAnsi="Arial"/>
          <w:sz w:val="20"/>
        </w:rPr>
        <w:t xml:space="preserve"> </w:t>
        <w:tab/>
      </w:r>
      <w:r>
        <w:rPr>
          <w:rFonts w:ascii="Arial" w:hAnsi="Arial"/>
          <w:b w:val="1"/>
          <w:sz w:val="20"/>
        </w:rPr>
        <w:t xml:space="preserve">у мил. </w:t>
      </w:r>
      <w:r>
        <w:rPr>
          <w:rFonts w:ascii="Arial" w:hAnsi="Arial"/>
          <w:b w:val="1"/>
          <w:sz w:val="20"/>
        </w:rPr>
        <w:t>РСД</w:t>
      </w:r>
    </w:p>
    <w:tbl>
      <w:tblPr>
        <w:tblStyle w:val="T2"/>
        <w:tblpPr w:leftFromText="181" w:rightFromText="181" w:tblpX="1" w:tblpY="131" w:horzAnchor="margin" w:vertAnchor="text" w:tblpXSpec="center"/>
        <w:tblW w:w="985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12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посредовање</w:t>
            </w:r>
          </w:p>
        </w:tc>
        <w:tc>
          <w:tcPr>
            <w:tcW w:w="12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некретни-нама,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изнајмљи-вање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услуге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Бруто додата вредност,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базним ценама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FISIM (услуге финансијског посредовања индиректно мерене)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Порези минус субвенције на производе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Бруто домаћи производ,     у тржишним ценама</w:t>
            </w:r>
          </w:p>
        </w:tc>
        <w:tc>
          <w:tcPr>
            <w:tcW w:w="12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</w:tr>
      <w:tr>
        <w:trPr>
          <w:wAfter w:w="0" w:type="dxa"/>
          <w:trHeight w:hRule="atLeast" w:val="20"/>
        </w:trPr>
        <w:tc>
          <w:tcPr>
            <w:tcW w:w="12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12=1+...+11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15=12-13+14</w:t>
            </w:r>
          </w:p>
        </w:tc>
        <w:tc>
          <w:tcPr>
            <w:tcW w:w="121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bookmarkStart w:id="49" w:name="OLE_LINK1"/>
            <w:bookmarkStart w:id="50" w:name="OLE_LINK10"/>
            <w:bookmarkStart w:id="51" w:name="OLE_LINK8"/>
            <w:r>
              <w:rPr>
                <w:rFonts w:ascii="Arial" w:hAnsi="Arial"/>
                <w:sz w:val="18"/>
              </w:rPr>
              <w:t>44182,5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136970,7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164804,1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860988,6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24896,1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147738,3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983830,8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48116,8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140373,8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167204,4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871616,5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21584,8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161790,8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1011822,5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52773,1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142274,4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170084,8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943828,1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25727,9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176813,2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1094913,4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61810,4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147199,3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171005,4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995004,5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29246,6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194871,2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1160629,1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72318,7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153402,0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166284,1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1062849,3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32262,6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194492,2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1225078,9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85285,6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157049,6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167106,1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1133985,2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35005,9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212919,7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1311899,0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bookmarkEnd w:id="49"/>
            <w:bookmarkEnd w:id="50"/>
            <w:bookmarkEnd w:id="51"/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10216,8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33365,9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41190,0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197112,5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5945,6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29667,3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220834,2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10538,6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34061,4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41209,3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209490,9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6231,8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35659,2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238918,3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11492,7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34605,0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41072,8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224036,2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6459,4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39196,2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256773,1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11934,4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34938,5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41332,0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230348,9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6259,3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43215,6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267305,2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11651,8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34107,6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41541,5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199317,4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5588,3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32480,8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226209,9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11937,3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35091,6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41682,7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215618,5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5316,2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41714,9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252017,3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12174,0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35477,7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41893,4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223916,1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5250,2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42805,6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261471,5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12353,7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35696,9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42086,8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232764,3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5430,1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44789,5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272123,8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12445,7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34289,4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42277,2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211544,8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5898,0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35465,8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241112,6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12819,0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35274,1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42500,6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224762,9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6301,8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43269,6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261730,7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13382,3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35967,4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42553,6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243181,9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6633,7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45955,1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282503,3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14126,1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36743,5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42753,3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264338,6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52122,7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309566,9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14150,0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34780,8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42956,3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218574,5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6994,3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40111,2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251691,4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14810,0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36176,8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43139,3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240233,7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7187,3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48599,8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281646,2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15835,9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37495,4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42686,1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258921,1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7424,0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51266,2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302763,3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17014,4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38746,4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42223,8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277275,2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7641,0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54894,0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324528,2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16981,7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36859,5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41892,3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237943,2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7809,5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40052,1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270185,8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17612,6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37965,5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41593,9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258111,2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7946,6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49651,1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299815,7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18469,1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39049,4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41363,8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278617,3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8158,2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49629,9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320089,0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19255,4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39527,6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41434,2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288177,6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8348,3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55159,1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334988,3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19892,8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37679,5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41536,1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255620,9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8554,3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44299,4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291366,0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20690,0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39130,7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41653,0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278134,4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8710,9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53504,4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322927,9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21679,2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39787,5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41759,3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294242,0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8825,4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55845,1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341261,8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23023,6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40451,9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42157,7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305987,8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8915,3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59270,8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356343,3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23261,7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38544,5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42306,5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276459,1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8885,9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48350,3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315923,5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23998,0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40436,4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42522,3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296574,8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8723,7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55161,2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343012,4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br w:type="page"/>
        <w:t xml:space="preserve">2. </w:t>
      </w:r>
      <w:r>
        <w:rPr>
          <w:rFonts w:ascii="Arial" w:hAnsi="Arial"/>
          <w:b w:val="1"/>
          <w:sz w:val="20"/>
        </w:rPr>
        <w:t>Стопе раста бруто домаћег производа</w:t>
      </w:r>
    </w:p>
    <w:tbl>
      <w:tblPr>
        <w:tblStyle w:val="T2"/>
        <w:tblpPr w:leftFromText="181" w:rightFromText="181" w:tblpX="1" w:tblpY="131" w:horzAnchor="margin" w:vertAnchor="text" w:tblpXSpec="center"/>
        <w:tblW w:w="990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108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  <w:tc>
          <w:tcPr>
            <w:tcW w:w="110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Пољоприв-реда,лов и шумарство;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руда и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камена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вачка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електричне енергије,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гаса и воде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нарство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  <w:r>
              <w:t>Трговина на велико и мало,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оправке</w:t>
            </w:r>
          </w:p>
        </w:tc>
        <w:tc>
          <w:tcPr>
            <w:tcW w:w="11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складиштење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везе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284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8825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8"/>
              <w:framePr w:w="0" w:h="0" w:hRule="auto" w:vSpace="0" w:hSpace="0" w:wrap="auto" w:vAnchor="margin" w:hAnchor="text" w:x="0" w:xAlign="left" w:y="0" w:yAlign="inline"/>
              <w:rPr>
                <w:sz w:val="20"/>
              </w:rPr>
            </w:pPr>
            <w:r>
              <w:rPr>
                <w:sz w:val="20"/>
              </w:rPr>
              <w:t>Промене, према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15,8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-0,2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29,3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19,4</w:t>
            </w:r>
          </w:p>
        </w:tc>
      </w:tr>
      <w:tr>
        <w:trPr>
          <w:wAfter w:w="0" w:type="dxa"/>
          <w:trHeight w:hRule="atLeast" w:val="284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left="284"/>
              <w:rPr>
                <w:rFonts w:ascii="Arial" w:hAnsi="Arial"/>
                <w:sz w:val="18"/>
              </w:rPr>
            </w:pPr>
          </w:p>
        </w:tc>
        <w:tc>
          <w:tcPr>
            <w:tcW w:w="8825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8"/>
              <w:framePr w:w="0" w:h="0" w:hRule="auto" w:vSpace="0" w:hSpace="0" w:wrap="auto" w:vAnchor="margin" w:hAnchor="text" w:x="0" w:xAlign="left" w:y="0" w:yAlign="inline"/>
              <w:rPr>
                <w:sz w:val="20"/>
              </w:rPr>
            </w:pPr>
            <w:r>
              <w:rPr>
                <w:sz w:val="20"/>
              </w:rPr>
              <w:t>Промене, према истом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7"/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-12,9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-9,4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-11,9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-10,5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24,6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15,2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14,9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43,1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18,2</w:t>
            </w:r>
          </w:p>
        </w:tc>
      </w:tr>
      <w:tr>
        <w:trPr>
          <w:wAfter w:w="0" w:type="dxa"/>
          <w:trHeight w:hRule="atLeast" w:val="285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-2,5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22,3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-8,4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-3,2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-7,1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32,9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-12,4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28,8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-10,6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-0,5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-11,7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-12,4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25,7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17,6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Претходни резултати.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Процена</w:t>
      </w:r>
      <w:r>
        <w:rPr>
          <w:rFonts w:ascii="Arial" w:hAnsi="Arial"/>
          <w:sz w:val="20"/>
        </w:rPr>
        <w:t>.</w:t>
      </w:r>
    </w:p>
    <w:p>
      <w:pPr>
        <w:rPr>
          <w:rFonts w:ascii="Arial" w:hAnsi="Arial"/>
          <w:b w:val="1"/>
          <w:sz w:val="20"/>
        </w:rPr>
      </w:pPr>
      <w:r>
        <w:rPr>
          <w:sz w:val="20"/>
        </w:rPr>
        <w:br w:type="page"/>
      </w:r>
      <w:r>
        <w:rPr>
          <w:rFonts w:ascii="Arial" w:hAnsi="Arial"/>
          <w:b w:val="1"/>
          <w:sz w:val="20"/>
        </w:rPr>
        <w:t xml:space="preserve">у Републици Србији, у сталним ценама 2002. </w:t>
      </w:r>
    </w:p>
    <w:tbl>
      <w:tblPr>
        <w:tblStyle w:val="T2"/>
        <w:tblpPr w:leftFromText="181" w:rightFromText="181" w:tblpX="1" w:tblpY="131" w:horzAnchor="margin" w:vertAnchor="text" w:tblpXSpec="center"/>
        <w:tblW w:w="985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123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посредовање</w:t>
            </w:r>
          </w:p>
        </w:tc>
        <w:tc>
          <w:tcPr>
            <w:tcW w:w="123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некретни-нама,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изнајмљи-вање</w:t>
            </w:r>
          </w:p>
        </w:tc>
        <w:tc>
          <w:tcPr>
            <w:tcW w:w="12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услуге</w:t>
            </w:r>
          </w:p>
        </w:tc>
        <w:tc>
          <w:tcPr>
            <w:tcW w:w="12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Бруто додата вредност,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базним ценама</w:t>
            </w:r>
          </w:p>
        </w:tc>
        <w:tc>
          <w:tcPr>
            <w:tcW w:w="1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FISIM (услуге финансијског посредовања индиректно мерене)</w:t>
            </w:r>
          </w:p>
        </w:tc>
        <w:tc>
          <w:tcPr>
            <w:tcW w:w="1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Порези минус субвенције на производе</w:t>
            </w:r>
          </w:p>
        </w:tc>
        <w:tc>
          <w:tcPr>
            <w:tcW w:w="1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Бруто домаћи производ,     у тржишним ценама</w:t>
            </w:r>
          </w:p>
        </w:tc>
        <w:tc>
          <w:tcPr>
            <w:tcW w:w="12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8646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7"/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претходној години, %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-13,3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4"/>
        </w:trPr>
        <w:tc>
          <w:tcPr>
            <w:tcW w:w="8646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кварталу претходне године, %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left="22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-6,0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-14,7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-18,7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-13,2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26,4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27,0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16,4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93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11,9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20,4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-1,2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10,8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13,2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17,4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bookmarkStart w:id="52" w:name="OLE_LINK9"/>
            <w:r>
              <w:rPr>
                <w:rFonts w:ascii="Arial" w:hAnsi="Arial"/>
                <w:sz w:val="18"/>
              </w:rPr>
              <w:t>16,0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</w:tbl>
    <w:p>
      <w:pPr>
        <w:jc w:val="center"/>
      </w:pPr>
      <w:bookmarkEnd w:id="52"/>
    </w:p>
    <w:p>
      <w:pPr>
        <w:jc w:val="center"/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  <w:outlineLvl w:val="0"/>
        <w:rPr>
          <w:rFonts w:ascii="Arial" w:hAnsi="Arial"/>
          <w:b w:val="1"/>
        </w:rPr>
      </w:pPr>
      <w:r>
        <w:rPr>
          <w:rFonts w:ascii="Arial" w:hAnsi="Arial"/>
          <w:b w:val="1"/>
        </w:rPr>
        <w:t>Методолошке напомене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Обрачун бруто домаћег производа изведен је по производном приступу за ниво сектора и области Класификације делатности, у сталним ценама (базна година је 2002.), методом екстраполације, применом индиректне једноструке (single) индикатор методе, комбинацијом индикатора аутпута и инпута.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Бруто домаћи производ, вреднован у тржишним ценама, обрачунат по производном приступу, у сталним ценама, представља суму бруто додатих вредности свих активности једне економије изражених у сталним ценама, умањену за услуге финансијског посредовања индиректно мерене (FISIM) и увећану за порезе минус субвенције на производе у сталним ценама.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Обрачун бруто домаћег производа у сталним ценама по производном приступу, омогућава да се измери и прикаже индивидуални допринос сваке поједине активности или групе активности укупном расту економије. Допринос расту БДП референтног квартала израчунава се множењем процентуалне промене сваке активности са њеним учешћем у БДП у истом кварталу претходне године. 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Бруто додата вредност сваког сектора добијена је агрегирањем бруто додатих вредности нижих нивоа (области) вреднованих у сталним ценама. За ниво области обрачун је изведен множењем индикатора сваке поједине области, израженог у форми базног индекса (референтна година је 2002.), са бруто додатом вредношћу базне године. Овакав обрачун базира се на методи једноструког (single) индикатора и представља директно обрачунавање бруто додате вредности у сталним ценама коришћењем једног индикатора (аутпута или инпута). Полази се од претпоставке да је кретање индикатора у директној корелацији са кретањем  бруто додате вредности.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Основни индикатори коришћени приликом обрачуна су подаци о физичком обиму производње и промета (индикатори аутпута) и о ценама. Подаци о броју запослених (индикатори инпута) углавном су коришћени за обрачуне сектора осталих услуга, који обухвата следеће секторе: државна управа и социјално осигурање, образовање, здравствени и социјални рад, друге комуналне, друштвене и личне услуге, и  домаћинства са запосленим лицима. 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Усаглашавање годишњих и кварталних података извршено је за период 1997 - 2007. године.</w:t>
      </w: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Обрачуни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за прва три квартала </w:t>
      </w:r>
      <w:r>
        <w:rPr>
          <w:rFonts w:ascii="Arial" w:hAnsi="Arial"/>
          <w:b w:val="1"/>
          <w:sz w:val="20"/>
        </w:rPr>
        <w:t>референтне</w:t>
      </w:r>
      <w:r>
        <w:rPr>
          <w:rFonts w:ascii="Arial" w:hAnsi="Arial"/>
          <w:b w:val="1"/>
          <w:sz w:val="20"/>
        </w:rPr>
        <w:t xml:space="preserve"> године подложни су ревизијама до момента објављивања четвртог квартала. </w:t>
      </w:r>
      <w:r>
        <w:rPr>
          <w:rFonts w:ascii="Arial" w:hAnsi="Arial"/>
          <w:b w:val="1"/>
          <w:sz w:val="20"/>
        </w:rPr>
        <w:t>Резултати</w:t>
      </w:r>
      <w:r>
        <w:rPr>
          <w:rFonts w:ascii="Arial" w:hAnsi="Arial"/>
          <w:b w:val="1"/>
          <w:sz w:val="20"/>
        </w:rPr>
        <w:t xml:space="preserve"> обрачуна кварталног бруто домаћег производа </w:t>
      </w:r>
      <w:r>
        <w:rPr>
          <w:rFonts w:ascii="Arial" w:hAnsi="Arial"/>
          <w:b w:val="1"/>
          <w:sz w:val="20"/>
        </w:rPr>
        <w:t>публикују се</w:t>
      </w:r>
      <w:r>
        <w:rPr>
          <w:rFonts w:ascii="Arial" w:hAnsi="Arial"/>
          <w:b w:val="1"/>
          <w:sz w:val="20"/>
        </w:rPr>
        <w:t xml:space="preserve"> најкасније 90 дана по истеку референтног квартала.</w:t>
      </w:r>
      <w:r>
        <w:rPr>
          <w:rFonts w:ascii="Arial" w:hAnsi="Arial"/>
          <w:sz w:val="20"/>
        </w:rPr>
        <w:t xml:space="preserve"> 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Методолошке основе, концепти и дефиниције на бази којих је изведен квартални обрачун бруто домаћег производа презентовани су у едицији Републичког завода за статистику Србије “Квартални обрачун бруто домаћег производа Републике Србије 1999 – 2004.”, број 75, Студије и анализе.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</w:p>
    <w:p>
      <w:pPr>
        <w:ind w:firstLine="720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Издаје и штампа: Републички завод за статистику Србије, Београд, Милана</w:t>
      </w:r>
      <w:r>
        <w:rPr>
          <w:rFonts w:ascii="Arial" w:hAnsi="Arial"/>
          <w:b w:val="1"/>
          <w:sz w:val="20"/>
        </w:rPr>
        <w:t xml:space="preserve"> Р</w:t>
      </w:r>
      <w:r>
        <w:rPr>
          <w:rFonts w:ascii="Arial" w:hAnsi="Arial"/>
          <w:b w:val="1"/>
          <w:sz w:val="20"/>
        </w:rPr>
        <w:t xml:space="preserve">акића 5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елефон: 2412-922 (централа) ● </w:t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>елефакс: 2411</w:t>
      </w: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 xml:space="preserve">260 ● </w:t>
      </w:r>
      <w:r>
        <w:rPr>
          <w:rFonts w:ascii="Arial" w:hAnsi="Arial"/>
          <w:b w:val="1"/>
          <w:sz w:val="20"/>
        </w:rPr>
        <w:t>www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stat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gov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rs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 xml:space="preserve">Одговара: Др Драган Вукмировић, директор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ираж: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0 ● Периодика из</w:t>
      </w:r>
      <w:r>
        <w:rPr>
          <w:rFonts w:ascii="Arial" w:hAnsi="Arial"/>
          <w:b w:val="1"/>
          <w:sz w:val="20"/>
        </w:rPr>
        <w:t>л</w:t>
      </w:r>
      <w:r>
        <w:rPr>
          <w:rFonts w:ascii="Arial" w:hAnsi="Arial"/>
          <w:b w:val="1"/>
          <w:sz w:val="20"/>
        </w:rPr>
        <w:t xml:space="preserve">ажења: </w:t>
      </w:r>
      <w:r>
        <w:rPr>
          <w:rFonts w:ascii="Arial" w:hAnsi="Arial"/>
          <w:b w:val="1"/>
          <w:sz w:val="20"/>
        </w:rPr>
        <w:t>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268 НР4</w:t>
    </w:r>
    <w:r>
      <w:rPr>
        <w:rFonts w:ascii="Arial" w:hAnsi="Arial"/>
        <w:sz w:val="16"/>
      </w:rPr>
      <w:t>0 300908</w:t>
      <w:tab/>
    </w:r>
    <w:r>
      <w:rPr>
        <w:rStyle w:val="C4"/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                                                                                                                                                                              СРБ 268 НР40</w:t>
    </w:r>
    <w:r>
      <w:rPr>
        <w:rFonts w:ascii="Arial" w:hAnsi="Arial"/>
        <w:sz w:val="16"/>
      </w:rPr>
      <w:t xml:space="preserve"> 300908</w:t>
    </w:r>
    <w:r>
      <w:rPr>
        <w:rStyle w:val="C4"/>
        <w:rFonts w:ascii="Arial" w:hAnsi="Arial"/>
        <w:sz w:val="16"/>
      </w:rPr>
      <w:tab/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219283C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57F030A2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308BCFB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A775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040B4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BA599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7F2B1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ADD4B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9EE321F"/>
    <w:multiLevelType w:val="hybridMultilevel"/>
    <w:lvl w:ilvl="0" w:tplc="4C25F33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772AA0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C82104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900C47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B4D659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673CCC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3D4A37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99338A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1A3B36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CC340A6"/>
    <w:multiLevelType w:val="hybridMultilevel"/>
    <w:lvl w:ilvl="0" w:tplc="63284F0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54B14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EF925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1C8F0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FAB22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68233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8FB42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827D53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01785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E571AD5"/>
    <w:multiLevelType w:val="hybridMultilevel"/>
    <w:lvl w:ilvl="0" w:tplc="5680A523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074431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CA05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6DC51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A77B8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F4E6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AE0E6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8E7614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A7DD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2008-09-22T13:23:00Z</dcterms:created>
  <cp:lastModifiedBy>Nikola Kapetanovic</cp:lastModifiedBy>
  <cp:lastPrinted>2008-09-29T07:54:00Z</cp:lastPrinted>
  <dcterms:modified xsi:type="dcterms:W3CDTF">2020-01-09T15:40:01Z</dcterms:modified>
  <cp:revision>17</cp:revision>
  <dc:title>Република Србија</dc:title>
</cp:coreProperties>
</file>