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F50205" Type="http://schemas.openxmlformats.org/officeDocument/2006/relationships/officeDocument" Target="/word/document.xml" /><Relationship Id="coreR1FF502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167" w:type="dxa"/>
        <w:jc w:val="center"/>
        <w:tblInd w:w="-617" w:type="dxa"/>
        <w:tblBorders>
          <w:top w:val="single" w:sz="12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7150" w:type="dxa"/>
            <w:vMerge w:val="restart"/>
            <w:tcBorders>
              <w:top w:val="single" w:sz="12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  <w:b w:val="1"/>
                <w:sz w:val="6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17" w:type="dxa"/>
            <w:tcBorders>
              <w:top w:val="single" w:sz="12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7150" w:type="dxa"/>
            <w:vMerge w:val="continue"/>
          </w:tcPr>
          <w:p>
            <w:pPr>
              <w:rPr>
                <w:rFonts w:ascii="Arial" w:hAnsi="Arial"/>
                <w:b w:val="1"/>
              </w:rPr>
            </w:pP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before="60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20"/>
              </w:rPr>
              <w:t>ISSN 0353-9555</w:t>
            </w:r>
          </w:p>
        </w:tc>
      </w:tr>
      <w:tr>
        <w:trPr>
          <w:wAfter w:w="0" w:type="dxa"/>
        </w:trPr>
        <w:tc>
          <w:tcPr>
            <w:tcW w:w="7150" w:type="dxa"/>
            <w:vMerge w:val="continue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6"/>
              </w:rPr>
            </w:pPr>
          </w:p>
        </w:tc>
        <w:tc>
          <w:tcPr>
            <w:tcW w:w="3017" w:type="dxa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6"/>
              </w:rPr>
            </w:pPr>
          </w:p>
        </w:tc>
      </w:tr>
      <w:tr>
        <w:trPr>
          <w:wAfter w:w="0" w:type="dxa"/>
          <w:trHeight w:hRule="atLeast" w:val="828"/>
        </w:trPr>
        <w:tc>
          <w:tcPr>
            <w:tcW w:w="7150" w:type="dxa"/>
            <w:vMerge w:val="restart"/>
            <w:tcBorders>
              <w:top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sz w:val="22"/>
              </w:rPr>
              <w:t>Број 260 • год. LVIII, 15.09.2008.</w:t>
            </w: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72"/>
              </w:rPr>
              <w:t>ЛП</w:t>
            </w:r>
            <w:r>
              <w:rPr>
                <w:rFonts w:ascii="Arial" w:hAnsi="Arial"/>
                <w:b w:val="1"/>
                <w:sz w:val="72"/>
              </w:rPr>
              <w:t>1</w:t>
            </w:r>
            <w:r>
              <w:rPr>
                <w:rFonts w:ascii="Arial" w:hAnsi="Arial"/>
                <w:b w:val="1"/>
                <w:sz w:val="72"/>
              </w:rPr>
              <w:t>2</w:t>
            </w:r>
          </w:p>
        </w:tc>
      </w:tr>
      <w:tr>
        <w:trPr>
          <w:wAfter w:w="0" w:type="dxa"/>
        </w:trPr>
        <w:tc>
          <w:tcPr>
            <w:tcW w:w="7150" w:type="dxa"/>
            <w:vMerge w:val="continue"/>
            <w:tcBorders>
              <w:bottom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</w:rPr>
            </w:pPr>
          </w:p>
        </w:tc>
        <w:tc>
          <w:tcPr>
            <w:tcW w:w="3017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  <w:sz w:val="20"/>
              </w:rPr>
              <w:t xml:space="preserve">СРБ </w:t>
            </w:r>
            <w:r>
              <w:rPr>
                <w:rFonts w:ascii="Arial" w:hAnsi="Arial"/>
                <w:b w:val="1"/>
                <w:sz w:val="20"/>
              </w:rPr>
              <w:t>260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ЛП1</w:t>
            </w:r>
            <w:r>
              <w:rPr>
                <w:rFonts w:ascii="Arial" w:hAnsi="Arial"/>
                <w:b w:val="1"/>
                <w:sz w:val="20"/>
              </w:rPr>
              <w:t xml:space="preserve">2 </w:t>
            </w:r>
            <w:r>
              <w:rPr>
                <w:rFonts w:ascii="Arial" w:hAnsi="Arial"/>
                <w:b w:val="1"/>
                <w:sz w:val="20"/>
              </w:rPr>
              <w:t>1</w:t>
            </w:r>
            <w:r>
              <w:rPr>
                <w:rFonts w:ascii="Arial" w:hAnsi="Arial"/>
                <w:b w:val="1"/>
                <w:sz w:val="20"/>
              </w:rPr>
              <w:t>5</w:t>
            </w:r>
            <w:r>
              <w:rPr>
                <w:rFonts w:ascii="Arial" w:hAnsi="Arial"/>
                <w:b w:val="1"/>
                <w:sz w:val="20"/>
              </w:rPr>
              <w:t>0</w:t>
            </w:r>
            <w:r>
              <w:rPr>
                <w:rFonts w:ascii="Arial" w:hAnsi="Arial"/>
                <w:b w:val="1"/>
                <w:sz w:val="20"/>
              </w:rPr>
              <w:t>9</w:t>
            </w:r>
            <w:r>
              <w:rPr>
                <w:rFonts w:ascii="Arial" w:hAnsi="Arial"/>
                <w:b w:val="1"/>
                <w:sz w:val="20"/>
              </w:rPr>
              <w:t>0</w:t>
            </w:r>
            <w:r>
              <w:rPr>
                <w:rFonts w:ascii="Arial" w:hAnsi="Arial"/>
                <w:b w:val="1"/>
                <w:sz w:val="20"/>
              </w:rPr>
              <w:t>8</w:t>
            </w:r>
          </w:p>
        </w:tc>
      </w:tr>
      <w:tr>
        <w:trPr>
          <w:wAfter w:w="0" w:type="dxa"/>
        </w:trPr>
        <w:tc>
          <w:tcPr>
            <w:tcW w:w="7150" w:type="dxa"/>
            <w:tcBorders>
              <w:top w:val="none" w:sz="0" w:space="0" w:shadow="0" w:frame="0"/>
              <w:bottom w:val="single" w:sz="12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</w:rPr>
              <w:t>Статистика националних рачуна</w:t>
            </w:r>
          </w:p>
        </w:tc>
        <w:tc>
          <w:tcPr>
            <w:tcW w:w="3017" w:type="dxa"/>
            <w:tcBorders>
              <w:left w:val="none" w:sz="0" w:space="0" w:shadow="0" w:frame="0"/>
              <w:bottom w:val="single" w:sz="12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</w:rPr>
            </w:pPr>
          </w:p>
        </w:tc>
      </w:tr>
    </w:tbl>
    <w:p>
      <w:pPr>
        <w:rPr>
          <w:rFonts w:ascii="Arial" w:hAnsi="Arial"/>
          <w:b w:val="1"/>
        </w:rPr>
      </w:pPr>
    </w:p>
    <w:p>
      <w:pPr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Анкета о потрошњи домаћинстава у </w:t>
      </w:r>
      <w:r>
        <w:rPr>
          <w:rFonts w:ascii="Arial" w:hAnsi="Arial"/>
          <w:b w:val="1"/>
          <w:sz w:val="28"/>
        </w:rPr>
        <w:t>другом</w:t>
      </w:r>
      <w:r>
        <w:rPr>
          <w:rFonts w:ascii="Arial" w:hAnsi="Arial"/>
          <w:b w:val="1"/>
          <w:sz w:val="28"/>
        </w:rPr>
        <w:t xml:space="preserve"> кварталу 200</w:t>
      </w:r>
      <w:r>
        <w:rPr>
          <w:rFonts w:ascii="Arial" w:hAnsi="Arial"/>
          <w:b w:val="1"/>
          <w:sz w:val="28"/>
        </w:rPr>
        <w:t>8</w:t>
      </w:r>
      <w:r>
        <w:rPr>
          <w:rFonts w:ascii="Arial" w:hAnsi="Arial"/>
          <w:b w:val="1"/>
          <w:sz w:val="28"/>
        </w:rPr>
        <w:t>.</w:t>
      </w:r>
      <w:r>
        <w:rPr>
          <w:rFonts w:ascii="Arial" w:hAnsi="Arial"/>
          <w:b w:val="1"/>
          <w:sz w:val="28"/>
        </w:rPr>
        <w:t xml:space="preserve"> </w:t>
      </w: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- </w:t>
      </w:r>
      <w:r>
        <w:rPr>
          <w:rFonts w:ascii="Arial" w:hAnsi="Arial"/>
          <w:b w:val="1"/>
          <w:sz w:val="22"/>
        </w:rPr>
        <w:t xml:space="preserve">Претходни резултати </w:t>
      </w:r>
      <w:r>
        <w:rPr>
          <w:rFonts w:ascii="Arial" w:hAnsi="Arial"/>
          <w:b w:val="1"/>
          <w:sz w:val="22"/>
        </w:rPr>
        <w:t>-</w:t>
      </w:r>
    </w:p>
    <w:p>
      <w:pPr>
        <w:ind w:left="360"/>
        <w:jc w:val="center"/>
        <w:rPr>
          <w:rFonts w:ascii="Arial" w:hAnsi="Arial"/>
          <w:b w:val="1"/>
          <w:sz w:val="22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Подаци су добијени путем анкете о потрошњи домаћинстава, која се од 2003. године спроводи по међународним стандардима и препорукама Eurostat-а, ILO-a и UN-a, чиме се обезбеђује међународна упоредивост података. Овом анкетом прикупљају се подаци о приходима, расходима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трајним потрошним  добрима и др.), као и основни подаци о демографским, економским и социолошким  карактеристикама домаћинстава.</w:t>
      </w:r>
    </w:p>
    <w:p>
      <w:pPr>
        <w:tabs>
          <w:tab w:val="left" w:pos="690" w:leader="none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Основни географски стратуми су територија централне Србије и Војводине. Сваких петнаест дана анкетира се по 200 домаћинстава, односно 4.800 домаћинстава за годину дана. </w:t>
      </w:r>
    </w:p>
    <w:p>
      <w:pPr>
        <w:tabs>
          <w:tab w:val="left" w:pos="690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  <w:t>Од укупног броја домаћинстава предвиђених за анкетирање у другом кварталу (1.200 за Републику Србију), анкетирано је 1.161 домаћинство (97%).</w:t>
      </w:r>
    </w:p>
    <w:tbl>
      <w:tblPr>
        <w:tblStyle w:val="T2"/>
        <w:tblW w:w="0" w:type="auto"/>
        <w:tblLayout w:type="autofit"/>
        <w:tblCellMar>
          <w:left w:w="0" w:type="dxa"/>
          <w:right w:w="0" w:type="dxa"/>
        </w:tblCellMar>
      </w:tblPr>
      <w:tblGrid/>
      <w:tr>
        <w:tc>
          <w:tcPr>
            <w:tcW w:w="5211" w:type="dxa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333115" cy="596265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15" cy="59626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</w:tcPr>
          <w:p>
            <w:pPr>
              <w:tabs>
                <w:tab w:val="left" w:pos="690" w:leader="none"/>
              </w:tabs>
              <w:jc w:val="center"/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3323590" cy="595249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590" cy="59524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  <w:rPr>
          <w:sz w:val="22"/>
        </w:rPr>
      </w:pPr>
    </w:p>
    <w:p>
      <w:pPr>
        <w:pStyle w:val="P17"/>
        <w:rPr>
          <w:sz w:val="22"/>
        </w:rPr>
      </w:pPr>
      <w:r>
        <w:rPr>
          <w:sz w:val="22"/>
        </w:rPr>
        <w:t xml:space="preserve">Расположива средства и лична потрошња у другом кварталу 2008.  </w:t>
      </w:r>
    </w:p>
    <w:p>
      <w:pPr>
        <w:pStyle w:val="P17"/>
      </w:pPr>
      <w:r>
        <w:t>- Просек по домаћинству -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-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>ва домаћинства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2"/>
        <w:tblW w:w="10316" w:type="dxa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57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15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155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586"/>
        </w:trPr>
        <w:tc>
          <w:tcPr>
            <w:tcW w:w="10316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анкетираних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2536714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1832482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1257375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575107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704232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Расположива средства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41044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41960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37998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50622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38648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38564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39260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34338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50022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36746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20926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21303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17323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30006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19944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1075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11374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11691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10363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14595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10550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1453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2480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2700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3660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1902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3588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1893</w:t>
            </w:r>
          </w:p>
        </w:tc>
      </w:tr>
      <w:tr>
        <w:trPr>
          <w:wAfter w:w="0" w:type="dxa"/>
          <w:trHeight w:hRule="atLeast" w:val="357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Лична потрошња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37656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38534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36054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43963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35350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16365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17093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16476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18444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14462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1759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2041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1874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5352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5265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6098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5575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1711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1599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1777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1320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3498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3337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3849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3794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1271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1427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1492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1731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pStyle w:val="P10"/>
        <w:spacing w:lineRule="auto" w:line="240"/>
      </w:pPr>
    </w:p>
    <w:p>
      <w:pPr>
        <w:pStyle w:val="P10"/>
        <w:spacing w:lineRule="auto" w:line="240"/>
      </w:pPr>
      <w:r>
        <w:t xml:space="preserve">Структура расположивих средстава и личне потрошње у  другом кварталу 2008.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С</w:t>
      </w:r>
      <w:r>
        <w:rPr>
          <w:rFonts w:ascii="Arial" w:hAnsi="Arial"/>
          <w:b w:val="1"/>
          <w:sz w:val="20"/>
        </w:rPr>
        <w:t>ва домаћинства -</w:t>
      </w:r>
    </w:p>
    <w:p>
      <w:pPr>
        <w:jc w:val="right"/>
        <w:rPr>
          <w:rFonts w:ascii="Arial" w:hAnsi="Arial"/>
          <w:b w:val="1"/>
          <w:sz w:val="18"/>
        </w:rPr>
      </w:pPr>
    </w:p>
    <w:p>
      <w:pPr>
        <w:jc w:val="right"/>
        <w:rPr>
          <w:rFonts w:ascii="Arial" w:hAnsi="Arial"/>
          <w:b w:val="1"/>
          <w:sz w:val="18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10316" w:type="dxa"/>
        <w:jc w:val="center"/>
        <w:tblBorders>
          <w:top w:val="single" w:sz="8" w:space="0" w:shadow="0" w:frame="0"/>
          <w:left w:val="none" w:sz="0" w:space="0" w:shadow="0" w:frame="0"/>
          <w:bottom w:val="single" w:sz="4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4563" w:type="dxa"/>
            <w:vMerge w:val="restart"/>
            <w:tcBorders>
              <w:top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57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укупно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централна Србија</w:t>
            </w:r>
          </w:p>
        </w:tc>
        <w:tc>
          <w:tcPr>
            <w:tcW w:w="115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456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ind w:hanging="284" w:left="284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свега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без града Београда</w:t>
            </w:r>
          </w:p>
        </w:tc>
        <w:tc>
          <w:tcPr>
            <w:tcW w:w="1155" w:type="dxa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град         Београд</w:t>
            </w:r>
          </w:p>
        </w:tc>
        <w:tc>
          <w:tcPr>
            <w:tcW w:w="1155" w:type="dxa"/>
            <w:vMerge w:val="continue"/>
            <w:tcBorders>
              <w:bottom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Rule="auto" w:line="288" w:before="40" w:after="40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  <w:tr>
        <w:trPr>
          <w:wAfter w:w="0" w:type="dxa"/>
          <w:trHeight w:hRule="atLeast" w:val="744"/>
        </w:trPr>
        <w:tc>
          <w:tcPr>
            <w:tcW w:w="10316" w:type="dxa"/>
            <w:gridSpan w:val="6"/>
            <w:tcBorders>
              <w:top w:val="single" w:sz="4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spacing w:lineRule="auto" w:line="288" w:before="240" w:after="240"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</w:t>
            </w:r>
            <w:r>
              <w:rPr>
                <w:rFonts w:ascii="Arial" w:hAnsi="Arial"/>
                <w:b w:val="1"/>
                <w:sz w:val="18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Анкетирани број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Оцењени број домаћинстава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2536714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1832482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1257375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575107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704232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чланова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потрошачких јединица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Расположива средства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новцу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93,6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90,4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98,8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95,1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before="120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ван редовног радног односа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Пензије (старосне, породичне, инвалидске и остале)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 од социјалног осигурања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пољопривреде, лова и риболова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из иностранства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од имовине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Поклони и добици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Потрошачки и инвестициони кредити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Остала примања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Приходи домаћинстава у натури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4,9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Приходи у натури на име зарада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Натурална потрошња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</w:tr>
      <w:tr>
        <w:trPr>
          <w:wAfter w:w="0" w:type="dxa"/>
          <w:trHeight w:hRule="atLeast" w:val="333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hanging="284" w:left="284"/>
              <w:rPr>
                <w:rFonts w:ascii="Arial" w:hAnsi="Arial"/>
                <w:sz w:val="18"/>
              </w:rPr>
            </w:pP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 w:after="120"/>
              <w:ind w:right="5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Лична потрошња </w:t>
            </w:r>
            <w:r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b w:val="1"/>
                <w:sz w:val="18"/>
              </w:rPr>
              <w:t xml:space="preserve"> укупно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right="57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Храна и безалкохолна пића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Алкохолна пића и дуван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Одећа и обућа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Становање, вода, струја, гас и друга горива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15,8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Намештај, опремање домаћинства и одржавање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Здравство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Транспорт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Комуникације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Рекреација и култура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Образовање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Ресторани и хотели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</w:tr>
      <w:tr>
        <w:trPr>
          <w:wAfter w:w="0" w:type="dxa"/>
        </w:trPr>
        <w:tc>
          <w:tcPr>
            <w:tcW w:w="4563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Rule="auto" w:line="288"/>
              <w:ind w:hanging="284" w:left="56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Остала добра и услуге</w:t>
            </w:r>
          </w:p>
        </w:tc>
        <w:tc>
          <w:tcPr>
            <w:tcW w:w="11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15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</w:tr>
    </w:tbl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pStyle w:val="P10"/>
      </w:pPr>
    </w:p>
    <w:p>
      <w:pPr>
        <w:pStyle w:val="P10"/>
      </w:pPr>
      <w:r>
        <w:t>Методолошка објашњења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приходе; б)  самац који самостално живи, самостално се храни и троши остварене приходе.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анкети се примењују метод вођења дневника (домаћинство води дневник потрошње за петнаест, односно шеснаест дана) -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 три месеца, за приходе, пољопривреду, лов и риболов три месеца.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Расположива средства домаћинстава </w:t>
      </w:r>
      <w:r>
        <w:rPr>
          <w:rFonts w:ascii="Arial" w:hAnsi="Arial"/>
          <w:sz w:val="20"/>
        </w:rPr>
        <w:t>обухватају приходе у новцу, новчану вредност натуралне потрошње и прихода у натури, којима су домаћинства располагала у анкетном периоду.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spacing w:lineRule="auto" w:line="235"/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     Приходи домаћинстава у новцу</w:t>
      </w:r>
    </w:p>
    <w:p>
      <w:pPr>
        <w:tabs>
          <w:tab w:val="left" w:pos="840" w:leader="none"/>
        </w:tabs>
        <w:spacing w:lineRule="auto" w:line="235"/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односа.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новчана примања од прековременог рада, по основу уговора о делу, ауторског уговора и сл.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(старосне, породичне, инвалидске и остале)</w:t>
      </w:r>
      <w:r>
        <w:rPr>
          <w:rFonts w:ascii="Arial" w:hAnsi="Arial"/>
          <w:sz w:val="20"/>
        </w:rPr>
        <w:t xml:space="preserve"> обухватају: примања на основу пензијског и инвалидског осигурања и додатке уз пензију.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додаци на основу инвалидског осигурања; дечији додатак; стипендије ђака и студената, као и накнаде за ученике школа за квалификоване раднике.</w:t>
      </w:r>
    </w:p>
    <w:p>
      <w:pPr>
        <w:pStyle w:val="P9"/>
        <w:numPr>
          <w:ilvl w:val="0"/>
          <w:numId w:val="6"/>
        </w:numPr>
        <w:rPr>
          <w:b w:val="1"/>
          <w:i w:val="1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обухватају: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 примања из иностранства;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обухватају: приходе од издавања собе, стана, камате, дивиденде и приходе од продаје  покретне и непокретне имовине;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новцу, добитке од игара на срећу и сл.;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Потрошачки и инвестициони кредити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кредите подигнуте у претходних 12 месеци;   </w:t>
      </w:r>
    </w:p>
    <w:p>
      <w:pPr>
        <w:numPr>
          <w:ilvl w:val="0"/>
          <w:numId w:val="6"/>
        </w:numPr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по основу животног осигурања, осигурања имовине и сл.</w:t>
      </w:r>
    </w:p>
    <w:p>
      <w:pPr>
        <w:spacing w:lineRule="auto" w:line="235"/>
        <w:ind w:left="360"/>
        <w:jc w:val="both"/>
        <w:rPr>
          <w:rFonts w:ascii="Arial" w:hAnsi="Arial"/>
          <w:sz w:val="20"/>
        </w:rPr>
      </w:pPr>
    </w:p>
    <w:p>
      <w:pPr>
        <w:spacing w:lineRule="auto" w:line="235"/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     Приходи домаћинстава у натури</w:t>
      </w:r>
    </w:p>
    <w:p>
      <w:pPr>
        <w:spacing w:lineRule="auto" w:line="235"/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 од стране послодавца и сл.</w:t>
      </w:r>
    </w:p>
    <w:p>
      <w:pPr>
        <w:numPr>
          <w:ilvl w:val="0"/>
          <w:numId w:val="8"/>
        </w:numPr>
        <w:tabs>
          <w:tab w:val="left" w:pos="765" w:leader="none"/>
        </w:tabs>
        <w:spacing w:lineRule="auto" w:line="235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tabs>
          <w:tab w:val="left" w:pos="765" w:leader="none"/>
        </w:tabs>
        <w:spacing w:lineRule="auto" w:line="235"/>
        <w:ind w:left="360"/>
        <w:jc w:val="both"/>
        <w:rPr>
          <w:rFonts w:ascii="Arial" w:hAnsi="Arial"/>
          <w:sz w:val="20"/>
        </w:rPr>
      </w:pPr>
    </w:p>
    <w:p>
      <w:pPr>
        <w:tabs>
          <w:tab w:val="left" w:pos="765" w:leader="none"/>
        </w:tabs>
        <w:spacing w:lineRule="auto" w:line="235"/>
        <w:ind w:left="36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дата је по следећим групама COICOP класификације (Класификација личне потрошње по намени): храна и безалкохолна пића;  алкохолна пића и дуван; одећа и обућа; становање, вода, струја, гас и друга горива; намештај, опремање домаћинства и одржавање; здравство; транспорт; комуникације; рекреација и култура; образовање; ресторани и  хотели,  и остала роба и услуге.</w:t>
      </w:r>
    </w:p>
    <w:p>
      <w:pPr>
        <w:spacing w:lineRule="auto" w:line="235"/>
        <w:ind w:left="36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расположива средства и личну потрошњу у другом кварталу 2008. године и представљају месечне просеке по домаћинству, изражене у динарима (РСД).</w:t>
      </w: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</w:p>
    <w:p>
      <w:pPr>
        <w:spacing w:lineRule="auto" w:line="235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се објављују за Републику Србију (без Косова и Метохије), централну Србију, централну Србију (без града Београда), град Београд  и Војводину,  за сва домаћинства.</w:t>
      </w: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spacing w:lineRule="auto" w:line="264"/>
        <w:jc w:val="center"/>
        <w:rPr>
          <w:rFonts w:ascii="Arial" w:hAnsi="Arial"/>
          <w:sz w:val="20"/>
        </w:rPr>
      </w:pPr>
      <w:r>
        <mc:AlternateContent>
          <mc:Choice Requires="wps">
            <w:rPr>
              <w:rFonts w:ascii="Arial" w:hAnsi="Arial"/>
              <w:b w:val="1"/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6400800" cy="90297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0297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</w:p>
                          <w:p>
                            <w:r>
                              <w:t xml:space="preserve">         </w:t>
                            </w:r>
                          </w:p>
                          <w:p/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504pt;height:71.1pt;z-index:1;mso-wrap-distance-left:9pt;mso-wrap-distance-top:0pt;mso-wrap-distance-right:9pt;mso-wrap-distance-bottom:0pt;margin-left:7.5pt;margin-top:1.6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r>
                        <w:t xml:space="preserve">  </w:t>
                      </w:r>
                    </w:p>
                    <w:p>
                      <w:r>
                        <w:t xml:space="preserve">         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spacing w:lineRule="auto" w:line="2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250 •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851" w:right="851" w:top="851" w:bottom="85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 260 ЛП12 150908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 260 ЛП12 150908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565466AD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05D05B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3A3113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108898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B7197E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EF5ECE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DDB0E1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E5EC98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0DE270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1501DC4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A518C0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D97DD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54F51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13AC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1A7A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F5DB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C46D7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97383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73450EB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73F684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53917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72B37A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998A94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E1CFFC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916CF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2AA4E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57671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7BCF5A2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05628B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F16DFB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A63105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792C7D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255909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C7422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B4B5E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8DF06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4AD701D4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330F1D8B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22A5E49C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0E1BD652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07854A05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6C783270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292054A9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50170E91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5839B14B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040356A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6D52DCA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C06E7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8D1E5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8D23D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B5372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853B7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79101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328F6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2077EA2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F29300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C45D6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86117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771D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46F3F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9E86D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0BB4F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E08A0D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71C7474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A9ECBE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BEC5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83ED3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8DB2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5EF65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8C8A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1ED9F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B54FE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2008-09-15T06:39:00Z</dcterms:created>
  <cp:lastModifiedBy>Nikola Kapetanovic</cp:lastModifiedBy>
  <cp:lastPrinted>2008-09-10T09:07:00Z</cp:lastPrinted>
  <dcterms:modified xsi:type="dcterms:W3CDTF">2020-01-09T15:40:00Z</dcterms:modified>
  <cp:revision>4</cp:revision>
  <dc:title>Промет робе у трговини на мало у Републици Србији, јануар 2003</dc:title>
</cp:coreProperties>
</file>