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B16774" Type="http://schemas.openxmlformats.org/officeDocument/2006/relationships/officeDocument" Target="/word/document.xml" /><Relationship Id="coreR4EB1677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228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.0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228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</w:t>
      </w:r>
      <w:r>
        <w:rPr>
          <w:rFonts w:ascii="Arial" w:hAnsi="Arial"/>
          <w:b w:val="1"/>
          <w:sz w:val="28"/>
        </w:rPr>
        <w:t>јуну</w:t>
      </w:r>
      <w:r>
        <w:rPr>
          <w:rFonts w:ascii="Arial" w:hAnsi="Arial"/>
          <w:b w:val="1"/>
          <w:sz w:val="28"/>
        </w:rPr>
        <w:t xml:space="preserve">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– Претходни резултати –</w:t>
      </w:r>
    </w:p>
    <w:p>
      <w:pPr>
        <w:jc w:val="center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основу броја дозвола издатих у јуну 2008. уочава се да је пријављена изградња 1719 станова с просечном површином 67,1 m². Број станова, према издатим дозволама, мало је већи него у јуну 2007. и износи 0,4%. Од укупног броја станова у стамбеним зградама, 12,3% станова биће грађено у зградама с једним станом, с просечном површином 128,3 m², а 82,1% станова биће грађено у зградама с три и више станова, и њихова просечна површина биће знатно мања и износиће 57,2 m².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јуну 2008. издато је 895 грађевинских дозвола, што је за 9,4% мање у односу на јун претходне године, док је тај број у периоду од јануара до јуна 2008. мањи за 1,7% у односу на исти период у 2007. Индекс предвиђене вредности у јуну 2008. већи је за 3,7% у односу на јун 2007.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према врсти грађевина, у јуну 2008. издато је 77,8% дозвола за зграде и 22,2% за остале грађевине. Ако се посматрају само зграде, 76,0% односи се на стамбене и 24,0% на нестамбене зграде, док се код осталих грађевина највећи део односи на цевоводе, комуникационе и електричне водове, чак 82,9%.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Предвиђена вредност радова новоградње у јуну 2008. износи 67,9% од укупно предвиђене вредности радова. Посматрано према окрузима, највећа грађевинска активност забележена је у граду Београду и износи 23,3%, затим у Сремском округу 18,0% и Јужнобачком округу 11,2%. Следе Рашки округ са 8,1% и Нишавски са 5,5% од предвиђене вредности радова новоградње, док су учешћа осталих округа мала и крећу се од 0,4% до 4,8%.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"http://www.stat.gov."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www.stat.gov.rs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</w:t>
      </w:r>
    </w:p>
    <w:tbl>
      <w:tblPr>
        <w:tblStyle w:val="T2"/>
        <w:tblpPr w:leftFromText="181" w:rightFromText="181" w:tblpX="1" w:tblpY="131" w:horzAnchor="margin" w:vertAnchor="text" w:tblpXSpec="center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818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I–VI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I–VI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VI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V  2008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VI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VI 2007</w:t>
            </w:r>
          </w:p>
        </w:tc>
        <w:tc>
          <w:tcPr>
            <w:tcW w:w="15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VI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119,4</w:t>
            </w:r>
          </w:p>
        </w:tc>
      </w:tr>
      <w:tr>
        <w:trPr>
          <w:wAfter w:w="0" w:type="dxa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113,1</w:t>
            </w: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83,2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76,8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178,5</w:t>
            </w:r>
          </w:p>
        </w:tc>
      </w:tr>
      <w:tr>
        <w:trPr>
          <w:wAfter w:w="0" w:type="dxa"/>
        </w:trPr>
        <w:tc>
          <w:tcPr>
            <w:tcW w:w="381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0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117,1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124,5</w:t>
            </w:r>
          </w:p>
        </w:tc>
      </w:tr>
      <w:tr>
        <w:trPr>
          <w:wAfter w:w="0" w:type="dxa"/>
        </w:trPr>
        <w:tc>
          <w:tcPr>
            <w:tcW w:w="2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5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115,3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15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126,0</w:t>
            </w:r>
          </w:p>
        </w:tc>
      </w:tr>
    </w:tbl>
    <w:p>
      <w:pPr>
        <w:pStyle w:val="P8"/>
      </w:pPr>
      <w:r>
        <w:drawing>
          <wp:inline xmlns:wp="http://schemas.openxmlformats.org/drawingml/2006/wordprocessingDrawing">
            <wp:extent cx="5847715" cy="27559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755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 према Закону о планирању и изградњи („Службени гласник Републике Србије“, бр. 47/2003, чл. 89) издају одобрења за изградњу, пријаве почетка радова и употребне дозволе.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како на државном нивоу, тако и на нивоу локалне самоуправе.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rPr>
          <w:sz w:val="20"/>
        </w:rPr>
      </w:pPr>
      <w:r>
        <w:rPr>
          <w:b w:val="1"/>
          <w:i w:val="1"/>
          <w:sz w:val="20"/>
        </w:rPr>
        <w:tab/>
        <w:tab/>
      </w:r>
      <w:r>
        <w:rPr>
          <w:b w:val="1"/>
          <w:sz w:val="20"/>
        </w:rPr>
        <w:t>Бруто површина зграде (</w:t>
      </w:r>
      <w:r>
        <w:rPr>
          <w:b w:val="1"/>
          <w:sz w:val="20"/>
        </w:rPr>
        <w:t>m²</w:t>
      </w:r>
      <w:r>
        <w:rPr>
          <w:b w:val="1"/>
          <w:sz w:val="20"/>
        </w:rPr>
        <w:t xml:space="preserve">) </w:t>
      </w:r>
      <w:r>
        <w:rPr>
          <w:sz w:val="20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Корисна површина стана</w:t>
      </w:r>
      <w:r>
        <w:rPr>
          <w:rFonts w:ascii="Arial" w:hAnsi="Arial"/>
          <w:sz w:val="20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Предвиђена вредност радова </w:t>
      </w:r>
      <w:r>
        <w:rPr>
          <w:rFonts w:ascii="Arial" w:hAnsi="Arial"/>
          <w:sz w:val="20"/>
        </w:rPr>
        <w:t>представља планирану вредност радова на грађевини.</w:t>
      </w:r>
    </w:p>
    <w:p>
      <w:pPr>
        <w:ind w:firstLine="720"/>
        <w:jc w:val="both"/>
        <w:rPr>
          <w:rStyle w:val="C5"/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>Детаљна методолошка објашњења овог истраживања налазе се у едицији РЗСС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www.stat.gov.rs </w:t>
        <w:br w:type="textWrapping"/>
        <w:t xml:space="preserve">Одговара: др Драган Вукмировић, директор </w:t>
        <w:br w:type="textWrapping"/>
        <w:t>Tираж: 150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228 ГР</w:t>
    </w:r>
    <w:r>
      <w:rPr>
        <w:rFonts w:ascii="Arial" w:hAnsi="Arial"/>
        <w:sz w:val="16"/>
      </w:rPr>
      <w:t>30 120808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spacing w:before="60"/>
        <w:rPr>
          <w:rFonts w:ascii="Arial" w:hAnsi="Arial"/>
          <w:sz w:val="15"/>
        </w:rPr>
      </w:pPr>
      <w:r>
        <w:rPr>
          <w:rStyle w:val="C3"/>
          <w:rFonts w:ascii="Times New Roman" w:hAnsi="Times New Roman"/>
          <w:sz w:val="15"/>
        </w:rPr>
        <w:footnoteRef/>
      </w:r>
      <w:r>
        <w:rPr>
          <w:rFonts w:ascii="Arial" w:hAnsi="Arial"/>
          <w:sz w:val="15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141C07D9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20525A68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7B99E5D0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05DE326E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7C7BE8BC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786DC855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6D12ABE0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752D136F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4C471039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6707F2A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DEF0A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45F55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F84F6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FB52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8705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0D070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CB74B9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28B63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paragraph" w:styleId="P15">
    <w:name w:val="Balloon Text"/>
    <w:basedOn w:val="P0"/>
    <w:next w:val="P1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2008-08-12T12:26:00Z</dcterms:created>
  <cp:lastModifiedBy>Nikola Kapetanovic</cp:lastModifiedBy>
  <cp:lastPrinted>2008-08-12T12:26:00Z</cp:lastPrinted>
  <dcterms:modified xsi:type="dcterms:W3CDTF">2020-01-09T15:40:00Z</dcterms:modified>
  <cp:revision>4</cp:revision>
  <dc:title>Република Србија</dc:title>
</cp:coreProperties>
</file>