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4DE361" Type="http://schemas.openxmlformats.org/officeDocument/2006/relationships/officeDocument" Target="/word/document.xml" /><Relationship Id="coreR24DE36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171 • год. </w:t>
            </w:r>
            <w:r>
              <w:rPr>
                <w:rFonts w:ascii="Arial" w:hAnsi="Arial"/>
                <w:b w:val="1"/>
                <w:sz w:val="22"/>
              </w:rPr>
              <w:t xml:space="preserve">LVIII, </w:t>
            </w:r>
            <w:r>
              <w:rPr>
                <w:rFonts w:ascii="Arial" w:hAnsi="Arial"/>
                <w:b w:val="1"/>
                <w:sz w:val="22"/>
              </w:rPr>
              <w:t>26</w:t>
            </w:r>
            <w:r>
              <w:rPr>
                <w:rFonts w:ascii="Arial" w:hAnsi="Arial"/>
                <w:b w:val="1"/>
                <w:sz w:val="22"/>
              </w:rPr>
              <w:t>.06.2008.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ИА0</w:t>
            </w:r>
            <w:r>
              <w:rPr>
                <w:rFonts w:ascii="Arial" w:hAnsi="Arial"/>
                <w:b w:val="1"/>
                <w:sz w:val="72"/>
              </w:rPr>
              <w:t>1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иновативне активности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71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ИА0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260608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ind w:left="1304"/>
        <w:jc w:val="both"/>
        <w:rPr>
          <w:rFonts w:ascii="Arial" w:hAnsi="Arial"/>
          <w:sz w:val="20"/>
        </w:rPr>
      </w:pPr>
    </w:p>
    <w:p>
      <w:pPr>
        <w:spacing w:before="120"/>
        <w:jc w:val="center"/>
        <w:rPr>
          <w:rFonts w:ascii="Arial" w:hAnsi="Arial"/>
          <w:b w:val="1"/>
          <w:sz w:val="28"/>
        </w:rPr>
      </w:pPr>
    </w:p>
    <w:p>
      <w:pPr>
        <w:spacing w:before="12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 xml:space="preserve">Иновационе активности предузећа у </w:t>
      </w:r>
      <w:r>
        <w:rPr>
          <w:rFonts w:ascii="Arial" w:hAnsi="Arial"/>
          <w:b w:val="1"/>
          <w:sz w:val="28"/>
        </w:rPr>
        <w:t>Р</w:t>
      </w:r>
      <w:r>
        <w:rPr>
          <w:rFonts w:ascii="Arial" w:hAnsi="Arial"/>
          <w:b w:val="1"/>
          <w:sz w:val="28"/>
        </w:rPr>
        <w:t>епублици Србији,</w:t>
      </w:r>
    </w:p>
    <w:p>
      <w:pPr>
        <w:spacing w:before="12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2004</w:t>
      </w:r>
      <w:r>
        <w:rPr>
          <w:rFonts w:ascii="Arial" w:hAnsi="Arial"/>
          <w:b w:val="1"/>
          <w:sz w:val="28"/>
        </w:rPr>
        <w:t xml:space="preserve"> – 2006.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Републички завод за статистику Србије објављује податке о иновационим активностима предузећа који се односе на период 2004 – 2006. године, а добијени су на основу спроведеног пилот истраживања (ИНОВ). Овим истраживањем добијени су подаци о активностима предузећа на иновацијама производа, иновацијама процеса, иновацијама у организацији предузећа и иновацијама у маркетингу. Већина података се односи на нове или знатно побољшане производе и услуге, примену нових или знатно побољшаних процеса, логистике и начина дистрибуције. </w:t>
      </w:r>
    </w:p>
    <w:p>
      <w:pPr>
        <w:suppressLineNumbers w:val="1"/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табелама су приказане основне карактеристике и активности предузећа, према њиховој величини (мала,средња и велика предузећа) и процентуална заступљеност добијених одговора.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основу анализе добијених података, уочава се да је највећи интензитет иновација постигнут у самој организацији предузећа (у 57.34% предузећа), а најмањи у маркетингу (у 28.81% предузећа). Иновације у производима/услугама (47.09%) и процесима (46.81%) су готово исте.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Највећи број предузећа која су имала иновативну активност припада областима делатности услуга (38.45%) и производње (37.44%).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Када се посматра тржиште на којем су предузећа продавала своје производе/услуге, највеће је учешће локалног-регионалног тржишта у Србији, чак 92.52%, а као главни купци/корисници производа/услуга, наведена су друга предузећа (64.5%).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Од укупног прихода, за иновације се издваја 6.22%, од тога је највећи део коришћен за набавку машина и опреме (5.38% укупних прихода), што је очекивано, с обзиром да је просечна старост опреме у предузећима већа од 10 година, у 31.12% предузећа.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Као најзначајнији извор информација о потребама иновирања предузећа су навела информације добијене унутар самог предузећа или групе којој оно припада (22,99% предузећа), а као најзначајнији отежавајући фактор за иновирање представља недостатак финансијске подршке из јавних фондова (34.07% предузећа).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Најзначајнији ефекат уведених иновација у организацији предузећа јесте побољшан квалитет производа и услуга у 28.25% предузећа.</w:t>
      </w:r>
    </w:p>
    <w:p>
      <w:pPr>
        <w:rPr>
          <w:rFonts w:ascii="Arial" w:hAnsi="Arial"/>
        </w:rPr>
      </w:pPr>
    </w:p>
    <w:p>
      <w:pPr>
        <w:jc w:val="center"/>
        <w:rPr>
          <w:rFonts w:ascii="Arial" w:hAnsi="Arial"/>
        </w:rPr>
      </w:pPr>
      <w:r>
        <w:drawing>
          <wp:inline xmlns:wp="http://schemas.openxmlformats.org/drawingml/2006/wordprocessingDrawing">
            <wp:extent cx="5790565" cy="25114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790565" cy="25114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Т1. </w:t>
      </w:r>
      <w:r>
        <w:rPr>
          <w:rFonts w:ascii="Arial" w:hAnsi="Arial"/>
          <w:b w:val="1"/>
          <w:sz w:val="20"/>
        </w:rPr>
        <w:t>И</w:t>
      </w:r>
      <w:r>
        <w:rPr>
          <w:rFonts w:ascii="Arial" w:hAnsi="Arial"/>
          <w:b w:val="1"/>
          <w:sz w:val="20"/>
        </w:rPr>
        <w:t xml:space="preserve">новационе активности </w:t>
      </w:r>
      <w:r>
        <w:rPr>
          <w:rFonts w:ascii="Arial" w:hAnsi="Arial"/>
          <w:b w:val="1"/>
          <w:sz w:val="20"/>
        </w:rPr>
        <w:t xml:space="preserve">према областима делатности, </w:t>
      </w:r>
      <w:r>
        <w:rPr>
          <w:rFonts w:ascii="Arial" w:hAnsi="Arial"/>
          <w:b w:val="1"/>
          <w:sz w:val="20"/>
        </w:rPr>
        <w:t xml:space="preserve">                                                                    </w:t>
      </w:r>
      <w:r>
        <w:rPr>
          <w:rFonts w:ascii="Arial" w:hAnsi="Arial"/>
          <w:b w:val="1"/>
          <w:sz w:val="20"/>
        </w:rPr>
        <w:t>величини предузећа и врсти иновације</w:t>
      </w:r>
    </w:p>
    <w:p>
      <w:pPr>
        <w:rPr>
          <w:rFonts w:ascii="Arial" w:hAnsi="Arial"/>
          <w:b w:val="1"/>
          <w:sz w:val="6"/>
        </w:rPr>
      </w:pPr>
    </w:p>
    <w:tbl>
      <w:tblPr>
        <w:tblStyle w:val="T3"/>
        <w:tblW w:w="8930" w:type="dxa"/>
        <w:jc w:val="center"/>
        <w:tblLayout w:type="fixed"/>
      </w:tblPr>
      <w:tblGrid/>
      <w:tr>
        <w:trPr>
          <w:wAfter w:w="0" w:type="dxa"/>
        </w:trPr>
        <w:tc>
          <w:tcPr>
            <w:tcW w:w="2084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Области делатности (NACE 2003), величина предузећа</w:t>
            </w:r>
          </w:p>
        </w:tc>
        <w:tc>
          <w:tcPr>
            <w:tcW w:w="117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Укупан број предузећа</w:t>
            </w:r>
          </w:p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%</w:t>
            </w:r>
          </w:p>
        </w:tc>
        <w:tc>
          <w:tcPr>
            <w:tcW w:w="5675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Од тога предузећа која су увела иновације:               (у %)</w:t>
            </w:r>
          </w:p>
        </w:tc>
      </w:tr>
      <w:tr>
        <w:trPr>
          <w:wAfter w:w="0" w:type="dxa"/>
        </w:trPr>
        <w:tc>
          <w:tcPr>
            <w:tcW w:w="2084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71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64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производа/услуге</w:t>
            </w:r>
          </w:p>
        </w:tc>
        <w:tc>
          <w:tcPr>
            <w:tcW w:w="116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процеса</w:t>
            </w:r>
          </w:p>
        </w:tc>
        <w:tc>
          <w:tcPr>
            <w:tcW w:w="152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 организацији предузећа</w:t>
            </w:r>
          </w:p>
        </w:tc>
        <w:tc>
          <w:tcPr>
            <w:tcW w:w="134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 маркетингу</w:t>
            </w:r>
          </w:p>
        </w:tc>
      </w:tr>
      <w:tr>
        <w:trPr>
          <w:wAfter w:w="0" w:type="dxa"/>
        </w:trPr>
        <w:tc>
          <w:tcPr>
            <w:tcW w:w="20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7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64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6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4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1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100 </w:t>
            </w:r>
          </w:p>
        </w:tc>
        <w:tc>
          <w:tcPr>
            <w:tcW w:w="164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47.09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46.81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57.34</w:t>
            </w:r>
          </w:p>
        </w:tc>
        <w:tc>
          <w:tcPr>
            <w:tcW w:w="1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28.81</w:t>
            </w:r>
          </w:p>
        </w:tc>
      </w:tr>
      <w:tr>
        <w:trPr>
          <w:wAfter w:w="0" w:type="dxa"/>
        </w:trPr>
        <w:tc>
          <w:tcPr>
            <w:tcW w:w="20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Области делатности   предузећа</w:t>
            </w:r>
          </w:p>
        </w:tc>
        <w:tc>
          <w:tcPr>
            <w:tcW w:w="11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64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01 – 14  пољопривреда, вађење руда и камена</w:t>
            </w:r>
          </w:p>
        </w:tc>
        <w:tc>
          <w:tcPr>
            <w:tcW w:w="11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7.20</w:t>
            </w:r>
          </w:p>
        </w:tc>
        <w:tc>
          <w:tcPr>
            <w:tcW w:w="164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26.92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38.46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15.38</w:t>
            </w:r>
          </w:p>
        </w:tc>
      </w:tr>
      <w:tr>
        <w:trPr>
          <w:wAfter w:w="0" w:type="dxa"/>
        </w:trPr>
        <w:tc>
          <w:tcPr>
            <w:tcW w:w="20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 – 37  производња</w:t>
            </w:r>
          </w:p>
        </w:tc>
        <w:tc>
          <w:tcPr>
            <w:tcW w:w="11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37.44</w:t>
            </w:r>
          </w:p>
        </w:tc>
        <w:tc>
          <w:tcPr>
            <w:tcW w:w="164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57.14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55.64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62.41</w:t>
            </w:r>
          </w:p>
        </w:tc>
        <w:tc>
          <w:tcPr>
            <w:tcW w:w="1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39.85</w:t>
            </w:r>
          </w:p>
        </w:tc>
      </w:tr>
      <w:tr>
        <w:trPr>
          <w:wAfter w:w="0" w:type="dxa"/>
        </w:trPr>
        <w:tc>
          <w:tcPr>
            <w:tcW w:w="20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 – 41 електрична енергија, гас и вода</w:t>
            </w:r>
          </w:p>
        </w:tc>
        <w:tc>
          <w:tcPr>
            <w:tcW w:w="11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3.05</w:t>
            </w:r>
          </w:p>
        </w:tc>
        <w:tc>
          <w:tcPr>
            <w:tcW w:w="164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45.45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45.45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72.73</w:t>
            </w:r>
          </w:p>
        </w:tc>
        <w:tc>
          <w:tcPr>
            <w:tcW w:w="1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9.09</w:t>
            </w:r>
          </w:p>
        </w:tc>
      </w:tr>
      <w:tr>
        <w:trPr>
          <w:wAfter w:w="0" w:type="dxa"/>
        </w:trPr>
        <w:tc>
          <w:tcPr>
            <w:tcW w:w="20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  грађевинарство</w:t>
            </w:r>
          </w:p>
        </w:tc>
        <w:tc>
          <w:tcPr>
            <w:tcW w:w="11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6.93</w:t>
            </w:r>
          </w:p>
        </w:tc>
        <w:tc>
          <w:tcPr>
            <w:tcW w:w="164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20.00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28.00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56.00</w:t>
            </w:r>
          </w:p>
        </w:tc>
        <w:tc>
          <w:tcPr>
            <w:tcW w:w="1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4.00</w:t>
            </w:r>
          </w:p>
        </w:tc>
      </w:tr>
      <w:tr>
        <w:trPr>
          <w:wAfter w:w="0" w:type="dxa"/>
        </w:trPr>
        <w:tc>
          <w:tcPr>
            <w:tcW w:w="20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 – 74  услуге (остале пословне делатности)</w:t>
            </w:r>
          </w:p>
        </w:tc>
        <w:tc>
          <w:tcPr>
            <w:tcW w:w="11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38.45</w:t>
            </w:r>
          </w:p>
        </w:tc>
        <w:tc>
          <w:tcPr>
            <w:tcW w:w="164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45.26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44.53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58.39</w:t>
            </w:r>
          </w:p>
        </w:tc>
        <w:tc>
          <w:tcPr>
            <w:tcW w:w="1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29.20</w:t>
            </w:r>
          </w:p>
        </w:tc>
      </w:tr>
      <w:tr>
        <w:trPr>
          <w:wAfter w:w="0" w:type="dxa"/>
        </w:trPr>
        <w:tc>
          <w:tcPr>
            <w:tcW w:w="20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 – 93  државна управа, здравство, образовање и сл.</w:t>
            </w:r>
          </w:p>
        </w:tc>
        <w:tc>
          <w:tcPr>
            <w:tcW w:w="11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6.93</w:t>
            </w:r>
          </w:p>
        </w:tc>
        <w:tc>
          <w:tcPr>
            <w:tcW w:w="164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56.00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48.00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36.00</w:t>
            </w:r>
          </w:p>
        </w:tc>
        <w:tc>
          <w:tcPr>
            <w:tcW w:w="1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20.00</w:t>
            </w:r>
          </w:p>
        </w:tc>
      </w:tr>
      <w:tr>
        <w:trPr>
          <w:wAfter w:w="0" w:type="dxa"/>
        </w:trPr>
        <w:tc>
          <w:tcPr>
            <w:tcW w:w="20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</w:p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Величина предузећа</w:t>
            </w:r>
          </w:p>
        </w:tc>
        <w:tc>
          <w:tcPr>
            <w:tcW w:w="11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</w:p>
        </w:tc>
        <w:tc>
          <w:tcPr>
            <w:tcW w:w="164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0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– 49 запослених</w:t>
            </w:r>
          </w:p>
        </w:tc>
        <w:tc>
          <w:tcPr>
            <w:tcW w:w="11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40.72</w:t>
            </w:r>
          </w:p>
        </w:tc>
        <w:tc>
          <w:tcPr>
            <w:tcW w:w="164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31.97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34.01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49.66</w:t>
            </w:r>
          </w:p>
        </w:tc>
        <w:tc>
          <w:tcPr>
            <w:tcW w:w="1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23.81</w:t>
            </w:r>
          </w:p>
        </w:tc>
      </w:tr>
      <w:tr>
        <w:trPr>
          <w:wAfter w:w="0" w:type="dxa"/>
        </w:trPr>
        <w:tc>
          <w:tcPr>
            <w:tcW w:w="20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 – 249 запослених</w:t>
            </w:r>
          </w:p>
        </w:tc>
        <w:tc>
          <w:tcPr>
            <w:tcW w:w="11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37.12</w:t>
            </w:r>
          </w:p>
        </w:tc>
        <w:tc>
          <w:tcPr>
            <w:tcW w:w="164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58.96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56.72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65.67</w:t>
            </w:r>
          </w:p>
        </w:tc>
        <w:tc>
          <w:tcPr>
            <w:tcW w:w="1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29.85</w:t>
            </w:r>
          </w:p>
        </w:tc>
      </w:tr>
      <w:tr>
        <w:trPr>
          <w:wAfter w:w="0" w:type="dxa"/>
        </w:trPr>
        <w:tc>
          <w:tcPr>
            <w:tcW w:w="20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више од 250 запослених</w:t>
            </w:r>
          </w:p>
        </w:tc>
        <w:tc>
          <w:tcPr>
            <w:tcW w:w="11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22.16</w:t>
            </w:r>
          </w:p>
        </w:tc>
        <w:tc>
          <w:tcPr>
            <w:tcW w:w="164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55.00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53.75</w:t>
            </w:r>
          </w:p>
        </w:tc>
        <w:tc>
          <w:tcPr>
            <w:tcW w:w="15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57.50</w:t>
            </w:r>
          </w:p>
        </w:tc>
        <w:tc>
          <w:tcPr>
            <w:tcW w:w="13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36.25</w:t>
            </w:r>
          </w:p>
        </w:tc>
      </w:tr>
    </w:tbl>
    <w:p>
      <w:pPr>
        <w:spacing w:before="120"/>
        <w:jc w:val="center"/>
        <w:rPr>
          <w:rFonts w:ascii="Arial" w:hAnsi="Arial"/>
          <w:b w:val="1"/>
          <w:sz w:val="18"/>
        </w:rPr>
      </w:pPr>
      <w:r>
        <w:drawing>
          <wp:inline xmlns:wp="http://schemas.openxmlformats.org/drawingml/2006/wordprocessingDrawing">
            <wp:extent cx="2516505" cy="156400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5640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>
        <w:drawing>
          <wp:inline xmlns:wp="http://schemas.openxmlformats.org/drawingml/2006/wordprocessingDrawing">
            <wp:extent cx="2564130" cy="160591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6059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Т 2. Општи подаци о предузећима и иновативним активностима</w:t>
      </w:r>
    </w:p>
    <w:p>
      <w:pPr>
        <w:ind w:left="360"/>
        <w:rPr>
          <w:rFonts w:ascii="Arial" w:hAnsi="Arial"/>
          <w:b w:val="1"/>
          <w:sz w:val="6"/>
        </w:rPr>
      </w:pPr>
    </w:p>
    <w:tbl>
      <w:tblPr>
        <w:tblStyle w:val="T3"/>
        <w:tblW w:w="0" w:type="auto"/>
        <w:jc w:val="center"/>
        <w:tblLayout w:type="autofit"/>
      </w:tblPr>
      <w:tblGrid/>
      <w:tr>
        <w:trPr>
          <w:wAfter w:w="0" w:type="dxa"/>
          <w:trHeight w:hRule="atLeast" w:val="341"/>
        </w:trPr>
        <w:tc>
          <w:tcPr>
            <w:tcW w:w="408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  <w:p>
            <w:pPr>
              <w:spacing w:lineRule="auto" w:line="223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У%</w:t>
            </w:r>
          </w:p>
        </w:tc>
        <w:tc>
          <w:tcPr>
            <w:tcW w:w="12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Мала</w:t>
            </w:r>
          </w:p>
          <w:p>
            <w:pPr>
              <w:spacing w:lineRule="auto" w:line="223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У%</w:t>
            </w:r>
          </w:p>
        </w:tc>
        <w:tc>
          <w:tcPr>
            <w:tcW w:w="12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Средња</w:t>
            </w:r>
          </w:p>
          <w:p>
            <w:pPr>
              <w:spacing w:lineRule="auto" w:line="223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У%</w:t>
            </w:r>
          </w:p>
        </w:tc>
        <w:tc>
          <w:tcPr>
            <w:tcW w:w="12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Велика</w:t>
            </w:r>
          </w:p>
          <w:p>
            <w:pPr>
              <w:spacing w:lineRule="auto" w:line="223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У%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Предузећа која су део групе предузећа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30.19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25.17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29.10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41.25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Предузећа која су део групе предузећа и имају управу у иностранству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33.94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44.95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30.77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24.24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Продају робу на локалном/регионалном тржишту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92.52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97.28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88.81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90.00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Продају робу на другим тржиштима ЕУ, ЕФТА  и/или ЕУ-ЦЦ земљама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30.19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23.81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32.09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38.75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Продају робу у другим државама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26.04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11.56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29.10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47.50</w:t>
            </w:r>
          </w:p>
        </w:tc>
      </w:tr>
      <w:tr>
        <w:trPr>
          <w:wAfter w:w="0" w:type="dxa"/>
        </w:trPr>
        <w:tc>
          <w:tcPr>
            <w:tcW w:w="8954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3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Учешће предузећа према величини у укупном приходу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Укупан приход у 2004.години    (у хиљ.дин.)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6.10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12.96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80.94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Укупан приход у 2005.години    (у хиљ.дин.)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6.78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12.48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80.74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Укупан приход у 2006.години    (у хиљ.дин.)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7.35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14.40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78.25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Укупан број запослених у 2006. години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2.59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12.53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84.87</w:t>
            </w:r>
          </w:p>
        </w:tc>
      </w:tr>
      <w:tr>
        <w:trPr>
          <w:wAfter w:w="0" w:type="dxa"/>
        </w:trPr>
        <w:tc>
          <w:tcPr>
            <w:tcW w:w="8954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3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Иновациона активност и трошкови у 2006.години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Предузећа ангажована у интерном истраживању и развоју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44.55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23.81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47.76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63.75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Трошкови интерног Р&amp;Д у 2006. години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0.17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0.11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0.33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Предузећа ангажована у екстерном Р&amp;Д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20.78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10.88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22.39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36.25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Трошкови екстерног Р&amp;Д у 2006. години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0.03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0.02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0.05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0.03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Предузећа која су набављала машине, опрему и софтвер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41.83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26.53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49.25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57.50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Трошкови набавке машина, опреме</w:t>
              <w:br w:type="textWrapping"/>
              <w:t xml:space="preserve"> и софтвера у 2006. години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5.38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0.29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2.59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6.37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Предузећа која су куповала остале облике  екстерног знања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19.39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12.93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20.90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28.75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Трошкови усвајања екстерног знања у 2006. години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0.03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0.02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0.18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0.015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Предузећа укључена у обуку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38.50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25.17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41.04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58.75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Предузећа ангажована на увођењу иновација на тржиште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30.19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18.37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35.07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43.75</w:t>
            </w:r>
          </w:p>
        </w:tc>
      </w:tr>
    </w:tbl>
    <w:p/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8954" w:type="dxa"/>
            <w:gridSpan w:val="5"/>
          </w:tcPr>
          <w:p>
            <w:pPr>
              <w:rPr>
                <w:rFonts w:ascii="Arial" w:hAnsi="Arial"/>
                <w:b w:val="1"/>
                <w:sz w:val="20"/>
              </w:rPr>
            </w:pPr>
          </w:p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Т 2. Општи подаци о предузећима и иновативним активностима </w:t>
            </w:r>
            <w:r>
              <w:rPr>
                <w:rFonts w:ascii="Arial" w:hAnsi="Arial"/>
                <w:b w:val="1"/>
                <w:sz w:val="20"/>
              </w:rPr>
              <w:t>(наставак)</w:t>
            </w:r>
          </w:p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8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У%</w:t>
            </w:r>
          </w:p>
        </w:tc>
        <w:tc>
          <w:tcPr>
            <w:tcW w:w="12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Мала</w:t>
            </w:r>
          </w:p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У%</w:t>
            </w:r>
          </w:p>
        </w:tc>
        <w:tc>
          <w:tcPr>
            <w:tcW w:w="12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Средња</w:t>
            </w:r>
          </w:p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У%</w:t>
            </w:r>
          </w:p>
        </w:tc>
        <w:tc>
          <w:tcPr>
            <w:tcW w:w="12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Велика</w:t>
            </w:r>
          </w:p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У%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Предузећа укључена у остале акзивности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18.01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13.61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17.91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26.25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Предузећа ангажована у иновационим активностима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48.75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32.65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56.72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65.00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Укупни трошкови иновација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6.22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0.65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4.82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7.01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Предузећа која су континуирано обављала активност интерног Р&amp;Д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22.99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10.20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26.12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41.25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Предузећа која су повремено била укључена  у активност интерног Р&amp;Д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18.56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13.61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21.64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22.50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Укупни трошкови иновација као део укупног прихода у 2006.години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6.22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0.65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4.82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7.01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Трошкови истраживања и развоја као део укупног прихода у 2006.години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0.20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0.13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0.37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0.17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Трошкови набавке машина, опреме и софтвера као део укупног прихода у 2006.години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5.38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0.29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2.59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6.37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Трошкови набавке екстерног знања као део укупног прихода у 2006.години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0.03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0.02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0.18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0.01</w:t>
            </w:r>
          </w:p>
        </w:tc>
      </w:tr>
    </w:tbl>
    <w:p>
      <w:pPr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8"/>
        </w:rPr>
        <w:br w:type="textWrapping"/>
      </w:r>
      <w:r>
        <w:rPr>
          <w:rFonts w:ascii="Arial" w:hAnsi="Arial"/>
          <w:b w:val="1"/>
          <w:sz w:val="16"/>
        </w:rPr>
        <w:t>Извори информација за иновационе активности у 2006.години</w:t>
      </w:r>
    </w:p>
    <w:p>
      <w:pPr>
        <w:jc w:val="center"/>
        <w:rPr>
          <w:rFonts w:ascii="Arial" w:hAnsi="Arial"/>
          <w:b w:val="1"/>
          <w:sz w:val="16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Унутар предузећа или групе којој припада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22.99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17.01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23.88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32.50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bookmarkStart w:id="1" w:name="RANGE!A65"/>
            <w:r>
              <w:rPr>
                <w:rFonts w:ascii="Arial" w:hAnsi="Arial"/>
                <w:sz w:val="16"/>
              </w:rPr>
              <w:t>Добављачи матерјала, опреме, компонената или софтвера</w:t>
            </w:r>
            <w:bookmarkEnd w:id="1"/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11.91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9.25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11.94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16.25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Клијенти или купци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16.62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10.20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20.90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21.25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Конкуренти или друга предузећа из истог сектора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9.70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8.84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6.72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16.25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Консултанти, агенције за пословна истраживања или приватне инстуције које се баве активностима (И&amp;Р)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6.93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4.76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6.72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11.25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Факултети и друге високошколске установе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5.82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1.36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5.22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15.00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Државни или јавни истраживачки институти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5.54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2.04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5.97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11.25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Конференције, сајмови, изложбе.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9.97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6.80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11.94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12.50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Научни часописи и комерцијалне/техничке публикације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10.80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7.48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13.43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12.50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Професионална и удружења из делатности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6.37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2.72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6.72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12.50</w:t>
            </w:r>
          </w:p>
        </w:tc>
      </w:tr>
    </w:tbl>
    <w:p>
      <w:pPr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8"/>
        </w:rPr>
        <w:br w:type="textWrapping"/>
      </w:r>
      <w:r>
        <w:rPr>
          <w:rFonts w:ascii="Arial" w:hAnsi="Arial"/>
          <w:b w:val="1"/>
          <w:sz w:val="16"/>
        </w:rPr>
        <w:t>Отежавајући фактори за иновационе активност 2006.години</w:t>
      </w:r>
      <w:r>
        <w:rPr>
          <w:rFonts w:ascii="Arial" w:hAnsi="Arial"/>
          <w:b w:val="1"/>
          <w:sz w:val="16"/>
        </w:rPr>
        <w:t xml:space="preserve"> </w:t>
      </w:r>
    </w:p>
    <w:p>
      <w:pPr>
        <w:jc w:val="center"/>
        <w:rPr>
          <w:rFonts w:ascii="Arial" w:hAnsi="Arial"/>
          <w:b w:val="1"/>
          <w:sz w:val="16"/>
        </w:rPr>
      </w:pPr>
    </w:p>
    <w:tbl>
      <w:tblPr>
        <w:tblStyle w:val="T3"/>
        <w:tblW w:w="0" w:type="auto"/>
        <w:jc w:val="center"/>
        <w:tblLayout w:type="autofit"/>
      </w:tblPr>
      <w:tblGrid/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Предузећа са прекинутим ИА у фази конципирања пројекта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8.86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4.08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11.19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13.75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Предузећа са прекинутим ИА након што су активности или пројекат почели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10.53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6.12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12.69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15.00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Предузећа са ИА које су озбиљно касниле  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13.57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7.48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14.93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22.50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Сагледани прекомерни економски ризици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18.01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16.33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19.40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18.75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Превисоки трошкови директних иновација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24.10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17.69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31.34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23.75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Трошкови финансирања иновација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29.36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23.81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33.58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32.50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Расположивост финансирања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26.04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21.09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31.34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26.25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Недостатак финансијске подршке из јавних фондова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34.07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28.57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40.30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33.75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Недостатак стручног персонала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9.70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8.16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14.93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Недовољна информисаност о технологији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5.54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6.80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4.48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5.00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Недовољна информисаност о тржиштима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4.43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4.76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3.73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5.00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Недовољни иновациони потенцијали (за истраживање и развој, дизајн итд)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10.25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14.29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8.96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5.00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Тешкоће у налажењу партнера за сарадњу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9.42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10.20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9.70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7.50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Одбојност запослених према променама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3.60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3.40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2.99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5.00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Одбојност руководства према променама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3.60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3.40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4.48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Тржишта у којима доминирају позиционирана предузећа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18.01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19.05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17.91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16.25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Неизвесна потражња за иновативном робом или услугама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16.34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16.33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15.67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17.50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Недостатак инфраструктуре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12.47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14.97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11.19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10.00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Слабости система заштите интелектуалне својине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13.02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14.977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13.43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Правна регулатива, поштовање стандарда, порези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13.02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16.33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10.45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11.25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Потреба да се поштују прописи Владе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10.25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11.56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8.96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10.00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Потреба да се поштују прописи ЕУ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10.53</w:t>
            </w:r>
          </w:p>
        </w:tc>
        <w:tc>
          <w:tcPr>
            <w:tcW w:w="12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10.20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8.96</w:t>
            </w:r>
          </w:p>
        </w:tc>
        <w:tc>
          <w:tcPr>
            <w:tcW w:w="12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13.75</w:t>
            </w:r>
          </w:p>
        </w:tc>
      </w:tr>
    </w:tbl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8954" w:type="dxa"/>
            <w:gridSpan w:val="5"/>
          </w:tcPr>
          <w:p>
            <w:pPr>
              <w:rPr>
                <w:rFonts w:ascii="Arial" w:hAnsi="Arial"/>
                <w:b w:val="1"/>
                <w:sz w:val="20"/>
              </w:rPr>
            </w:pPr>
          </w:p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Т 2. Општи подаци о предузећима и иновативним активностима </w:t>
            </w:r>
            <w:r>
              <w:rPr>
                <w:rFonts w:ascii="Arial" w:hAnsi="Arial"/>
                <w:b w:val="1"/>
                <w:sz w:val="20"/>
              </w:rPr>
              <w:t>(наставак)</w:t>
            </w:r>
          </w:p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08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У%</w:t>
            </w:r>
          </w:p>
        </w:tc>
        <w:tc>
          <w:tcPr>
            <w:tcW w:w="12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Мала</w:t>
            </w:r>
          </w:p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У%</w:t>
            </w:r>
          </w:p>
        </w:tc>
        <w:tc>
          <w:tcPr>
            <w:tcW w:w="12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Средња</w:t>
            </w:r>
          </w:p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У%</w:t>
            </w:r>
          </w:p>
        </w:tc>
        <w:tc>
          <w:tcPr>
            <w:tcW w:w="12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Велика</w:t>
            </w:r>
          </w:p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У%</w:t>
            </w:r>
          </w:p>
        </w:tc>
      </w:tr>
    </w:tbl>
    <w:p>
      <w:pPr>
        <w:jc w:val="center"/>
        <w:rPr>
          <w:rFonts w:ascii="Arial" w:hAnsi="Arial"/>
          <w:b w:val="1"/>
          <w:sz w:val="16"/>
        </w:rPr>
      </w:pPr>
    </w:p>
    <w:p>
      <w:pPr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Патенти и други облици заштите</w:t>
      </w:r>
    </w:p>
    <w:p>
      <w:pPr>
        <w:rPr>
          <w:rFonts w:ascii="Arial" w:hAnsi="Arial"/>
          <w:b w:val="1"/>
          <w:sz w:val="16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Пријаве патената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3.05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2.04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3.73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Пријаве малих патената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1.94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0.68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2.24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3.75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Заштита индустријског дизајна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4.43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2.72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2.99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10.00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Заштита жига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11.91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6.12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14.18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18.75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Заштита ауторског права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7.20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6.80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5.22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11.25</w:t>
            </w:r>
          </w:p>
        </w:tc>
      </w:tr>
    </w:tbl>
    <w:p>
      <w:pPr>
        <w:jc w:val="center"/>
        <w:rPr>
          <w:rFonts w:ascii="Arial" w:hAnsi="Arial"/>
          <w:b w:val="1"/>
          <w:sz w:val="16"/>
        </w:rPr>
      </w:pPr>
    </w:p>
    <w:p>
      <w:pPr>
        <w:jc w:val="center"/>
        <w:rPr>
          <w:rFonts w:ascii="Arial" w:hAnsi="Arial"/>
          <w:b w:val="1"/>
          <w:sz w:val="16"/>
        </w:rPr>
      </w:pPr>
    </w:p>
    <w:p>
      <w:pPr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Е</w:t>
      </w:r>
      <w:r>
        <w:rPr>
          <w:rFonts w:ascii="Arial" w:hAnsi="Arial"/>
          <w:b w:val="1"/>
          <w:sz w:val="16"/>
        </w:rPr>
        <w:t>фекти иновација у организацији</w:t>
      </w:r>
    </w:p>
    <w:p>
      <w:pPr>
        <w:rPr>
          <w:rFonts w:ascii="Arial" w:hAnsi="Arial"/>
          <w:b w:val="1"/>
          <w:sz w:val="16"/>
        </w:rPr>
      </w:pPr>
    </w:p>
    <w:p>
      <w:pPr>
        <w:rPr>
          <w:rFonts w:ascii="Arial" w:hAnsi="Arial"/>
          <w:b w:val="1"/>
          <w:sz w:val="16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Скраћено време потребно за реакцију на потребе купаца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19.11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17.01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22.39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17.50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Побољшан квалитет производа и услуга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28.25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25.85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29.10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31.25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Смањени трошкови по јединици производа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11.91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11.56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11.19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13.75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Повећано задовољство запослених и/или смањење степена флуктуације запослених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12.19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15.65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8.96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11.25</w:t>
            </w:r>
          </w:p>
        </w:tc>
      </w:tr>
    </w:tbl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Иноваци</w:t>
      </w:r>
      <w:r>
        <w:rPr>
          <w:rFonts w:ascii="Arial" w:hAnsi="Arial"/>
          <w:b w:val="1"/>
          <w:sz w:val="16"/>
        </w:rPr>
        <w:t>они</w:t>
      </w:r>
      <w:r>
        <w:rPr>
          <w:rFonts w:ascii="Arial" w:hAnsi="Arial"/>
          <w:b w:val="1"/>
          <w:sz w:val="16"/>
        </w:rPr>
        <w:t xml:space="preserve"> потенцијали – </w:t>
      </w:r>
      <w:r>
        <w:rPr>
          <w:rFonts w:ascii="Arial" w:hAnsi="Arial"/>
          <w:b w:val="1"/>
          <w:sz w:val="16"/>
        </w:rPr>
        <w:t xml:space="preserve">просечна </w:t>
      </w:r>
      <w:r>
        <w:rPr>
          <w:rFonts w:ascii="Arial" w:hAnsi="Arial"/>
          <w:b w:val="1"/>
          <w:sz w:val="16"/>
        </w:rPr>
        <w:t>старост опреме у предузећима</w:t>
      </w:r>
    </w:p>
    <w:p>
      <w:pPr>
        <w:rPr>
          <w:b w:val="1"/>
          <w:sz w:val="16"/>
        </w:rPr>
      </w:pPr>
    </w:p>
    <w:p>
      <w:pPr>
        <w:rPr>
          <w:b w:val="1"/>
          <w:sz w:val="16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Старија од 10 година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31.12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17.66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36.50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48.36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Између 5 и 10 година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17.87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20.10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17.22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14.56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Између 3 и 5 година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21.11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26.28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17.93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16.54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Између 1 и 3 године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22.47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28.46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20.52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13.98</w:t>
            </w:r>
          </w:p>
        </w:tc>
      </w:tr>
      <w:tr>
        <w:trPr>
          <w:wAfter w:w="0" w:type="dxa"/>
        </w:trPr>
        <w:tc>
          <w:tcPr>
            <w:tcW w:w="408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Није старија од 1 године</w:t>
            </w:r>
          </w:p>
        </w:tc>
        <w:tc>
          <w:tcPr>
            <w:tcW w:w="1218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7.43</w:t>
            </w:r>
          </w:p>
        </w:tc>
        <w:tc>
          <w:tcPr>
            <w:tcW w:w="12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7.50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7.83</w:t>
            </w:r>
          </w:p>
        </w:tc>
        <w:tc>
          <w:tcPr>
            <w:tcW w:w="1218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6.56</w:t>
            </w:r>
          </w:p>
        </w:tc>
      </w:tr>
    </w:tbl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</w:p>
    <w:p>
      <w:pPr>
        <w:jc w:val="center"/>
        <w:rPr>
          <w:rFonts w:ascii="Arial" w:hAnsi="Arial"/>
          <w:b w:val="1"/>
          <w:sz w:val="18"/>
        </w:rPr>
      </w:pPr>
      <w:r>
        <w:drawing>
          <wp:inline xmlns:wp="http://schemas.openxmlformats.org/drawingml/2006/wordprocessingDrawing">
            <wp:extent cx="5895340" cy="262763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895340" cy="26276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 Напомена     </w:t>
      </w:r>
    </w:p>
    <w:p>
      <w:pPr>
        <w:rPr>
          <w:rFonts w:ascii="Arial" w:hAnsi="Arial"/>
          <w:sz w:val="20"/>
        </w:rPr>
      </w:pPr>
    </w:p>
    <w:p>
      <w:pPr>
        <w:spacing w:before="60"/>
        <w:ind w:firstLine="72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sz w:val="20"/>
        </w:rPr>
        <w:t>Истраживање о иновационим активностима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спроведено је први пут, као пилот истраживање, са циљем да се сагледа реалан однос пословне политике предузаћа према иновационим активностима, у смислу информисаности предузећа о потребама и ефектима иновирања, постојећим капацитетима у предузећу као и факторима који су отежали или успорили ову врсту активности.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Добијени подаци показују врсту, обим и квалитет иновационе активности у предузећима.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Саопштењу су приказани подаци у процентима и односе се на учешће предузећа у појединим врстама активности.</w:t>
      </w:r>
    </w:p>
    <w:p>
      <w:pPr>
        <w:spacing w:before="60"/>
        <w:ind w:firstLine="720"/>
        <w:jc w:val="both"/>
        <w:rPr>
          <w:rFonts w:ascii="Arial" w:hAnsi="Arial"/>
          <w:b w:val="1"/>
          <w:sz w:val="20"/>
        </w:rPr>
      </w:pPr>
    </w:p>
    <w:p>
      <w:pPr>
        <w:spacing w:before="60"/>
        <w:ind w:firstLine="72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Методолошка објашњења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Истраживање је спроведено на бази узорка. Заступљене су све три величине предузећа: мала (10 – 49 запослнених), средња (50 – 249 запослених) и велика (250 и више запослених), а микро предузећа су искључена из посматрања. Узорак обухвата различите области делатности (укључен је и финансијски сектор, високо образовање и истраживачко-развојне организације – институти). 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При изради упитника коришћена је методологија EUROSTAT-а, дефиниције и методологија OECD-a, као и дефиниције из приручника: Oslo manual, Frascati manual. 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Дефиниције</w:t>
      </w:r>
      <w:r>
        <w:rPr>
          <w:rFonts w:ascii="Arial" w:hAnsi="Arial"/>
          <w:sz w:val="20"/>
        </w:rPr>
        <w:t>: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</w:p>
    <w:p>
      <w:pPr>
        <w:pStyle w:val="P12"/>
        <w:spacing w:before="60"/>
        <w:ind w:firstLine="720"/>
        <w:rPr>
          <w:sz w:val="20"/>
        </w:rPr>
      </w:pPr>
      <w:r>
        <w:rPr>
          <w:b w:val="1"/>
          <w:sz w:val="20"/>
        </w:rPr>
        <w:t>Иновација</w:t>
      </w:r>
      <w:r>
        <w:rPr>
          <w:sz w:val="20"/>
        </w:rPr>
        <w:t xml:space="preserve"> је примена новог или значајно побољшаног производа, процеса или услуге, или маркетиншке методе или нове организационе методе у пословању, организацији рада или односима предузећа са окружењем (OECD, Oslo manual, III ед., 2005)</w:t>
      </w:r>
    </w:p>
    <w:p>
      <w:pPr>
        <w:pStyle w:val="P12"/>
        <w:spacing w:before="60"/>
        <w:ind w:firstLine="720"/>
        <w:outlineLvl w:val="0"/>
        <w:rPr>
          <w:b w:val="1"/>
          <w:sz w:val="20"/>
        </w:rPr>
      </w:pPr>
      <w:r>
        <w:rPr>
          <w:b w:val="1"/>
          <w:sz w:val="20"/>
        </w:rPr>
        <w:t>Иновација производа и услуга</w:t>
      </w:r>
    </w:p>
    <w:p>
      <w:pPr>
        <w:pStyle w:val="P12"/>
        <w:spacing w:before="60"/>
        <w:ind w:firstLine="720"/>
        <w:rPr>
          <w:sz w:val="20"/>
        </w:rPr>
      </w:pPr>
      <w:r>
        <w:rPr>
          <w:sz w:val="20"/>
        </w:rPr>
        <w:t xml:space="preserve">Иновација производа је лансирање на тржиште </w:t>
      </w:r>
      <w:r>
        <w:rPr>
          <w:i w:val="1"/>
          <w:sz w:val="20"/>
        </w:rPr>
        <w:t>добара</w:t>
      </w:r>
      <w:r>
        <w:rPr>
          <w:sz w:val="20"/>
        </w:rPr>
        <w:t xml:space="preserve"> или </w:t>
      </w:r>
      <w:r>
        <w:rPr>
          <w:i w:val="1"/>
          <w:sz w:val="20"/>
        </w:rPr>
        <w:t>услуга</w:t>
      </w:r>
      <w:r>
        <w:rPr>
          <w:sz w:val="20"/>
        </w:rPr>
        <w:t xml:space="preserve"> са новим или знатно побољшаним карактеристикама или могућностима коришћења. Ово укључује значајна побољшања техничких карактеристика, компоненти и материјала, уграђеног софтвера, корисничке орјентисаности или других функционалних карактеристика (OECD, Oslo manual приручник, III ед., 2005).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Иновација би требало да буде </w:t>
      </w:r>
      <w:r>
        <w:rPr>
          <w:rFonts w:ascii="Arial" w:hAnsi="Arial"/>
          <w:b w:val="1"/>
          <w:sz w:val="20"/>
        </w:rPr>
        <w:t>нова за посматрано предузеће</w:t>
      </w:r>
      <w:r>
        <w:rPr>
          <w:rFonts w:ascii="Arial" w:hAnsi="Arial"/>
          <w:sz w:val="20"/>
        </w:rPr>
        <w:t xml:space="preserve">, а </w:t>
      </w:r>
      <w:r>
        <w:rPr>
          <w:rFonts w:ascii="Arial" w:hAnsi="Arial"/>
          <w:b w:val="1"/>
          <w:sz w:val="20"/>
        </w:rPr>
        <w:t>не мора нужно бити нова за тржиште</w:t>
      </w:r>
      <w:r>
        <w:rPr>
          <w:rFonts w:ascii="Arial" w:hAnsi="Arial"/>
          <w:sz w:val="20"/>
        </w:rPr>
        <w:t xml:space="preserve">. 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>Промене естетске природе</w:t>
      </w:r>
      <w:r>
        <w:rPr>
          <w:rFonts w:ascii="Arial" w:hAnsi="Arial"/>
          <w:sz w:val="20"/>
        </w:rPr>
        <w:t xml:space="preserve"> и </w:t>
      </w:r>
      <w:r>
        <w:rPr>
          <w:rFonts w:ascii="Arial" w:hAnsi="Arial"/>
          <w:i w:val="1"/>
          <w:sz w:val="20"/>
        </w:rPr>
        <w:t>искључиво продаја</w:t>
      </w:r>
      <w:r>
        <w:rPr>
          <w:rFonts w:ascii="Arial" w:hAnsi="Arial"/>
          <w:sz w:val="20"/>
        </w:rPr>
        <w:t xml:space="preserve"> иновираних производа које је произвело и развило друго предузеће </w:t>
      </w:r>
      <w:r>
        <w:rPr>
          <w:rFonts w:ascii="Arial" w:hAnsi="Arial"/>
          <w:b w:val="1"/>
          <w:sz w:val="20"/>
        </w:rPr>
        <w:t>не сматрају се иновацијом</w:t>
      </w:r>
      <w:r>
        <w:rPr>
          <w:rFonts w:ascii="Arial" w:hAnsi="Arial"/>
          <w:sz w:val="20"/>
        </w:rPr>
        <w:t>.</w:t>
      </w:r>
    </w:p>
    <w:p>
      <w:pPr>
        <w:pStyle w:val="P12"/>
        <w:spacing w:before="60"/>
        <w:ind w:firstLine="720"/>
        <w:rPr>
          <w:sz w:val="20"/>
        </w:rPr>
      </w:pPr>
      <w:r>
        <w:rPr>
          <w:sz w:val="20"/>
        </w:rPr>
        <w:t>„</w:t>
      </w:r>
      <w:r>
        <w:rPr>
          <w:b w:val="1"/>
          <w:sz w:val="20"/>
        </w:rPr>
        <w:t>Иновација процеса</w:t>
      </w:r>
      <w:r>
        <w:rPr>
          <w:sz w:val="20"/>
        </w:rPr>
        <w:t xml:space="preserve"> је имплеметација </w:t>
      </w:r>
      <w:r>
        <w:rPr>
          <w:b w:val="1"/>
          <w:sz w:val="20"/>
        </w:rPr>
        <w:t>новог или значајно побољшаног</w:t>
      </w:r>
      <w:r>
        <w:rPr>
          <w:sz w:val="20"/>
        </w:rPr>
        <w:t xml:space="preserve"> начина производње или испоруке. Ово укључује значајне промене у техници, опреми и/или софтверу.“ (OECD, Oslo manual, III ed., 2005.)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Иновација (нова или унапређена) мора бити </w:t>
      </w:r>
      <w:r>
        <w:rPr>
          <w:rFonts w:ascii="Arial" w:hAnsi="Arial"/>
          <w:b w:val="1"/>
          <w:sz w:val="20"/>
        </w:rPr>
        <w:t>нова за посматрано предузеће</w:t>
      </w:r>
      <w:r>
        <w:rPr>
          <w:rFonts w:ascii="Arial" w:hAnsi="Arial"/>
          <w:sz w:val="20"/>
        </w:rPr>
        <w:t xml:space="preserve">, а оно не мора нужно да буде прво које је увело тај процес. Није битно да ли је иновацију развило посматрано или неко друго предузеће. Искључиво </w:t>
      </w:r>
      <w:r>
        <w:rPr>
          <w:rFonts w:ascii="Arial" w:hAnsi="Arial"/>
          <w:b w:val="1"/>
          <w:sz w:val="20"/>
        </w:rPr>
        <w:t>организационе и менаџерске промене</w:t>
      </w:r>
      <w:r>
        <w:rPr>
          <w:rFonts w:ascii="Arial" w:hAnsi="Arial"/>
          <w:sz w:val="20"/>
        </w:rPr>
        <w:t xml:space="preserve"> се не сматрају иновацијом процеса.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Иновације у организацији </w:t>
      </w:r>
      <w:r>
        <w:rPr>
          <w:rFonts w:ascii="Arial" w:hAnsi="Arial"/>
          <w:sz w:val="20"/>
        </w:rPr>
        <w:t>предузећа је примена нових или знатних промена у структури или методама менаџмента, с намером да се у посматраном предузећу побољша коришћење знања, квалитета производа или услуга , или повећа ефикасност пословних токова. (ОЕCD, Oslo manual, III ed., 2005.)</w:t>
      </w:r>
    </w:p>
    <w:p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Маркетиншка иновација </w:t>
      </w:r>
      <w:r>
        <w:rPr>
          <w:rFonts w:ascii="Arial" w:hAnsi="Arial"/>
          <w:sz w:val="20"/>
        </w:rPr>
        <w:t>је примена нове маркетиншке методе, што укључује значајне промене у дизајну производа, паковању, пласману и промоцији производа и наплаћивању производа (ОЕCD, Oslo manual, III ed., 2005.).</w:t>
      </w: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www.statserb.sr.gov.yu </w:t>
        <w:br w:type="textWrapping"/>
        <w:t xml:space="preserve">Одговара: др Драган Вукмировић, директор </w:t>
        <w:br w:type="textWrapping"/>
        <w:t>Tираж: 150 • Периодика излажења: двогодишња</w:t>
      </w:r>
    </w:p>
    <w:p/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3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rPr>
        <w:rStyle w:val="C4"/>
        <w:rFonts w:ascii="Arial" w:hAnsi="Arial"/>
        <w:sz w:val="16"/>
      </w:rPr>
      <w:t>СРБ 171 ИА01 260608</w:t>
    </w:r>
    <w:r>
      <w:rPr>
        <w:rFonts w:ascii="Arial" w:hAnsi="Arial"/>
        <w:sz w:val="16"/>
      </w:rPr>
      <w:tab/>
    </w:r>
    <w:r>
      <w:rPr>
        <w:rStyle w:val="C4"/>
        <w:rFonts w:ascii="Arial" w:hAnsi="Arial"/>
        <w:sz w:val="16"/>
      </w:rPr>
      <w:tab/>
    </w:r>
    <w:r>
      <w:rPr>
        <w:rStyle w:val="C4"/>
        <w:rFonts w:ascii="Arial" w:hAnsi="Arial"/>
        <w:sz w:val="16"/>
      </w:rP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3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 171 ИА01 260608</w:t>
      <w:tab/>
    </w:r>
  </w:p>
</w:ftr>
</file>

<file path=word/numbering.xml><?xml version="1.0" encoding="utf-8"?>
<w:numbering xmlns:w="http://schemas.openxmlformats.org/wordprocessingml/2006/main">
  <w:abstractNum w:abstractNumId="0">
    <w:nsid w:val="049322F7"/>
    <w:multiLevelType w:val="hybridMultilevel"/>
    <w:lvl w:ilvl="0" w:tplc="5B1ABEE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50683131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7B7FD77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87DE95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AC3D72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D4A704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2790A5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71EE57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39EE321F"/>
    <w:multiLevelType w:val="hybridMultilevel"/>
    <w:lvl w:ilvl="0" w:tplc="703CD00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016A7F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BBDF8D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F84C40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B675B00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662CB4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4A0AB8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020918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3B57EC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3CC340A6"/>
    <w:multiLevelType w:val="hybridMultilevel"/>
    <w:lvl w:ilvl="0" w:tplc="2200478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19FA71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07D9DB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79A2F2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7FF227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54570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6C444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69B4D3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346D29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7E571AD5"/>
    <w:multiLevelType w:val="hybridMultilevel"/>
    <w:lvl w:ilvl="0" w:tplc="5799AC1D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228D942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5D8DA4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F31587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C8BBFE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429F9D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64F7D6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F06FBB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5ACCE7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2008-06-27T12:24:00Z</dcterms:created>
  <cp:lastModifiedBy>Nikola Kapetanovic</cp:lastModifiedBy>
  <cp:lastPrinted>2008-06-27T12:30:00Z</cp:lastPrinted>
  <dcterms:modified xsi:type="dcterms:W3CDTF">2020-01-09T15:39:59Z</dcterms:modified>
  <cp:revision>5</cp:revision>
  <dc:title>Република Србија</dc:title>
</cp:coreProperties>
</file>