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345242" Type="http://schemas.openxmlformats.org/officeDocument/2006/relationships/officeDocument" Target="/word/document.xml" /><Relationship Id="coreR2B34524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28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15.0</w:t>
            </w:r>
            <w:r>
              <w:rPr>
                <w:rFonts w:ascii="Arial" w:hAnsi="Arial"/>
                <w:b w:val="1"/>
              </w:rPr>
              <w:t>5</w:t>
            </w:r>
            <w:r>
              <w:rPr>
                <w:rFonts w:ascii="Arial" w:hAnsi="Arial"/>
                <w:b w:val="1"/>
              </w:rPr>
              <w:t>.2008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</w:t>
            </w:r>
            <w:r>
              <w:rPr>
                <w:rFonts w:ascii="Arial" w:hAnsi="Arial"/>
                <w:b w:val="1"/>
                <w:sz w:val="72"/>
              </w:rPr>
              <w:t>30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28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</w:t>
            </w:r>
            <w:r>
              <w:rPr>
                <w:b w:val="1"/>
                <w:sz w:val="20"/>
              </w:rPr>
              <w:t>30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150</w:t>
            </w:r>
            <w:r>
              <w:rPr>
                <w:b w:val="1"/>
                <w:sz w:val="20"/>
              </w:rPr>
              <w:t>5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Издате грађевинске дозволе</w:t>
      </w:r>
      <w:r>
        <w:rPr>
          <w:rFonts w:ascii="Arial" w:hAnsi="Arial"/>
          <w:b w:val="1"/>
          <w:sz w:val="28"/>
        </w:rPr>
        <w:t xml:space="preserve"> у Републици Србији</w:t>
      </w:r>
      <w:r>
        <w:rPr>
          <w:rStyle w:val="C3"/>
          <w:rFonts w:ascii="Times New Roman" w:hAnsi="Times New Roman"/>
          <w:b w:val="1"/>
          <w:sz w:val="28"/>
        </w:rPr>
        <w:footnoteReference w:id="0"/>
      </w:r>
      <w:r>
        <w:rPr>
          <w:rFonts w:ascii="Arial" w:hAnsi="Arial"/>
          <w:b w:val="1"/>
          <w:sz w:val="28"/>
        </w:rPr>
        <w:t xml:space="preserve"> у </w:t>
      </w:r>
      <w:r>
        <w:rPr>
          <w:rFonts w:ascii="Arial" w:hAnsi="Arial"/>
          <w:b w:val="1"/>
          <w:sz w:val="28"/>
        </w:rPr>
        <w:t>марту</w:t>
      </w:r>
      <w:r>
        <w:rPr>
          <w:rFonts w:ascii="Arial" w:hAnsi="Arial"/>
          <w:b w:val="1"/>
          <w:sz w:val="28"/>
        </w:rPr>
        <w:t xml:space="preserve"> 2008.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– Претходни резултати –</w:t>
      </w:r>
    </w:p>
    <w:p>
      <w:pPr>
        <w:jc w:val="center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основу броја дозвола издатих у марту 2008. уочава се да је пријављена изградња 1605 станова с просечном површином 65,1 m². Број  станова према издатим дозволама је за 13,2% већи него у марту 2007. Од укупног броја станова у стамбеним зградама, 12,1% станова биће грађено у зградама с једним станом, с просечном површином 132,3 m², а 79,5% станова биће грађено у зградама с три и више станова, и њихова просечна површина знатно је мања и износи 56,1 m².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марту 2008. издато је 913 грађевинских дозвола, што је за 5,4% мање у односу на март претходне године, док је тај број у периоду од јануара до марта 2008. мањи за 0,5% у односу на исти период у 2007. Индекс предвиђене вредности је за 35,7% мањи у односу на март 2007.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Посматрано према врсти грађевина, у марту 2008. издато је 81,3% дозвола за зграде и 18,7% за остале грађевине. Ако се посматрају само зграде, 71,3% односи се на стамбене и 28,7% на нестамбене зграде, док се код осталих грађевина највећи део односи на цевоводе, комуникационе и електричне водове, чак 77,8%.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Број дозвола за новоградњу издатих у марту 2008, у односу на укупан број издатих дозвола, износи 55,4%. Посматрано према окрузима, највећа грађевинска активност поново је забележена у граду Београду и износи 14,2%, у Јужнобачком округу 12,2% и Сремском округу 8,5% од укупног броја издатих дозвола за новоградњу. Следе Расински округ са 6,9% и Јужнобанатски са 6,1%, од укупног броја издатих дозвола, док су учешћа осталих округа мала и крећу се од 0,4% до 5,1%.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Поред ових података корисницима стоје на располагању детаљни месечни подаци из ове области на нашем веб сајту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"http://www.statserb.sr.gov.yu"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www.statserb.sr.gov.yu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(област Грађевинарство и базе података).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color w:val="000000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</w:t>
      </w:r>
      <w:r>
        <w:rPr>
          <w:rFonts w:ascii="Arial" w:hAnsi="Arial"/>
          <w:b w:val="1"/>
          <w:color w:val="000000"/>
          <w:sz w:val="20"/>
        </w:rPr>
        <w:t xml:space="preserve">издатих </w:t>
      </w:r>
      <w:r>
        <w:rPr>
          <w:rFonts w:ascii="Arial" w:hAnsi="Arial"/>
          <w:b w:val="1"/>
          <w:color w:val="000000"/>
          <w:sz w:val="20"/>
        </w:rPr>
        <w:t xml:space="preserve">грађевинских </w:t>
      </w:r>
      <w:r>
        <w:rPr>
          <w:rFonts w:ascii="Arial" w:hAnsi="Arial"/>
          <w:b w:val="1"/>
          <w:color w:val="000000"/>
          <w:sz w:val="20"/>
        </w:rPr>
        <w:t>дозвола у</w:t>
      </w:r>
      <w:r>
        <w:rPr>
          <w:rFonts w:ascii="Arial" w:hAnsi="Arial"/>
          <w:b w:val="1"/>
          <w:color w:val="000000"/>
          <w:sz w:val="20"/>
        </w:rPr>
        <w:t xml:space="preserve"> Републи</w:t>
      </w:r>
      <w:r>
        <w:rPr>
          <w:rFonts w:ascii="Arial" w:hAnsi="Arial"/>
          <w:b w:val="1"/>
          <w:color w:val="000000"/>
          <w:sz w:val="20"/>
        </w:rPr>
        <w:t>ци</w:t>
      </w:r>
      <w:r>
        <w:rPr>
          <w:rFonts w:ascii="Arial" w:hAnsi="Arial"/>
          <w:b w:val="1"/>
          <w:color w:val="000000"/>
          <w:sz w:val="20"/>
        </w:rPr>
        <w:t xml:space="preserve"> Србиј</w:t>
      </w:r>
      <w:r>
        <w:rPr>
          <w:rFonts w:ascii="Arial" w:hAnsi="Arial"/>
          <w:b w:val="1"/>
          <w:color w:val="000000"/>
          <w:sz w:val="20"/>
        </w:rPr>
        <w:t>и</w:t>
      </w:r>
      <w:r>
        <w:rPr>
          <w:rFonts w:ascii="Arial" w:hAnsi="Arial"/>
          <w:b w:val="1"/>
          <w:color w:val="000000"/>
          <w:sz w:val="20"/>
          <w:vertAlign w:val="superscript"/>
        </w:rPr>
        <w:t>1</w:t>
      </w:r>
    </w:p>
    <w:tbl>
      <w:tblPr>
        <w:tblStyle w:val="T2"/>
        <w:tblpPr w:leftFromText="181" w:rightFromText="181" w:tblpX="1" w:tblpY="131" w:horzAnchor="margin" w:vertAnchor="text" w:tblpXSpec="center"/>
        <w:tblW w:w="963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456"/>
        </w:trPr>
        <w:tc>
          <w:tcPr>
            <w:tcW w:w="3818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I–III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I–III 2007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II 2008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III 2007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  <w:trHeight w:hRule="atLeast" w:val="261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51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  <w:trHeight w:hRule="atLeast" w:val="270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88,8</w:t>
            </w:r>
          </w:p>
        </w:tc>
      </w:tr>
      <w:tr>
        <w:trPr>
          <w:wAfter w:w="0" w:type="dxa"/>
          <w:trHeight w:hRule="atLeast" w:val="273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6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</w:tr>
      <w:tr>
        <w:trPr>
          <w:wAfter w:w="0" w:type="dxa"/>
          <w:trHeight w:hRule="atLeast" w:val="302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92,6</w:t>
            </w:r>
          </w:p>
        </w:tc>
      </w:tr>
      <w:tr>
        <w:trPr>
          <w:wAfter w:w="0" w:type="dxa"/>
          <w:trHeight w:hRule="atLeast" w:val="256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Површина, m²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104,8</w:t>
            </w:r>
          </w:p>
        </w:tc>
      </w:tr>
      <w:tr>
        <w:trPr>
          <w:wAfter w:w="0" w:type="dxa"/>
          <w:trHeight w:hRule="atLeast" w:val="286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Запремина, m³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</w:t>
            </w:r>
          </w:p>
        </w:tc>
      </w:tr>
      <w:tr>
        <w:trPr>
          <w:wAfter w:w="0" w:type="dxa"/>
          <w:trHeight w:hRule="atLeast" w:val="256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87,7</w:t>
            </w:r>
          </w:p>
        </w:tc>
      </w:tr>
      <w:tr>
        <w:trPr>
          <w:wAfter w:w="0" w:type="dxa"/>
          <w:trHeight w:hRule="atLeast" w:val="29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Предвиђена 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76,2</w:t>
            </w:r>
          </w:p>
        </w:tc>
      </w:tr>
      <w:tr>
        <w:trPr>
          <w:wAfter w:w="0" w:type="dxa"/>
          <w:trHeight w:hRule="atLeast" w:val="245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Станови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78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116,2</w:t>
            </w:r>
          </w:p>
        </w:tc>
      </w:tr>
      <w:tr>
        <w:trPr>
          <w:wAfter w:w="0" w:type="dxa"/>
          <w:trHeight w:hRule="atLeast" w:val="27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површина, m²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114,0</w:t>
            </w:r>
          </w:p>
        </w:tc>
      </w:tr>
    </w:tbl>
    <w:p>
      <w:pPr>
        <w:rPr>
          <w:rFonts w:ascii="Arial" w:hAnsi="Arial"/>
        </w:rPr>
      </w:pPr>
      <w:r>
        <w:drawing>
          <wp:inline xmlns:wp="http://schemas.openxmlformats.org/drawingml/2006/wordprocessingDrawing">
            <wp:extent cx="6139815" cy="27203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39815" cy="2720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8"/>
      </w:pPr>
    </w:p>
    <w:p>
      <w:pPr>
        <w:pStyle w:val="P8"/>
        <w:rPr>
          <w:sz w:val="24"/>
        </w:rPr>
      </w:pPr>
      <w:r>
        <w:rPr>
          <w:sz w:val="24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градa, и oпштинe, који према Закону о планирању и изградњи („Службени гласник Републике Србије“, бр. 47/2003, чл. 89) издају одобрења за изградњу, пријаве почетка радова и употребне дозволе.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оквиру овог истраживања појмом „грађевинска дозвола“ обједињују се два документа које издају надлежни органи: одобрење за изградњу и пријава почетка радова.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Обухватају се дозволе за све врсте грађевина описаних у Класификацији врста грађевина, тј. зграде и остале грађевине, и приказују се по територијама на којима се изводе планирани радови у земљи.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о издатим грађевинским дозволама показују будуће кретање грађевинске делатности и  омогућавају сагледавање структуре инвестиција – како на државном нивоу тако и на нивоу локалне самоуправе.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Грађевине</w:t>
      </w:r>
      <w:r>
        <w:rPr>
          <w:rFonts w:ascii="Arial" w:hAnsi="Arial"/>
          <w:sz w:val="20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направљени су од грађевинских материјала и готових производа за уградњу. Припрема земље, сејање или сађење, итд., које служе у пољопривредне сврхе, не спадају у грађевинске радове.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Зграде </w:t>
      </w:r>
      <w:r>
        <w:rPr>
          <w:rFonts w:ascii="Arial" w:hAnsi="Arial"/>
          <w:sz w:val="20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Зградама се сматрају и грађевине које имају кров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Остале грађевине</w:t>
      </w:r>
      <w:r>
        <w:rPr>
          <w:rFonts w:ascii="Arial" w:hAnsi="Arial"/>
          <w:sz w:val="20"/>
        </w:rPr>
        <w:t xml:space="preserve"> су све грађевине који нису зграде: железнице, путеви, мостови, аутопутеви, аеродромске стазе, базени итд.</w:t>
      </w:r>
    </w:p>
    <w:p>
      <w:pPr>
        <w:pStyle w:val="P13"/>
        <w:rPr>
          <w:sz w:val="20"/>
        </w:rPr>
      </w:pPr>
      <w:r>
        <w:rPr>
          <w:b w:val="1"/>
          <w:i w:val="1"/>
          <w:sz w:val="20"/>
        </w:rPr>
        <w:tab/>
        <w:tab/>
      </w:r>
      <w:r>
        <w:rPr>
          <w:b w:val="1"/>
          <w:sz w:val="20"/>
        </w:rPr>
        <w:t>Бруто површина зграде (</w:t>
      </w:r>
      <w:r>
        <w:rPr>
          <w:b w:val="1"/>
          <w:sz w:val="20"/>
        </w:rPr>
        <w:t>m²</w:t>
      </w:r>
      <w:r>
        <w:rPr>
          <w:b w:val="1"/>
          <w:sz w:val="20"/>
        </w:rPr>
        <w:t xml:space="preserve">) </w:t>
      </w:r>
      <w:r>
        <w:rPr>
          <w:sz w:val="20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Корисна површина стана</w:t>
      </w:r>
      <w:r>
        <w:rPr>
          <w:rFonts w:ascii="Arial" w:hAnsi="Arial"/>
          <w:sz w:val="20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Предвиђена вредност радова </w:t>
      </w:r>
      <w:r>
        <w:rPr>
          <w:rFonts w:ascii="Arial" w:hAnsi="Arial"/>
          <w:sz w:val="20"/>
        </w:rPr>
        <w:t>представља планирану вредност радова на грађевини.</w:t>
      </w:r>
    </w:p>
    <w:p>
      <w:pPr>
        <w:ind w:firstLine="720"/>
        <w:jc w:val="both"/>
        <w:rPr>
          <w:rStyle w:val="C5"/>
          <w:rFonts w:ascii="Arial" w:hAnsi="Arial"/>
          <w:i w:val="0"/>
          <w:sz w:val="20"/>
        </w:rPr>
      </w:pPr>
      <w:r>
        <w:rPr>
          <w:rFonts w:ascii="Arial" w:hAnsi="Arial"/>
          <w:sz w:val="20"/>
        </w:rPr>
        <w:t>Детаљна методолошка објашњења овог истраживања налазе се у едицији Методологије и стандарди: Месечна истраживања о грађевинским дозволама, свеска бр. 22, и Класификација врста грађевина, свеска бр. 15.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www.statserb.sr.gov.yu </w:t>
        <w:br w:type="textWrapping"/>
        <w:t xml:space="preserve">Одговара: др Драган Вукмировић, директор </w:t>
        <w:br w:type="textWrapping"/>
        <w:t>Tираж: 150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128 ГР</w:t>
    </w:r>
    <w:r>
      <w:rPr>
        <w:rFonts w:ascii="Arial" w:hAnsi="Arial"/>
        <w:sz w:val="16"/>
      </w:rPr>
      <w:t>30 150508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  <w:rPr>
          <w:rFonts w:ascii="Arial" w:hAnsi="Arial"/>
          <w:sz w:val="16"/>
        </w:rPr>
      </w:pPr>
      <w:r>
        <w:rPr>
          <w:rStyle w:val="C3"/>
          <w:rFonts w:ascii="Times New Roman" w:hAnsi="Times New Roman"/>
          <w:sz w:val="16"/>
        </w:rPr>
        <w:footnoteRef/>
      </w:r>
      <w:r>
        <w:rPr>
          <w:rFonts w:ascii="Arial" w:hAnsi="Arial"/>
          <w:sz w:val="16"/>
        </w:rPr>
        <w:t xml:space="preserve"> Без података за Косово и Метохију.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5630B1E8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6E5508A4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48868D79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42300488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0D3FCE7B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295DC7B9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19428A3B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74366868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782E661F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5DF554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E571AD5"/>
    <w:multiLevelType w:val="hybridMultilevel"/>
    <w:lvl w:ilvl="0" w:tplc="3880AA6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02F09D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23967A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D17DA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329E9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D35AE9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BB8BD0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639CC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31EA1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2008-05-15T10:56:00Z</dcterms:created>
  <cp:lastModifiedBy>Nikola Kapetanovic</cp:lastModifiedBy>
  <cp:lastPrinted>2008-05-15T10:56:00Z</cp:lastPrinted>
  <dcterms:modified xsi:type="dcterms:W3CDTF">2020-01-09T15:39:57Z</dcterms:modified>
  <cp:revision>4</cp:revision>
  <dc:title>Република Србија</dc:title>
</cp:coreProperties>
</file>