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F739AB" Type="http://schemas.openxmlformats.org/officeDocument/2006/relationships/officeDocument" Target="/word/document.xml" /><Relationship Id="coreR7DF739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100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15.04.2008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100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150408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фебруару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</w:rPr>
      </w:pP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У фебруару 2008. издато је 705 грађевинских дозвола, што је за 8,8% више у односу на фебруар претходне године, док је тај број у периоду од јануара до фебруара 2008. већи за 2,3% у односу на исти период у 2007. И мада број издатих дозвола бележи раст, индекс предвиђене вредности је за 30,2% мањи у односу на фебруар 2007, што је последица значајног смањења учешћа вредности стамбених зграда са три или више станова у укупној предвиђеној вредности, које је у фебруару 2007. износило 52,2%, а у фебруару текуће године износи 25,6%.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Посматрано према врсти грађевина, у фебруару 2008. издато је 80,9% дозвола за зграде и 19,1% за остале грађевине, Ако се посматрају само зграде, 71,9% односи се на стамбене и 28,1% на нестамбене зграде, док се код осталих грађевина највећи део односи на цевоводе, комуникационе и електричне водове, чак 79,3%.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На основу броја дозвола издатих у фебрару 2008. уочава се да је пријављена изградња 882 стана с просечном површином 68,4 m². Број станова према издатим дозволама је за 26,6% мањи него у фебруару претходне године. Од укупног броја станова у стамбеним зградама 18,7% станова биће грађено у зградама с једним станом, с просечном површином од 129,9 m², а 74,5% станова у зградама с три и више станова и њихова просечна површина знатно је мања и износи 51,2 m².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Број дозвола за новоградњу издатих у јануару 2008, у односу на укупан број издатих дозвола, износи 55,7%. Посматрано према окрузима, највећа грађевинска активност поново је забележена у граду Београду и износи 18,8%, а у Јужнобачком округу 9,2% од укупног броја издатих дозвола за новоградњу. Следе Сремски округ са 7,9% и Мачвански са 5,9%, од укупног броја издатих дозвола, док су учешћа осталих округа мала и крећу се од 0,5% до 5,6%.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color w:val="3366FF"/>
          <w:sz w:val="20"/>
        </w:rPr>
        <w:instrText xml:space="preserve"> HYPERLINK "http://www.statserb.sr.gov.yu" </w:instrText>
      </w:r>
      <w:r>
        <w:rPr>
          <w:rFonts w:ascii="Arial" w:hAnsi="Arial"/>
          <w:color w:val="3366FF"/>
          <w:sz w:val="20"/>
        </w:rPr>
        <w:fldChar w:fldCharType="separate"/>
      </w:r>
      <w:r>
        <w:rPr>
          <w:rStyle w:val="C2"/>
          <w:rFonts w:ascii="Arial" w:hAnsi="Arial"/>
          <w:color w:val="3366FF"/>
          <w:sz w:val="20"/>
        </w:rPr>
        <w:t>www.statserb.sr.gov.yu</w:t>
      </w:r>
      <w:r>
        <w:rPr>
          <w:rStyle w:val="C2"/>
          <w:rFonts w:ascii="Arial" w:hAnsi="Arial"/>
          <w:color w:val="3366FF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изадатих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1)</w:t>
      </w:r>
    </w:p>
    <w:tbl>
      <w:tblPr>
        <w:tblStyle w:val="T2"/>
        <w:tblpPr w:leftFromText="181" w:rightFromText="181" w:tblpX="1" w:tblpY="131" w:horzAnchor="margin" w:vertAnchor="text" w:tblpXSpec="center"/>
        <w:tblW w:w="984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56"/>
        </w:trPr>
        <w:tc>
          <w:tcPr>
            <w:tcW w:w="3818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I–II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 2008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  <w:trHeight w:hRule="atLeast" w:val="261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51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</w:tr>
      <w:tr>
        <w:trPr>
          <w:wAfter w:w="0" w:type="dxa"/>
          <w:trHeight w:hRule="atLeast" w:val="270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56,0</w:t>
            </w:r>
          </w:p>
        </w:tc>
      </w:tr>
      <w:tr>
        <w:trPr>
          <w:wAfter w:w="0" w:type="dxa"/>
          <w:trHeight w:hRule="atLeast" w:val="273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6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79,6</w:t>
            </w:r>
          </w:p>
        </w:tc>
      </w:tr>
      <w:tr>
        <w:trPr>
          <w:wAfter w:w="0" w:type="dxa"/>
          <w:trHeight w:hRule="atLeast" w:val="302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51,3</w:t>
            </w:r>
          </w:p>
        </w:tc>
      </w:tr>
      <w:tr>
        <w:trPr>
          <w:wAfter w:w="0" w:type="dxa"/>
          <w:trHeight w:hRule="atLeast" w:val="25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61,4</w:t>
            </w:r>
          </w:p>
        </w:tc>
      </w:tr>
      <w:tr>
        <w:trPr>
          <w:wAfter w:w="0" w:type="dxa"/>
          <w:trHeight w:hRule="atLeast" w:val="286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Запремина, m³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62,9</w:t>
            </w:r>
          </w:p>
        </w:tc>
      </w:tr>
      <w:tr>
        <w:trPr>
          <w:wAfter w:w="0" w:type="dxa"/>
          <w:trHeight w:hRule="atLeast" w:val="256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69,2</w:t>
            </w:r>
          </w:p>
        </w:tc>
      </w:tr>
      <w:tr>
        <w:trPr>
          <w:wAfter w:w="0" w:type="dxa"/>
          <w:trHeight w:hRule="atLeast" w:val="29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радова, хиљ. дин.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</w:tr>
      <w:tr>
        <w:trPr>
          <w:wAfter w:w="0" w:type="dxa"/>
          <w:trHeight w:hRule="atLeast" w:val="245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8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63,9</w:t>
            </w:r>
          </w:p>
        </w:tc>
      </w:tr>
      <w:tr>
        <w:trPr>
          <w:wAfter w:w="0" w:type="dxa"/>
          <w:trHeight w:hRule="atLeast" w:val="274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површина, m²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65,9</w:t>
            </w:r>
          </w:p>
        </w:tc>
      </w:tr>
    </w:tbl>
    <w:p>
      <w:r>
        <w:drawing>
          <wp:inline xmlns:wp="http://schemas.openxmlformats.org/drawingml/2006/wordprocessingDrawing">
            <wp:extent cx="5964555" cy="27203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2720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  <w:jc w:val="left"/>
        <w:rPr>
          <w:sz w:val="24"/>
        </w:rPr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 према Закону о планирању и изградњи („Службени гласник Републике Србије“, бр. 47/2003, чл. 89)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– како на државном нивоу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направљени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>)</w:t>
      </w:r>
      <w:r>
        <w:rPr>
          <w:b w:val="1"/>
          <w:sz w:val="20"/>
        </w:rPr>
        <w:t xml:space="preserve">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</w:t>
      </w:r>
      <w:r>
        <w:rPr>
          <w:rFonts w:ascii="Arial" w:hAnsi="Arial"/>
          <w:b w:val="1"/>
          <w:sz w:val="20"/>
        </w:rPr>
        <w:t>в</w:t>
      </w:r>
      <w:r>
        <w:rPr>
          <w:rFonts w:ascii="Arial" w:hAnsi="Arial"/>
          <w:b w:val="1"/>
          <w:sz w:val="20"/>
        </w:rPr>
        <w:t xml:space="preserve">редност радова </w:t>
      </w:r>
      <w:r>
        <w:rPr>
          <w:rFonts w:ascii="Arial" w:hAnsi="Arial"/>
          <w:sz w:val="20"/>
        </w:rPr>
        <w:t>представља планирану вредности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www.statserb.sr.gov.yu </w:t>
        <w:br w:type="textWrapping"/>
        <w:t xml:space="preserve">Одговара: др Драган Вукмировић, директор </w:t>
        <w:br w:type="textWrapping"/>
        <w:t>Tираж: 150 ● Периодика излажења: тромесечна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100 ГР</w:t>
    </w:r>
    <w:r>
      <w:rPr>
        <w:rFonts w:ascii="Arial" w:hAnsi="Arial"/>
        <w:sz w:val="16"/>
      </w:rPr>
      <w:t>30 150408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rPr>
          <w:rFonts w:ascii="Arial" w:hAnsi="Arial"/>
          <w:sz w:val="16"/>
        </w:rPr>
      </w:pPr>
      <w:r>
        <w:rPr>
          <w:rStyle w:val="C3"/>
          <w:rFonts w:ascii="Times New Roman" w:hAnsi="Times New Roman"/>
          <w:sz w:val="16"/>
        </w:rPr>
        <w:footnoteRef/>
      </w:r>
      <w:r>
        <w:rPr>
          <w:rFonts w:ascii="Arial" w:hAnsi="Arial"/>
          <w:sz w:val="16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1B4B1846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495C5AC3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2B0A3947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57FADD3A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1EED21AE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33C3437F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2169F548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5154049D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298D3A31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5444B6A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CD05B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6E813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9FE3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58AF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986E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CD9F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5A4E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6C80C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2007-06-06T14:27:00Z</dcterms:created>
  <cp:lastModifiedBy>Nikola Kapetanovic</cp:lastModifiedBy>
  <cp:lastPrinted>2008-04-16T12:20:00Z</cp:lastPrinted>
  <dcterms:modified xsi:type="dcterms:W3CDTF">2020-01-09T15:39:56Z</dcterms:modified>
  <cp:revision>14</cp:revision>
  <dc:title>Република Србија</dc:title>
</cp:coreProperties>
</file>