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FC043" Type="http://schemas.openxmlformats.org/officeDocument/2006/relationships/officeDocument" Target="/word/document.xml" /><Relationship Id="coreRBFC0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9" w:type="dxa"/>
        <w:jc w:val="center"/>
        <w:tblInd w:w="-9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73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 xml:space="preserve">рој </w:t>
            </w:r>
            <w:r>
              <w:rPr>
                <w:rFonts w:ascii="Arial" w:hAnsi="Arial"/>
                <w:b w:val="1"/>
              </w:rPr>
              <w:t>69</w:t>
            </w:r>
            <w:r>
              <w:rPr>
                <w:rFonts w:ascii="Arial" w:hAnsi="Arial"/>
                <w:b w:val="1"/>
              </w:rPr>
              <w:t xml:space="preserve"> • год. L</w:t>
            </w:r>
            <w:r>
              <w:rPr>
                <w:rFonts w:ascii="Arial" w:hAnsi="Arial"/>
                <w:b w:val="1"/>
              </w:rPr>
              <w:t>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I, </w:t>
            </w:r>
            <w:r>
              <w:rPr>
                <w:rFonts w:ascii="Arial" w:hAnsi="Arial"/>
                <w:b w:val="1"/>
              </w:rPr>
              <w:t>21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3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СВ</w:t>
            </w:r>
            <w:r>
              <w:rPr>
                <w:rFonts w:ascii="Arial" w:hAnsi="Arial"/>
                <w:b w:val="1"/>
                <w:sz w:val="72"/>
              </w:rPr>
              <w:t>21</w:t>
            </w:r>
          </w:p>
        </w:tc>
      </w:tr>
      <w:tr>
        <w:trPr>
          <w:wAfter w:w="0" w:type="dxa"/>
          <w:trHeight w:hRule="exact" w:val="305"/>
        </w:trPr>
        <w:tc>
          <w:tcPr>
            <w:tcW w:w="7073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саобраћаја, складиштења и веза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69</w:t>
            </w:r>
            <w:r>
              <w:rPr>
                <w:b w:val="1"/>
                <w:sz w:val="20"/>
              </w:rPr>
              <w:t xml:space="preserve"> СВ</w:t>
            </w:r>
            <w:r>
              <w:rPr>
                <w:b w:val="1"/>
                <w:sz w:val="20"/>
              </w:rPr>
              <w:t>21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2103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13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</w:t>
      </w:r>
    </w:p>
    <w:p>
      <w:pPr>
        <w:pStyle w:val="P8"/>
        <w:rPr>
          <w:sz w:val="24"/>
        </w:rPr>
      </w:pPr>
      <w:r>
        <w:rPr>
          <w:sz w:val="24"/>
        </w:rPr>
        <w:t>РЕГИСТРОВАНА ДРУМСКА МОТОРНА И ПРИКЉУЧНА ВОЗИЛА</w:t>
      </w:r>
    </w:p>
    <w:p>
      <w:pPr>
        <w:pStyle w:val="P6"/>
        <w:ind w:left="0"/>
        <w:rPr>
          <w:sz w:val="24"/>
        </w:rPr>
      </w:pPr>
      <w:r>
        <w:rPr>
          <w:sz w:val="24"/>
        </w:rPr>
        <w:t xml:space="preserve"> И САОБРАЋАЈНЕ НЕЗГОДЕ НА ПУТЕВИМА, 2007.</w:t>
      </w:r>
    </w:p>
    <w:p>
      <w:pPr>
        <w:jc w:val="center"/>
        <w:rPr>
          <w:rFonts w:ascii="Arial" w:hAnsi="Arial"/>
          <w:sz w:val="14"/>
        </w:rPr>
      </w:pPr>
    </w:p>
    <w:p>
      <w:pPr>
        <w:jc w:val="center"/>
        <w:rPr>
          <w:rFonts w:ascii="Arial" w:hAnsi="Arial"/>
          <w:sz w:val="22"/>
          <w:vertAlign w:val="superscript"/>
        </w:rPr>
      </w:pPr>
      <w:r>
        <w:rPr>
          <w:rFonts w:ascii="Arial" w:hAnsi="Arial"/>
          <w:b w:val="1"/>
          <w:sz w:val="22"/>
        </w:rPr>
        <w:t xml:space="preserve">Број </w:t>
      </w:r>
      <w:r>
        <w:rPr>
          <w:rFonts w:ascii="Arial" w:hAnsi="Arial"/>
          <w:b w:val="1"/>
          <w:sz w:val="22"/>
        </w:rPr>
        <w:t>укупно</w:t>
      </w:r>
      <w:r>
        <w:rPr>
          <w:rFonts w:ascii="Arial" w:hAnsi="Arial"/>
          <w:b w:val="1"/>
          <w:sz w:val="22"/>
        </w:rPr>
        <w:t xml:space="preserve"> р</w:t>
      </w:r>
      <w:r>
        <w:rPr>
          <w:rFonts w:ascii="Arial" w:hAnsi="Arial"/>
          <w:b w:val="1"/>
          <w:sz w:val="22"/>
        </w:rPr>
        <w:t>егистрованих друмских</w:t>
      </w:r>
      <w:r>
        <w:rPr>
          <w:rFonts w:ascii="Arial" w:hAnsi="Arial"/>
          <w:b w:val="1"/>
          <w:sz w:val="22"/>
        </w:rPr>
        <w:t xml:space="preserve"> моторн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и прик</w:t>
      </w:r>
      <w:r>
        <w:rPr>
          <w:rFonts w:ascii="Arial" w:hAnsi="Arial"/>
          <w:b w:val="1"/>
          <w:sz w:val="22"/>
        </w:rPr>
        <w:t>љ</w:t>
      </w:r>
      <w:r>
        <w:rPr>
          <w:rFonts w:ascii="Arial" w:hAnsi="Arial"/>
          <w:b w:val="1"/>
          <w:sz w:val="22"/>
        </w:rPr>
        <w:t>учн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возила</w:t>
      </w:r>
      <w:r>
        <w:rPr>
          <w:rFonts w:ascii="Arial" w:hAnsi="Arial"/>
          <w:b w:val="1"/>
          <w:sz w:val="22"/>
          <w:vertAlign w:val="superscript"/>
        </w:rPr>
        <w:t>1)</w:t>
      </w:r>
      <w:r>
        <w:rPr>
          <w:rFonts w:ascii="Arial" w:hAnsi="Arial"/>
          <w:b w:val="1"/>
          <w:sz w:val="22"/>
          <w:vertAlign w:val="superscript"/>
        </w:rPr>
        <w:t xml:space="preserve"> 2)</w:t>
      </w:r>
      <w:r>
        <w:rPr>
          <w:rFonts w:ascii="Arial" w:hAnsi="Arial"/>
          <w:b w:val="1"/>
          <w:sz w:val="22"/>
          <w:vertAlign w:val="superscript"/>
        </w:rPr>
        <w:t xml:space="preserve"> </w:t>
      </w:r>
      <w:r>
        <w:rPr>
          <w:rFonts w:ascii="Arial" w:hAnsi="Arial"/>
          <w:b w:val="1"/>
          <w:sz w:val="22"/>
          <w:vertAlign w:val="superscript"/>
        </w:rPr>
        <w:t>3)</w:t>
      </w:r>
    </w:p>
    <w:p>
      <w:pPr>
        <w:jc w:val="center"/>
        <w:rPr>
          <w:rFonts w:ascii="Arial" w:hAnsi="Arial"/>
          <w:sz w:val="8"/>
        </w:rPr>
      </w:pP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225"/>
        </w:trPr>
        <w:tc>
          <w:tcPr>
            <w:tcW w:w="2448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Arial" w:hAnsi="Arial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3018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  <w:u w:val="single"/>
              </w:rPr>
              <w:t>2007</w:t>
              <w:br w:type="textWrapping"/>
            </w:r>
            <w:r>
              <w:rPr>
                <w:rFonts w:ascii="Arial" w:hAnsi="Arial"/>
                <w:sz w:val="15"/>
              </w:rPr>
              <w:t>2006</w:t>
            </w:r>
          </w:p>
        </w:tc>
      </w:tr>
      <w:tr>
        <w:trPr>
          <w:wAfter w:w="0" w:type="dxa"/>
          <w:trHeight w:hRule="atLeast" w:val="225"/>
        </w:trPr>
        <w:tc>
          <w:tcPr>
            <w:tcW w:w="2448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Arial" w:hAnsi="Arial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3018" w:type="dxa"/>
            <w:gridSpan w:val="3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1134" w:type="dxa"/>
            <w:vMerge w:val="continue"/>
            <w:tcBorders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5"/>
                <w:u w:val="single"/>
              </w:rPr>
            </w:pPr>
          </w:p>
        </w:tc>
      </w:tr>
      <w:tr>
        <w:trPr>
          <w:wAfter w:w="0" w:type="dxa"/>
        </w:trPr>
        <w:tc>
          <w:tcPr>
            <w:tcW w:w="1389" w:type="nil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0" w:type="dxa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990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94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014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239"/>
        </w:trPr>
        <w:tc>
          <w:tcPr>
            <w:tcW w:w="24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Мотоцикли</w:t>
            </w: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20380</w:t>
            </w:r>
          </w:p>
        </w:tc>
        <w:tc>
          <w:tcPr>
            <w:tcW w:w="10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12012</w:t>
            </w:r>
          </w:p>
        </w:tc>
        <w:tc>
          <w:tcPr>
            <w:tcW w:w="99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8368</w:t>
            </w:r>
          </w:p>
        </w:tc>
        <w:tc>
          <w:tcPr>
            <w:tcW w:w="94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24897</w:t>
            </w:r>
          </w:p>
        </w:tc>
        <w:tc>
          <w:tcPr>
            <w:tcW w:w="10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17225</w:t>
            </w:r>
          </w:p>
        </w:tc>
        <w:tc>
          <w:tcPr>
            <w:tcW w:w="101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7672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аутомобили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1511837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1078796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433041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1476642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1123173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353469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путничка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15109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14875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14574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14379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Аутобуси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9312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7051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2261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8887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7003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1884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126045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85588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40457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129877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96396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33481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27498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23796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3702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25802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22503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1864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1582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1330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128017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5865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122152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7263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6039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1224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103859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17024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86835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26389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18790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7599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>
      <w:pPr>
        <w:rPr>
          <w:rFonts w:ascii="Arial" w:hAnsi="Arial"/>
          <w:sz w:val="6"/>
        </w:rPr>
      </w:pPr>
    </w:p>
    <w:p>
      <w:pPr>
        <w:spacing w:before="20"/>
        <w:ind w:hanging="113" w:left="113"/>
        <w:rPr>
          <w:rFonts w:ascii="Arial" w:hAnsi="Arial"/>
          <w:b w:val="1"/>
          <w:sz w:val="12"/>
          <w:u w:val="single"/>
        </w:rPr>
      </w:pPr>
      <w:r>
        <w:rPr>
          <w:rFonts w:ascii="Arial" w:hAnsi="Arial"/>
          <w:sz w:val="12"/>
        </w:rPr>
        <w:t>Извор: Министарство унутрашњих послова Републике Србије.</w:t>
      </w:r>
    </w:p>
    <w:p>
      <w:pPr>
        <w:ind w:hanging="113" w:left="113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 Без података за Косово и Метохију.</w:t>
      </w:r>
    </w:p>
    <w:p>
      <w:pPr>
        <w:ind w:hanging="113" w:left="113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 xml:space="preserve"> Обухваћена су сва возила која су у било ком периоду извештајне године имала важећу саобраћајну дозволу. Нису обухваћена возила регистрована привременом таблицом, возила МУП, возила војске Републике Србије ни возила страних представништава.</w:t>
      </w:r>
    </w:p>
    <w:p>
      <w:pPr>
        <w:ind w:hanging="113" w:left="113"/>
        <w:jc w:val="both"/>
        <w:rPr>
          <w:rFonts w:ascii="Arial" w:hAnsi="Arial"/>
          <w:sz w:val="12"/>
        </w:rPr>
      </w:pPr>
      <w:r>
        <w:rPr>
          <w:sz w:val="12"/>
          <w:vertAlign w:val="superscript"/>
        </w:rPr>
        <w:t>3)</w:t>
      </w:r>
      <w:r>
        <w:rPr>
          <w:sz w:val="12"/>
        </w:rPr>
        <w:t xml:space="preserve"> </w:t>
      </w:r>
      <w:r>
        <w:rPr>
          <w:rFonts w:ascii="Arial" w:hAnsi="Arial"/>
          <w:sz w:val="12"/>
        </w:rPr>
        <w:t>Од 2007 године дошло је до усаглашавања обраде података у МУП Војводине са обрадом у МУП централне Србије, што је довело до смањења у броју регистрованих друмских моторних и прикључних возила. Такође, од ове године МУП Војводине не врши обраду вучних и прикључних возила регистрованих са комуналним таблицама.</w:t>
      </w:r>
    </w:p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>Број први пут р</w:t>
      </w:r>
      <w:r>
        <w:rPr>
          <w:rFonts w:ascii="Arial" w:hAnsi="Arial"/>
          <w:b w:val="1"/>
          <w:sz w:val="22"/>
        </w:rPr>
        <w:t>егистрованих друмских моторних и прик</w:t>
      </w:r>
      <w:r>
        <w:rPr>
          <w:rFonts w:ascii="Arial" w:hAnsi="Arial"/>
          <w:b w:val="1"/>
          <w:sz w:val="22"/>
        </w:rPr>
        <w:t>љ</w:t>
      </w:r>
      <w:r>
        <w:rPr>
          <w:rFonts w:ascii="Arial" w:hAnsi="Arial"/>
          <w:b w:val="1"/>
          <w:sz w:val="22"/>
        </w:rPr>
        <w:t>учних возила</w:t>
      </w:r>
      <w:r>
        <w:rPr>
          <w:rFonts w:ascii="Arial" w:hAnsi="Arial"/>
          <w:b w:val="1"/>
          <w:sz w:val="22"/>
          <w:vertAlign w:val="superscript"/>
        </w:rPr>
        <w:t>1) 2)</w:t>
      </w:r>
    </w:p>
    <w:p>
      <w:pPr>
        <w:jc w:val="center"/>
        <w:rPr>
          <w:rFonts w:ascii="Arial" w:hAnsi="Arial"/>
          <w:sz w:val="8"/>
        </w:rPr>
      </w:pP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225"/>
        </w:trPr>
        <w:tc>
          <w:tcPr>
            <w:tcW w:w="2448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Arial" w:hAnsi="Arial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3018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  <w:u w:val="single"/>
              </w:rPr>
              <w:t>2007</w:t>
              <w:br w:type="textWrapping"/>
            </w:r>
            <w:r>
              <w:rPr>
                <w:rFonts w:ascii="Arial" w:hAnsi="Arial"/>
                <w:sz w:val="15"/>
              </w:rPr>
              <w:t>2006</w:t>
            </w:r>
          </w:p>
        </w:tc>
      </w:tr>
      <w:tr>
        <w:trPr>
          <w:wAfter w:w="0" w:type="dxa"/>
          <w:trHeight w:hRule="atLeast" w:val="225"/>
        </w:trPr>
        <w:tc>
          <w:tcPr>
            <w:tcW w:w="2448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Arial" w:hAnsi="Arial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3018" w:type="dxa"/>
            <w:gridSpan w:val="3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1134" w:type="dxa"/>
            <w:vMerge w:val="continue"/>
            <w:tcBorders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5"/>
                <w:u w:val="single"/>
              </w:rPr>
            </w:pPr>
          </w:p>
        </w:tc>
      </w:tr>
      <w:tr>
        <w:trPr>
          <w:wAfter w:w="0" w:type="dxa"/>
        </w:trPr>
        <w:tc>
          <w:tcPr>
            <w:tcW w:w="1389" w:type="nil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0" w:type="dxa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990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94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014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239"/>
        </w:trPr>
        <w:tc>
          <w:tcPr>
            <w:tcW w:w="24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Мотоцикли</w:t>
            </w: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4574</w:t>
            </w:r>
          </w:p>
        </w:tc>
        <w:tc>
          <w:tcPr>
            <w:tcW w:w="10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2753</w:t>
            </w:r>
          </w:p>
        </w:tc>
        <w:tc>
          <w:tcPr>
            <w:tcW w:w="99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1821</w:t>
            </w:r>
          </w:p>
        </w:tc>
        <w:tc>
          <w:tcPr>
            <w:tcW w:w="94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6848</w:t>
            </w:r>
          </w:p>
        </w:tc>
        <w:tc>
          <w:tcPr>
            <w:tcW w:w="10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4128</w:t>
            </w:r>
          </w:p>
        </w:tc>
        <w:tc>
          <w:tcPr>
            <w:tcW w:w="101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2720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149,7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аутомобили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67044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45336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21708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77303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55752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21551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115,3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путничка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Аутобуси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120,1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9750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3064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12025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8877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3148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123,3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1173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68,7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84,1</w:t>
            </w:r>
          </w:p>
        </w:tc>
      </w:tr>
      <w:tr>
        <w:trPr>
          <w:wAfter w:w="0" w:type="dxa"/>
          <w:trHeight w:hRule="atLeast" w:val="204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2653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2028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625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1296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48,9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2263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2027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2937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1799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1138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129,8</w:t>
            </w:r>
          </w:p>
        </w:tc>
      </w:tr>
    </w:tbl>
    <w:p>
      <w:pPr>
        <w:rPr>
          <w:rFonts w:ascii="Arial" w:hAnsi="Arial"/>
          <w:sz w:val="6"/>
        </w:rPr>
      </w:pPr>
    </w:p>
    <w:p>
      <w:pPr>
        <w:spacing w:before="20"/>
        <w:jc w:val="both"/>
        <w:rPr>
          <w:rFonts w:ascii="Arial" w:hAnsi="Arial"/>
          <w:b w:val="1"/>
          <w:sz w:val="12"/>
          <w:u w:val="single"/>
        </w:rPr>
      </w:pPr>
      <w:r>
        <w:rPr>
          <w:rFonts w:ascii="Arial" w:hAnsi="Arial"/>
          <w:sz w:val="12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 Без података за Косово и Метохију.</w:t>
      </w:r>
    </w:p>
    <w:p>
      <w:pPr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 xml:space="preserve">  Нису обухваћена возила регистрована привременом таблицом, возила МУП, возила војске Републике Србије ни возила страних представништава.</w:t>
      </w:r>
    </w:p>
    <w:p>
      <w:pPr>
        <w:jc w:val="center"/>
        <w:rPr>
          <w:rFonts w:ascii="Arial" w:hAnsi="Arial"/>
          <w:b w:val="1"/>
          <w:sz w:val="14"/>
        </w:rPr>
      </w:pPr>
    </w:p>
    <w:p>
      <w:pPr>
        <w:jc w:val="center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>Број р</w:t>
      </w:r>
      <w:r>
        <w:rPr>
          <w:rFonts w:ascii="Arial" w:hAnsi="Arial"/>
          <w:b w:val="1"/>
          <w:sz w:val="22"/>
        </w:rPr>
        <w:t xml:space="preserve">егистрованих </w:t>
      </w:r>
      <w:r>
        <w:rPr>
          <w:rFonts w:ascii="Arial" w:hAnsi="Arial"/>
          <w:b w:val="1"/>
          <w:sz w:val="22"/>
        </w:rPr>
        <w:t>нових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друмских моторних и прик</w:t>
      </w:r>
      <w:r>
        <w:rPr>
          <w:rFonts w:ascii="Arial" w:hAnsi="Arial"/>
          <w:b w:val="1"/>
          <w:sz w:val="22"/>
        </w:rPr>
        <w:t>љ</w:t>
      </w:r>
      <w:r>
        <w:rPr>
          <w:rFonts w:ascii="Arial" w:hAnsi="Arial"/>
          <w:b w:val="1"/>
          <w:sz w:val="22"/>
        </w:rPr>
        <w:t>учних возила</w:t>
      </w:r>
      <w:r>
        <w:rPr>
          <w:rFonts w:ascii="Arial" w:hAnsi="Arial"/>
          <w:b w:val="1"/>
          <w:sz w:val="22"/>
          <w:vertAlign w:val="superscript"/>
        </w:rPr>
        <w:t>1) 2)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8"/>
        </w:rPr>
      </w:pP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1"/>
          <w:wAfter w:w="11" w:type="dxa"/>
        </w:trPr>
        <w:tc>
          <w:tcPr>
            <w:tcW w:w="204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Мото-цикли</w:t>
            </w:r>
          </w:p>
        </w:tc>
        <w:tc>
          <w:tcPr>
            <w:tcW w:w="85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Путни-чки аутомо-били</w:t>
            </w:r>
          </w:p>
        </w:tc>
        <w:tc>
          <w:tcPr>
            <w:tcW w:w="85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Специ-јална путни-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чка возила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Ауто-буси</w:t>
            </w:r>
          </w:p>
        </w:tc>
        <w:tc>
          <w:tcPr>
            <w:tcW w:w="85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тна возила</w:t>
            </w:r>
          </w:p>
        </w:tc>
        <w:tc>
          <w:tcPr>
            <w:tcW w:w="851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Специ-</w:t>
            </w:r>
          </w:p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јална теретна возила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851" w:type="dxa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Вучна возила</w:t>
            </w:r>
          </w:p>
        </w:tc>
        <w:tc>
          <w:tcPr>
            <w:tcW w:w="85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ључна возила</w:t>
            </w:r>
          </w:p>
        </w:tc>
      </w:tr>
      <w:tr>
        <w:trPr>
          <w:wAfter w:w="0" w:type="dxa"/>
          <w:trHeight w:hRule="atLeast" w:val="205"/>
        </w:trPr>
        <w:tc>
          <w:tcPr>
            <w:tcW w:w="20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2073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32684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6441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</w:t>
            </w:r>
          </w:p>
        </w:tc>
        <w:tc>
          <w:tcPr>
            <w:tcW w:w="85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1482</w:t>
            </w:r>
          </w:p>
        </w:tc>
      </w:tr>
      <w:tr>
        <w:trPr>
          <w:wAfter w:w="0" w:type="dxa"/>
          <w:trHeight w:hRule="atLeast" w:val="205"/>
        </w:trPr>
        <w:tc>
          <w:tcPr>
            <w:tcW w:w="20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Централна Србија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1411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25988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5152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85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</w:t>
            </w:r>
          </w:p>
        </w:tc>
      </w:tr>
      <w:tr>
        <w:trPr>
          <w:wAfter w:w="0" w:type="dxa"/>
          <w:trHeight w:hRule="atLeast" w:val="205"/>
        </w:trPr>
        <w:tc>
          <w:tcPr>
            <w:tcW w:w="20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Домаћа производња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6079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799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</w:t>
            </w:r>
          </w:p>
        </w:tc>
      </w:tr>
      <w:tr>
        <w:trPr>
          <w:wAfter w:w="0" w:type="dxa"/>
          <w:trHeight w:hRule="atLeast" w:val="205"/>
        </w:trPr>
        <w:tc>
          <w:tcPr>
            <w:tcW w:w="20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Страна производња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1408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19909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4353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85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718</w:t>
            </w:r>
          </w:p>
        </w:tc>
      </w:tr>
      <w:tr>
        <w:trPr>
          <w:wAfter w:w="0" w:type="dxa"/>
          <w:trHeight w:hRule="atLeast" w:val="205"/>
        </w:trPr>
        <w:tc>
          <w:tcPr>
            <w:tcW w:w="20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Војводина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6696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1289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</w:tr>
      <w:tr>
        <w:trPr>
          <w:wAfter w:w="0" w:type="dxa"/>
          <w:trHeight w:hRule="atLeast" w:val="205"/>
        </w:trPr>
        <w:tc>
          <w:tcPr>
            <w:tcW w:w="20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Домаћа производња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2880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85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</w:tr>
      <w:tr>
        <w:trPr>
          <w:wAfter w:w="0" w:type="dxa"/>
          <w:trHeight w:hRule="atLeast" w:val="205"/>
        </w:trPr>
        <w:tc>
          <w:tcPr>
            <w:tcW w:w="20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Страна производња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3816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869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85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</w:t>
            </w:r>
          </w:p>
        </w:tc>
      </w:tr>
    </w:tbl>
    <w:p>
      <w:pPr>
        <w:rPr>
          <w:rFonts w:ascii="Arial" w:hAnsi="Arial"/>
          <w:sz w:val="6"/>
        </w:rPr>
      </w:pPr>
    </w:p>
    <w:p>
      <w:pPr>
        <w:spacing w:before="20"/>
        <w:rPr>
          <w:rFonts w:ascii="Arial" w:hAnsi="Arial"/>
          <w:b w:val="1"/>
          <w:sz w:val="12"/>
          <w:u w:val="single"/>
        </w:rPr>
      </w:pPr>
      <w:r>
        <w:rPr>
          <w:rFonts w:ascii="Arial" w:hAnsi="Arial"/>
          <w:sz w:val="12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 Без података за Косово и Метохију.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 xml:space="preserve">  Нису обухваћена возила регистрована привременом таблицом, возила МУП, возила војске Републике Србије ни возила страних представништава.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22"/>
          <w:vertAlign w:val="superscript"/>
        </w:rPr>
      </w:pPr>
      <w:r>
        <w:rPr>
          <w:rFonts w:ascii="Arial" w:hAnsi="Arial"/>
          <w:b w:val="1"/>
          <w:sz w:val="22"/>
        </w:rPr>
        <w:t>Број с</w:t>
      </w:r>
      <w:r>
        <w:rPr>
          <w:rFonts w:ascii="Arial" w:hAnsi="Arial"/>
          <w:b w:val="1"/>
          <w:sz w:val="22"/>
        </w:rPr>
        <w:t>аобраћајн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незгод</w:t>
      </w:r>
      <w:r>
        <w:rPr>
          <w:rFonts w:ascii="Arial" w:hAnsi="Arial"/>
          <w:b w:val="1"/>
          <w:sz w:val="22"/>
        </w:rPr>
        <w:t>а</w:t>
      </w:r>
      <w:r>
        <w:rPr>
          <w:rFonts w:ascii="Arial" w:hAnsi="Arial"/>
          <w:b w:val="1"/>
          <w:sz w:val="22"/>
        </w:rPr>
        <w:t xml:space="preserve"> на путевима </w:t>
      </w:r>
      <w:r>
        <w:rPr>
          <w:rFonts w:ascii="Arial" w:hAnsi="Arial"/>
          <w:b w:val="1"/>
          <w:sz w:val="22"/>
          <w:vertAlign w:val="superscript"/>
        </w:rPr>
        <w:t>1)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8"/>
        </w:rPr>
      </w:pP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1"/>
          <w:wAfter w:w="11" w:type="dxa"/>
        </w:trPr>
        <w:tc>
          <w:tcPr>
            <w:tcW w:w="13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Саобраћајне незгоде </w:t>
            </w:r>
          </w:p>
        </w:tc>
        <w:tc>
          <w:tcPr>
            <w:tcW w:w="2889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2970" w:type="dxa"/>
            <w:gridSpan w:val="3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gridAfter w:val="1"/>
          <w:wAfter w:w="11" w:type="dxa"/>
        </w:trPr>
        <w:tc>
          <w:tcPr>
            <w:tcW w:w="137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66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поги- нулима</w:t>
            </w:r>
          </w:p>
        </w:tc>
        <w:tc>
          <w:tcPr>
            <w:tcW w:w="952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повре- ђенима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4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поги- нулима</w:t>
            </w:r>
          </w:p>
        </w:tc>
        <w:tc>
          <w:tcPr>
            <w:tcW w:w="995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повре- ђенима</w:t>
            </w:r>
          </w:p>
        </w:tc>
        <w:tc>
          <w:tcPr>
            <w:tcW w:w="98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поги- нулима</w:t>
            </w:r>
          </w:p>
        </w:tc>
        <w:tc>
          <w:tcPr>
            <w:tcW w:w="989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повре- ђенима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84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13912</w:t>
            </w:r>
          </w:p>
        </w:tc>
        <w:tc>
          <w:tcPr>
            <w:tcW w:w="8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808</w:t>
            </w:r>
          </w:p>
        </w:tc>
        <w:tc>
          <w:tcPr>
            <w:tcW w:w="9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13104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11842</w:t>
            </w:r>
          </w:p>
        </w:tc>
        <w:tc>
          <w:tcPr>
            <w:tcW w:w="9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99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11233</w:t>
            </w:r>
          </w:p>
        </w:tc>
        <w:tc>
          <w:tcPr>
            <w:tcW w:w="9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2070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</w:t>
            </w:r>
          </w:p>
        </w:tc>
        <w:tc>
          <w:tcPr>
            <w:tcW w:w="1000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1871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16585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15724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14180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13527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2405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</w:t>
            </w:r>
          </w:p>
        </w:tc>
        <w:tc>
          <w:tcPr>
            <w:tcW w:w="10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2197</w:t>
            </w:r>
          </w:p>
        </w:tc>
      </w:tr>
      <w:tr>
        <w:trPr>
          <w:wAfter w:w="0" w:type="dxa"/>
          <w:trHeight w:hRule="atLeast" w:val="204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2007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119,2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120,0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119,7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120,4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10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117,4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spacing w:before="40"/>
        <w:rPr>
          <w:rFonts w:ascii="Arial" w:hAnsi="Arial"/>
          <w:b w:val="1"/>
          <w:sz w:val="12"/>
          <w:u w:val="single"/>
        </w:rPr>
      </w:pPr>
      <w:r>
        <w:rPr>
          <w:rFonts w:ascii="Arial" w:hAnsi="Arial"/>
          <w:sz w:val="12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 Без података за Косово и Метохију.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</w:rPr>
      </w:pP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22"/>
        </w:rPr>
      </w:pP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Број н</w:t>
      </w:r>
      <w:r>
        <w:rPr>
          <w:rFonts w:ascii="Arial" w:hAnsi="Arial"/>
          <w:b w:val="1"/>
          <w:sz w:val="22"/>
        </w:rPr>
        <w:t>астрадал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лица </w:t>
      </w:r>
      <w:r>
        <w:rPr>
          <w:rFonts w:ascii="Arial" w:hAnsi="Arial"/>
          <w:b w:val="1"/>
          <w:sz w:val="22"/>
          <w:vertAlign w:val="superscript"/>
        </w:rPr>
        <w:t>1)</w:t>
      </w:r>
      <w:r>
        <w:rPr>
          <w:rFonts w:ascii="Arial" w:hAnsi="Arial"/>
          <w:b w:val="1"/>
          <w:sz w:val="22"/>
          <w:vertAlign w:val="superscript"/>
        </w:rPr>
        <w:t xml:space="preserve"> 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8"/>
        </w:rPr>
      </w:pP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1"/>
          <w:wAfter w:w="11" w:type="dxa"/>
        </w:trPr>
        <w:tc>
          <w:tcPr>
            <w:tcW w:w="13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Саобраћајне незгоде </w:t>
            </w:r>
          </w:p>
        </w:tc>
        <w:tc>
          <w:tcPr>
            <w:tcW w:w="2889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2970" w:type="dxa"/>
            <w:gridSpan w:val="3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gridAfter w:val="1"/>
          <w:wAfter w:w="11" w:type="dxa"/>
        </w:trPr>
        <w:tc>
          <w:tcPr>
            <w:tcW w:w="137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66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поги- нулима</w:t>
            </w:r>
          </w:p>
        </w:tc>
        <w:tc>
          <w:tcPr>
            <w:tcW w:w="952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повре- ђенима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4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поги- нулима</w:t>
            </w:r>
          </w:p>
        </w:tc>
        <w:tc>
          <w:tcPr>
            <w:tcW w:w="995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повре- ђенима</w:t>
            </w:r>
          </w:p>
        </w:tc>
        <w:tc>
          <w:tcPr>
            <w:tcW w:w="98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поги- нулима</w:t>
            </w:r>
          </w:p>
        </w:tc>
        <w:tc>
          <w:tcPr>
            <w:tcW w:w="989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повре- ђенима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84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19305</w:t>
            </w:r>
          </w:p>
        </w:tc>
        <w:tc>
          <w:tcPr>
            <w:tcW w:w="8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</w:t>
            </w:r>
          </w:p>
        </w:tc>
        <w:tc>
          <w:tcPr>
            <w:tcW w:w="9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18405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15880</w:t>
            </w:r>
          </w:p>
        </w:tc>
        <w:tc>
          <w:tcPr>
            <w:tcW w:w="9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</w:t>
            </w:r>
          </w:p>
        </w:tc>
        <w:tc>
          <w:tcPr>
            <w:tcW w:w="99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15230</w:t>
            </w:r>
          </w:p>
        </w:tc>
        <w:tc>
          <w:tcPr>
            <w:tcW w:w="9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3425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1000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3175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23163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22201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19184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18474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3979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10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</w:tr>
      <w:tr>
        <w:trPr>
          <w:wAfter w:w="0" w:type="dxa"/>
          <w:trHeight w:hRule="atLeast" w:val="204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2007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120,0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106,9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120,6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120,8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109,2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121,3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10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117,4</w:t>
            </w:r>
          </w:p>
        </w:tc>
      </w:tr>
    </w:tbl>
    <w:p>
      <w:pPr>
        <w:tabs>
          <w:tab w:val="left" w:pos="3969" w:leader="none"/>
        </w:tabs>
        <w:jc w:val="center"/>
        <w:rPr>
          <w:rFonts w:ascii="Arial" w:hAnsi="Arial"/>
          <w:b w:val="1"/>
          <w:sz w:val="8"/>
        </w:rPr>
      </w:pPr>
    </w:p>
    <w:p>
      <w:pPr>
        <w:spacing w:before="40"/>
        <w:rPr>
          <w:rFonts w:ascii="Arial" w:hAnsi="Arial"/>
          <w:b w:val="1"/>
          <w:sz w:val="12"/>
          <w:u w:val="single"/>
        </w:rPr>
      </w:pPr>
      <w:r>
        <w:rPr>
          <w:rFonts w:ascii="Arial" w:hAnsi="Arial"/>
          <w:sz w:val="12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 Без података за Косово и Метохију.</w:t>
      </w: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  <w:r>
        <w:rPr>
          <w:sz w:val="20"/>
        </w:rPr>
        <w:t xml:space="preserve">Од домаћих произвођача моторних возила наjбројнија маркa регистрованих путничких аутомобила je Zastava. Најзаступљеније марке путничких аутомобила стране производње су: Volkswagen, Opel, Ford, Fiat, Renault, Mercedes, Peugeot, Škoda. </w:t>
      </w: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66" w:left="0"/>
        <w:rPr>
          <w:sz w:val="20"/>
        </w:rPr>
      </w:pPr>
      <w:r>
        <w:rPr>
          <w:sz w:val="20"/>
        </w:rPr>
        <w:t xml:space="preserve">Број први пут регистрованих мотоцикала у 2007. години у Републици Србији већи је за 49,7%,  путничких аутомобила 15,3%, а терених возила за 23,3%. Велика разлика између броја први пут регистрованих и нових регистрованих друмских моторних и прикључних возила, се јавља због тога што дистрибутери возила често продају и нова возила чија година производње није текућа. </w:t>
      </w:r>
    </w:p>
    <w:p>
      <w:pPr>
        <w:pStyle w:val="P13"/>
        <w:ind w:firstLine="366" w:left="0"/>
        <w:rPr>
          <w:sz w:val="20"/>
        </w:rPr>
      </w:pPr>
    </w:p>
    <w:p>
      <w:pPr>
        <w:pStyle w:val="P13"/>
        <w:ind w:firstLine="366" w:left="0"/>
        <w:rPr>
          <w:sz w:val="20"/>
        </w:rPr>
      </w:pPr>
      <w:r>
        <w:rPr>
          <w:sz w:val="20"/>
        </w:rPr>
        <w:t>На територији Републике Србије први пут је регистровано 10719 путничких аутомобила марке Zastava, 9201 марке Fiat, 8379 марке Opel, 6220 марке Volkswagen, 7747 марке Renault, 5376 марке Peugeot.</w:t>
      </w:r>
    </w:p>
    <w:p>
      <w:pPr>
        <w:pStyle w:val="P13"/>
        <w:ind w:firstLine="366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  <w:r>
        <w:rPr>
          <w:sz w:val="20"/>
        </w:rPr>
        <w:t xml:space="preserve">Укупан број саобраћајних незгода у 2007. години већи је за 19,2% у односу на 2006. годину. Највећи пораст саобраћајних незгода са повређеним лицима је забележен у насељу и износи 20,4%. </w:t>
      </w: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  <w:r>
        <w:rPr>
          <w:sz w:val="20"/>
        </w:rPr>
        <w:t xml:space="preserve"> Број настрадалих лица у 2007. години већи је за 20,0% у односу 2006. годину, док је број повређених у насељу већи за 21,3%.</w:t>
      </w: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ind w:left="198" w:right="198"/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130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90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</w:t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LINK Word.Document.8 "C:\\Posao\\sv20 (ivan).doc" OLE_LINK1 \a \t  \* MERGEFORMAT </w:instrText>
    </w:r>
    <w:bookmarkStart w:id="0" w:name="_1140945847"/>
    <w:bookmarkEnd w:id="0"/>
    <w:bookmarkStart w:id="1" w:name="_1141626478"/>
    <w:bookmarkEnd w:id="1"/>
    <w:bookmarkStart w:id="2" w:name="_1141634900"/>
    <w:bookmarkEnd w:id="2"/>
    <w:bookmarkStart w:id="3" w:name="_1141543219"/>
    <w:bookmarkEnd w:id="3"/>
    <w:r>
      <w:rPr>
        <w:rStyle w:val="C4"/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ИН</w:t>
    </w:r>
    <w:r>
      <w:rPr>
        <w:rFonts w:ascii="Arial" w:hAnsi="Arial"/>
        <w:sz w:val="16"/>
      </w:rPr>
      <w:t xml:space="preserve">12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OLE_LINK2 \a \t  \* MERGEFORMAT </w:instrText>
    </w:r>
    <w:bookmarkStart w:id="4" w:name="_1140945951"/>
    <w:bookmarkEnd w:id="4"/>
    <w:bookmarkStart w:id="5" w:name="_1141626479"/>
    <w:bookmarkEnd w:id="5"/>
    <w:bookmarkStart w:id="6" w:name="_1141634901"/>
    <w:bookmarkEnd w:id="6"/>
    <w:bookmarkStart w:id="7" w:name="_1141543220"/>
    <w:bookmarkEnd w:id="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OLE_LINK3 \a \t  \* MERGEFORMAT </w:instrText>
    </w:r>
    <w:bookmarkStart w:id="8" w:name="_1140946031"/>
    <w:bookmarkEnd w:id="8"/>
    <w:bookmarkStart w:id="9" w:name="_1141634902"/>
    <w:bookmarkEnd w:id="9"/>
    <w:bookmarkStart w:id="10" w:name="_1141630690"/>
    <w:bookmarkEnd w:id="10"/>
    <w:bookmarkStart w:id="11" w:name="_1141626480"/>
    <w:bookmarkEnd w:id="11"/>
    <w:bookmarkStart w:id="12" w:name="_1141543221"/>
    <w:bookmarkEnd w:id="12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OLE_LINK4 \a \t  \* MERGEFORMAT </w:instrText>
    </w:r>
    <w:bookmarkStart w:id="13" w:name="_1140946126"/>
    <w:bookmarkEnd w:id="13"/>
    <w:bookmarkStart w:id="14" w:name="_1141630691"/>
    <w:bookmarkEnd w:id="14"/>
    <w:bookmarkStart w:id="15" w:name="_1141634903"/>
    <w:bookmarkEnd w:id="15"/>
    <w:bookmarkStart w:id="16" w:name="_1141626481"/>
    <w:bookmarkEnd w:id="16"/>
    <w:bookmarkStart w:id="17" w:name="_1141543222"/>
    <w:bookmarkEnd w:id="1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    СРБ 69 СВ21 210308</w:t>
    </w:r>
  </w:p>
</w:ftr>
</file>

<file path=word/numbering.xml><?xml version="1.0" encoding="utf-8"?>
<w:numbering xmlns:w="http://schemas.openxmlformats.org/wordprocessingml/2006/main">
  <w:abstractNum w:abstractNumId="0">
    <w:nsid w:val="0B1D0706"/>
    <w:multiLevelType w:val="hybridMultilevel"/>
    <w:lvl w:ilvl="0" w:tplc="6BC21E7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62F39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73A71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277C9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527C5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02EAB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BAB0F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B431C5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AA9C0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4DE9259B"/>
    <w:multiLevelType w:val="multilevel"/>
    <w:lvl w:ilvl="0">
      <w:start w:val="1"/>
      <w:numFmt w:val="decimal"/>
      <w:suff w:val="tab"/>
      <w:lvlText w:val="%1."/>
      <w:lvlJc w:val="left"/>
      <w:pPr>
        <w:ind w:hanging="357" w:left="357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E571AD5"/>
    <w:multiLevelType w:val="hybridMultilevel"/>
    <w:lvl w:ilvl="0" w:tplc="46D1BC4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35131C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A7963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427C4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1D80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E440D7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F1E99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404F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AF991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b w:val="1"/>
      <w:sz w:val="7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28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2008-03-18T12:09:00Z</dcterms:created>
  <cp:lastModifiedBy>Nikola Kapetanovic</cp:lastModifiedBy>
  <cp:lastPrinted>2008-03-21T09:30:00Z</cp:lastPrinted>
  <dcterms:modified xsi:type="dcterms:W3CDTF">2020-01-09T15:39:55Z</dcterms:modified>
  <cp:revision>39</cp:revision>
  <dc:title>Република Србија</dc:title>
</cp:coreProperties>
</file>