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866EA80" Type="http://schemas.openxmlformats.org/officeDocument/2006/relationships/officeDocument" Target="/word/document.xml" /><Relationship Id="coreR5866EA8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923" w:type="dxa"/>
        <w:jc w:val="center"/>
        <w:tblLayout w:type="autofit"/>
        <w:tblCellMar>
          <w:top w:w="0" w:type="dxa"/>
          <w:left w:w="28" w:type="dxa"/>
          <w:bottom w:w="0" w:type="dxa"/>
          <w:right w:w="28" w:type="dxa"/>
        </w:tblCellMar>
      </w:tblPr>
      <w:tblGrid/>
      <w:tr>
        <w:trPr>
          <w:wAfter w:w="0" w:type="dxa"/>
          <w:trHeight w:hRule="atLeast" w:val="2696"/>
        </w:trPr>
        <w:tc>
          <w:tcPr>
            <w:tcW w:w="10108" w:type="dxa"/>
            <w:shd w:val="pct10" w:color="auto" w:fill="auto"/>
          </w:tcPr>
          <w:p>
            <w:pPr>
              <w:spacing w:before="40"/>
              <w:jc w:val="center"/>
              <w:rPr>
                <w:sz w:val="28"/>
              </w:rPr>
            </w:pPr>
            <w:r>
              <w:rPr>
                <w:sz w:val="28"/>
              </w:rPr>
              <w:t>РЕПУБЛИКА СРБИЈА ─ РЕПУБЛИЧКИ ЗАВОД ЗА СТАТИСТИКУ</w:t>
            </w:r>
          </w:p>
          <w:p>
            <w:pPr>
              <w:pStyle w:val="P11"/>
              <w:rPr>
                <w:rFonts w:ascii="Arial" w:hAnsi="Arial"/>
                <w:b w:val="1"/>
                <w:sz w:val="28"/>
              </w:rPr>
            </w:pPr>
            <w:r>
              <w:rPr>
                <w:rFonts w:ascii="Arial" w:hAnsi="Arial"/>
                <w:b w:val="0"/>
                <w:sz w:val="28"/>
              </w:rPr>
              <w:t xml:space="preserve">REPUBLIC OF SERBIA </w:t>
            </w:r>
            <w:r>
              <w:rPr>
                <w:rFonts w:ascii="Arial Black" w:hAnsi="Arial Black"/>
                <w:sz w:val="28"/>
              </w:rPr>
              <w:t xml:space="preserve">─ </w:t>
            </w:r>
            <w:r>
              <w:rPr>
                <w:rFonts w:ascii="Arial" w:hAnsi="Arial"/>
                <w:b w:val="0"/>
                <w:sz w:val="28"/>
              </w:rPr>
              <w:t>REPUBLIC STATISTICAL OFFICE</w:t>
            </w:r>
          </w:p>
          <w:p>
            <w:pPr>
              <w:spacing w:before="40"/>
              <w:jc w:val="center"/>
              <w:rPr>
                <w:rFonts w:ascii="Dutch-Roman" w:hAnsi="Dutch-Roman"/>
              </w:rPr>
            </w:pPr>
          </w:p>
          <w:p>
            <w:pPr>
              <w:jc w:val="center"/>
              <w:rPr>
                <w:rFonts w:ascii="BroadwayCirilica" w:hAnsi="BroadwayCirilica"/>
                <w:b w:val="1"/>
                <w:sz w:val="60"/>
              </w:rPr>
            </w:pPr>
            <w:r>
              <w:rPr>
                <w:rFonts w:ascii="Times New Roman" w:hAnsi="Times New Roman"/>
                <w:b w:val="1"/>
                <w:sz w:val="60"/>
              </w:rPr>
              <w:t>РАДНИ</w:t>
            </w:r>
            <w:r>
              <w:rPr>
                <w:rFonts w:ascii="Times New Roman" w:hAnsi="Times New Roman"/>
                <w:b w:val="1"/>
                <w:sz w:val="60"/>
              </w:rPr>
              <w:t xml:space="preserve"> </w:t>
            </w:r>
            <w:r>
              <w:rPr>
                <w:rFonts w:ascii="Times New Roman" w:hAnsi="Times New Roman"/>
                <w:b w:val="1"/>
                <w:sz w:val="60"/>
              </w:rPr>
              <w:t xml:space="preserve"> ДОКУМЕНТ</w:t>
            </w:r>
            <w:r>
              <w:rPr>
                <w:rFonts w:ascii="BroadwayCirilica" w:hAnsi="BroadwayCirilica"/>
                <w:b w:val="1"/>
                <w:sz w:val="60"/>
              </w:rPr>
              <w:t xml:space="preserve">  </w:t>
            </w:r>
          </w:p>
          <w:p>
            <w:pPr>
              <w:jc w:val="center"/>
              <w:rPr>
                <w:rFonts w:ascii="Times New Roman" w:hAnsi="Times New Roman"/>
                <w:b w:val="1"/>
                <w:sz w:val="56"/>
              </w:rPr>
            </w:pPr>
            <w:r>
              <w:rPr>
                <w:rFonts w:ascii="Times New Roman" w:hAnsi="Times New Roman"/>
                <w:b w:val="1"/>
                <w:sz w:val="60"/>
              </w:rPr>
              <w:t xml:space="preserve">WORKING </w:t>
            </w:r>
            <w:r>
              <w:rPr>
                <w:rFonts w:ascii="Times New Roman" w:hAnsi="Times New Roman"/>
                <w:b w:val="1"/>
                <w:sz w:val="60"/>
              </w:rPr>
              <w:t xml:space="preserve"> </w:t>
            </w:r>
            <w:r>
              <w:rPr>
                <w:rFonts w:ascii="Times New Roman" w:hAnsi="Times New Roman"/>
                <w:b w:val="1"/>
                <w:sz w:val="60"/>
              </w:rPr>
              <w:t>DOCUMENT</w:t>
            </w:r>
            <w:r>
              <w:rPr>
                <w:rFonts w:ascii="Times New Roman" w:hAnsi="Times New Roman"/>
                <w:b w:val="1"/>
                <w:sz w:val="56"/>
              </w:rPr>
              <w:t xml:space="preserve">      </w:t>
            </w:r>
          </w:p>
        </w:tc>
      </w:tr>
    </w:tbl>
    <w:p>
      <w:pPr>
        <w:rPr>
          <w:rFonts w:ascii="Times New Roman" w:hAnsi="Times New Roman"/>
        </w:rPr>
      </w:pPr>
    </w:p>
    <w:tbl>
      <w:tblPr>
        <w:tblStyle w:val="T2"/>
        <w:tblW w:w="0" w:type="auto"/>
        <w:jc w:val="center"/>
        <w:tblLayout w:type="autofit"/>
        <w:tblCellMar>
          <w:top w:w="0" w:type="dxa"/>
          <w:left w:w="28" w:type="dxa"/>
          <w:bottom w:w="0" w:type="dxa"/>
          <w:right w:w="28" w:type="dxa"/>
        </w:tblCellMar>
      </w:tblPr>
      <w:tblGrid/>
      <w:tr>
        <w:trPr>
          <w:wAfter w:w="0" w:type="dxa"/>
        </w:trPr>
        <w:tc>
          <w:tcPr>
            <w:tcW w:w="3969" w:type="dxa"/>
          </w:tcPr>
          <w:p>
            <w:pPr>
              <w:rPr>
                <w:rFonts w:ascii="TimesRomanBold" w:hAnsi="TimesRomanBold"/>
                <w:sz w:val="22"/>
              </w:rPr>
            </w:pPr>
          </w:p>
        </w:tc>
        <w:tc>
          <w:tcPr>
            <w:tcW w:w="6218" w:type="dxa"/>
          </w:tcPr>
          <w:p>
            <w:pPr>
              <w:jc w:val="right"/>
              <w:rPr>
                <w:b w:val="1"/>
                <w:sz w:val="22"/>
              </w:rPr>
            </w:pPr>
            <w:r>
              <w:rPr>
                <w:b w:val="1"/>
                <w:sz w:val="22"/>
              </w:rPr>
              <w:t xml:space="preserve">ISSN 1820 - 0141  </w:t>
            </w:r>
          </w:p>
        </w:tc>
      </w:tr>
    </w:tbl>
    <w:p>
      <w:pPr>
        <w:jc w:val="right"/>
        <w:rPr>
          <w:rFonts w:ascii="TimesRomanBold" w:hAnsi="TimesRomanBold"/>
        </w:rPr>
      </w:pPr>
    </w:p>
    <w:p>
      <w:pPr>
        <w:rPr>
          <w:rFonts w:ascii="Times New Roman" w:hAnsi="Times New Roman"/>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CHelvPlain" w:hAnsi="CHelvPlain"/>
          <w:i w:val="1"/>
        </w:rPr>
      </w:pPr>
    </w:p>
    <w:p>
      <w:pPr>
        <w:rPr>
          <w:rFonts w:ascii="CHelvPlain" w:hAnsi="CHelvPlain"/>
          <w:i w:val="1"/>
        </w:rPr>
      </w:pPr>
    </w:p>
    <w:p>
      <w:pPr>
        <w:jc w:val="center"/>
        <w:rPr>
          <w:b w:val="1"/>
          <w:sz w:val="40"/>
        </w:rPr>
      </w:pPr>
      <w:r>
        <w:rPr>
          <w:b w:val="1"/>
          <w:sz w:val="40"/>
        </w:rPr>
        <w:t>ЕНЕРГЕТСКИ</w:t>
      </w:r>
      <w:r>
        <w:rPr>
          <w:b w:val="1"/>
          <w:sz w:val="40"/>
        </w:rPr>
        <w:t xml:space="preserve">  </w:t>
      </w:r>
      <w:r>
        <w:rPr>
          <w:b w:val="1"/>
          <w:sz w:val="40"/>
        </w:rPr>
        <w:t>БИЛАНСИ, 200</w:t>
      </w:r>
      <w:r>
        <w:rPr>
          <w:b w:val="1"/>
          <w:sz w:val="40"/>
        </w:rPr>
        <w:t>7</w:t>
      </w:r>
      <w:r>
        <w:rPr>
          <w:b w:val="1"/>
          <w:sz w:val="40"/>
        </w:rPr>
        <w:t xml:space="preserve">. </w:t>
      </w:r>
    </w:p>
    <w:p>
      <w:pPr>
        <w:jc w:val="center"/>
        <w:rPr>
          <w:b w:val="1"/>
          <w:sz w:val="36"/>
        </w:rPr>
      </w:pPr>
      <w:r>
        <w:rPr>
          <w:b w:val="1"/>
          <w:sz w:val="36"/>
        </w:rPr>
        <w:t>електричне енергије, топлотне енергије и угља</w:t>
      </w:r>
    </w:p>
    <w:p>
      <w:pPr>
        <w:jc w:val="center"/>
        <w:rPr>
          <w:b w:val="1"/>
          <w:sz w:val="40"/>
        </w:rPr>
      </w:pPr>
    </w:p>
    <w:p>
      <w:pPr>
        <w:jc w:val="center"/>
        <w:rPr>
          <w:b w:val="1"/>
          <w:sz w:val="40"/>
        </w:rPr>
      </w:pPr>
      <w:r>
        <w:rPr>
          <w:b w:val="1"/>
          <w:sz w:val="40"/>
        </w:rPr>
        <w:t>ENE</w:t>
      </w:r>
      <w:r>
        <w:rPr>
          <w:b w:val="1"/>
          <w:sz w:val="40"/>
        </w:rPr>
        <w:t>RGY</w:t>
      </w:r>
      <w:r>
        <w:rPr>
          <w:b w:val="1"/>
          <w:sz w:val="40"/>
        </w:rPr>
        <w:t xml:space="preserve">  BALANCES, 2007</w:t>
      </w:r>
    </w:p>
    <w:p>
      <w:pPr>
        <w:jc w:val="center"/>
        <w:rPr>
          <w:b w:val="1"/>
          <w:sz w:val="40"/>
        </w:rPr>
      </w:pPr>
      <w:r>
        <w:rPr>
          <w:b w:val="1"/>
          <w:sz w:val="40"/>
        </w:rPr>
        <w:t>electricity, heat and coal</w:t>
      </w:r>
    </w:p>
    <w:p>
      <w:pPr>
        <w:pStyle w:val="P11"/>
        <w:rPr>
          <w:sz w:val="22"/>
        </w:rPr>
      </w:pPr>
    </w:p>
    <w:p>
      <w:pPr>
        <w:pStyle w:val="P11"/>
        <w:rPr>
          <w:sz w:val="22"/>
        </w:rPr>
      </w:pPr>
    </w:p>
    <w:p>
      <w:pPr>
        <w:pStyle w:val="P11"/>
        <w:rPr>
          <w:sz w:val="22"/>
        </w:rPr>
      </w:pPr>
    </w:p>
    <w:p>
      <w:pPr>
        <w:pStyle w:val="P11"/>
        <w:rPr>
          <w:rFonts w:ascii="Arial" w:hAnsi="Arial"/>
          <w:sz w:val="22"/>
        </w:rPr>
      </w:pPr>
    </w:p>
    <w:p>
      <w:pPr>
        <w:pStyle w:val="P11"/>
        <w:rPr>
          <w:sz w:val="22"/>
        </w:rPr>
      </w:pPr>
    </w:p>
    <w:p>
      <w:pPr>
        <w:pStyle w:val="P11"/>
        <w:rPr>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sz w:val="22"/>
        </w:rPr>
      </w:pPr>
    </w:p>
    <w:p>
      <w:pPr>
        <w:pStyle w:val="P11"/>
        <w:rPr>
          <w:sz w:val="22"/>
        </w:rPr>
      </w:pPr>
    </w:p>
    <w:p>
      <w:pPr>
        <w:pStyle w:val="P11"/>
        <w:rPr>
          <w:sz w:val="22"/>
        </w:rPr>
      </w:pPr>
    </w:p>
    <w:p>
      <w:pPr>
        <w:pStyle w:val="P11"/>
        <w:rPr>
          <w:sz w:val="22"/>
        </w:rPr>
      </w:pPr>
    </w:p>
    <w:tbl>
      <w:tblPr>
        <w:tblStyle w:val="T2"/>
        <w:tblW w:w="0" w:type="auto"/>
        <w:jc w:val="center"/>
        <w:tblInd w:w="108" w:type="dxa"/>
        <w:shd w:val="clear" w:fill="E0E0E0"/>
        <w:tblLayout w:type="autofit"/>
        <w:tblCellMar>
          <w:top w:w="0" w:type="dxa"/>
          <w:bottom w:w="0" w:type="dxa"/>
        </w:tblCellMar>
      </w:tblPr>
      <w:tblGrid/>
      <w:tr>
        <w:trPr>
          <w:wAfter w:w="0" w:type="dxa"/>
        </w:trPr>
        <w:tc>
          <w:tcPr>
            <w:tcW w:w="1737" w:type="dxa"/>
            <w:shd w:val="clear" w:color="auto" w:fill="E0E0E0"/>
            <w:vAlign w:val="center"/>
          </w:tcPr>
          <w:p>
            <w:pPr>
              <w:pStyle w:val="P11"/>
              <w:spacing w:before="60" w:after="80"/>
              <w:rPr>
                <w:rFonts w:ascii="A Cirilica Helvetica" w:hAnsi="A Cirilica Helvetica"/>
              </w:rPr>
            </w:pPr>
            <w:r>
              <w:rPr>
                <w:rFonts w:ascii="Arial" w:hAnsi="Arial"/>
              </w:rPr>
              <w:t>Год.─</w:t>
            </w:r>
            <w:r>
              <w:rPr>
                <w:rFonts w:ascii="A Cirilica Helvetica" w:hAnsi="A Cirilica Helvetica"/>
              </w:rPr>
              <w:t xml:space="preserve"> </w:t>
            </w:r>
            <w:r>
              <w:rPr>
                <w:rFonts w:ascii="Arial" w:hAnsi="Arial"/>
              </w:rPr>
              <w:t>XLIV</w:t>
            </w:r>
          </w:p>
        </w:tc>
        <w:tc>
          <w:tcPr>
            <w:tcW w:w="6527" w:type="dxa"/>
            <w:shd w:val="clear" w:color="auto" w:fill="E0E0E0"/>
            <w:vAlign w:val="center"/>
          </w:tcPr>
          <w:p>
            <w:pPr>
              <w:pStyle w:val="P11"/>
              <w:spacing w:before="60" w:after="80"/>
              <w:rPr>
                <w:rFonts w:ascii="Arial" w:hAnsi="Arial"/>
              </w:rPr>
            </w:pPr>
            <w:r>
              <w:rPr>
                <w:rFonts w:ascii="Arial" w:hAnsi="Arial"/>
              </w:rPr>
              <w:t xml:space="preserve"> Београд, oктобар 2008. </w:t>
            </w:r>
          </w:p>
        </w:tc>
        <w:tc>
          <w:tcPr>
            <w:tcW w:w="1767" w:type="dxa"/>
            <w:shd w:val="clear" w:color="auto" w:fill="E0E0E0"/>
            <w:vAlign w:val="center"/>
          </w:tcPr>
          <w:p>
            <w:pPr>
              <w:pStyle w:val="P11"/>
              <w:spacing w:before="60" w:after="80"/>
              <w:rPr>
                <w:rFonts w:ascii="Arial" w:hAnsi="Arial"/>
              </w:rPr>
            </w:pPr>
            <w:r>
              <w:rPr>
                <w:rFonts w:ascii="Arial" w:hAnsi="Arial"/>
              </w:rPr>
              <w:t>Број 63</w:t>
            </w:r>
          </w:p>
        </w:tc>
      </w:tr>
      <w:tr>
        <w:trPr>
          <w:wAfter w:w="0" w:type="dxa"/>
        </w:trPr>
        <w:tc>
          <w:tcPr>
            <w:tcW w:w="1737" w:type="dxa"/>
            <w:shd w:val="clear" w:color="auto" w:fill="E0E0E0"/>
            <w:vAlign w:val="center"/>
          </w:tcPr>
          <w:p>
            <w:pPr>
              <w:pStyle w:val="P11"/>
              <w:spacing w:after="60"/>
              <w:ind w:hanging="3" w:left="3"/>
              <w:rPr>
                <w:rFonts w:ascii="Arial" w:hAnsi="Arial"/>
                <w:i w:val="1"/>
              </w:rPr>
            </w:pPr>
            <w:r>
              <w:rPr>
                <w:rFonts w:ascii="Arial" w:hAnsi="Arial"/>
                <w:i w:val="1"/>
              </w:rPr>
              <w:t>Year</w:t>
            </w:r>
            <w:r>
              <w:rPr>
                <w:rFonts w:ascii="Arial" w:hAnsi="Arial"/>
                <w:i w:val="1"/>
              </w:rPr>
              <w:t xml:space="preserve"> ─ </w:t>
            </w:r>
            <w:r>
              <w:rPr>
                <w:rFonts w:ascii="Arial" w:hAnsi="Arial"/>
                <w:i w:val="1"/>
              </w:rPr>
              <w:t>XL</w:t>
            </w:r>
            <w:r>
              <w:rPr>
                <w:rFonts w:ascii="Arial" w:hAnsi="Arial"/>
                <w:i w:val="1"/>
              </w:rPr>
              <w:t>I</w:t>
            </w:r>
            <w:r>
              <w:rPr>
                <w:rFonts w:ascii="Arial" w:hAnsi="Arial"/>
                <w:i w:val="1"/>
              </w:rPr>
              <w:t>V</w:t>
            </w:r>
          </w:p>
        </w:tc>
        <w:tc>
          <w:tcPr>
            <w:tcW w:w="6527" w:type="dxa"/>
            <w:shd w:val="clear" w:color="auto" w:fill="E0E0E0"/>
            <w:vAlign w:val="center"/>
          </w:tcPr>
          <w:p>
            <w:pPr>
              <w:pStyle w:val="P11"/>
              <w:spacing w:after="60"/>
              <w:rPr>
                <w:rFonts w:ascii="Arial" w:hAnsi="Arial"/>
                <w:i w:val="1"/>
              </w:rPr>
            </w:pPr>
            <w:r>
              <w:rPr>
                <w:rFonts w:ascii="Arial" w:hAnsi="Arial"/>
                <w:i w:val="1"/>
              </w:rPr>
              <w:t>Belgrade</w:t>
            </w:r>
            <w:r>
              <w:rPr>
                <w:rFonts w:ascii="Arial" w:hAnsi="Arial"/>
                <w:i w:val="1"/>
              </w:rPr>
              <w:t xml:space="preserve">, </w:t>
            </w:r>
            <w:r>
              <w:rPr>
                <w:rFonts w:ascii="Arial" w:hAnsi="Arial"/>
                <w:i w:val="1"/>
              </w:rPr>
              <w:t>October 2008</w:t>
            </w:r>
          </w:p>
        </w:tc>
        <w:tc>
          <w:tcPr>
            <w:tcW w:w="1767" w:type="dxa"/>
            <w:shd w:val="clear" w:color="auto" w:fill="E0E0E0"/>
            <w:vAlign w:val="center"/>
          </w:tcPr>
          <w:p>
            <w:pPr>
              <w:pStyle w:val="P11"/>
              <w:spacing w:after="60"/>
              <w:rPr>
                <w:rFonts w:ascii="Arial" w:hAnsi="Arial"/>
                <w:i w:val="1"/>
              </w:rPr>
            </w:pPr>
            <w:r>
              <w:rPr>
                <w:rFonts w:ascii="Arial" w:hAnsi="Arial"/>
                <w:i w:val="1"/>
              </w:rPr>
              <w:t xml:space="preserve">  </w:t>
            </w:r>
            <w:r>
              <w:rPr>
                <w:rFonts w:ascii="Arial" w:hAnsi="Arial"/>
                <w:i w:val="1"/>
              </w:rPr>
              <w:t>N</w:t>
            </w:r>
            <w:r>
              <w:rPr>
                <w:rFonts w:ascii="Arial" w:hAnsi="Arial"/>
                <w:i w:val="1"/>
                <w:vertAlign w:val="superscript"/>
              </w:rPr>
              <w:t>o</w:t>
            </w:r>
            <w:r>
              <w:rPr>
                <w:rFonts w:ascii="Arial" w:hAnsi="Arial"/>
                <w:i w:val="1"/>
                <w:vertAlign w:val="superscript"/>
              </w:rPr>
              <w:t xml:space="preserve">    </w:t>
            </w:r>
            <w:r>
              <w:rPr>
                <w:rFonts w:ascii="Arial" w:hAnsi="Arial"/>
                <w:i w:val="1"/>
              </w:rPr>
              <w:t>63</w:t>
            </w:r>
          </w:p>
        </w:tc>
      </w:tr>
    </w:tbl>
    <w:p>
      <w:pPr>
        <w:rPr>
          <w:rFonts w:ascii="CHelvPlain" w:hAnsi="CHelvPlain"/>
          <w:i w:val="1"/>
        </w:rPr>
      </w:pPr>
    </w:p>
    <w:p>
      <w:r>
        <mc:AlternateContent>
          <mc:Choice Requires="wps">
            <w:drawing>
              <wp:anchor xmlns:wp="http://schemas.openxmlformats.org/drawingml/2006/wordprocessingDrawing" simplePos="0" allowOverlap="0" behindDoc="1" layoutInCell="1" locked="0" relativeHeight="2" distL="114300" distR="114300">
                <wp:simplePos x="0" y="0"/>
                <wp:positionH relativeFrom="column">
                  <wp:posOffset>-180975</wp:posOffset>
                </wp:positionH>
                <wp:positionV relativeFrom="paragraph">
                  <wp:posOffset>-582295</wp:posOffset>
                </wp:positionV>
                <wp:extent cx="6530975" cy="483870"/>
                <wp:wrapNone/>
                <wp:docPr id="1" name="Text Box 1"/>
                <a:graphic xmlns:a="http://schemas.openxmlformats.org/drawingml/2006/main">
                  <a:graphicData uri="http://schemas.microsoft.com/office/word/2010/wordprocessingShape">
                    <wps:wsp>
                      <wps:cNvSpPr/>
                      <wps:spPr>
                        <a:xfrm>
                          <a:off x="0" y="0"/>
                          <a:ext cx="6530975" cy="483870"/>
                        </a:xfrm>
                        <a:prstGeom prst="rect"/>
                      </wps:spPr>
                      <wps:txbx>
                        <w:txbxContent>
                          <w:p/>
                        </w:txbxContent>
                      </wps:txbx>
                      <wps:bodyPr/>
                    </wps:wsp>
                  </a:graphicData>
                </a:graphic>
              </wp:anchor>
            </w:drawing>
          </mc:Choice>
          <mc:Fallback>
            <w:pict>
              <v:shapetype id="2" path="m,l,21600r21600,l21600,xe"/>
              <v:shape xmlns:o="urn:schemas-microsoft-com:office:office" type="#2" id="Text Box 1" style="position:absolute;width:514.25pt;height:38.1pt;z-index:2;mso-wrap-distance-left:9pt;mso-wrap-distance-top:0pt;mso-wrap-distance-right:9pt;mso-wrap-distance-bottom:0pt;margin-left:-14.25pt;margin-top:-45.85pt;mso-position-horizontal:absolute;mso-position-horizontal-relative:text;mso-position-vertical:absolute;mso-position-vertical-relative:text" stroked="f" o:allowincell="t">
                <v:textbox>
                  <w:txbxContent>
                    <w:p/>
                  </w:txbxContent>
                </v:textbox>
              </v:shape>
            </w:pict>
          </mc:Fallback>
        </mc:AlternateContent>
      </w:r>
    </w:p>
    <w:p/>
    <w:p/>
    <w:p>
      <w:pPr>
        <w:pStyle w:val="P26"/>
        <w:rPr>
          <w:rFonts w:ascii="Arial" w:hAnsi="Arial"/>
          <w:sz w:val="22"/>
        </w:rPr>
      </w:pPr>
      <w:r>
        <w:rPr>
          <w:rFonts w:ascii="Arial" w:hAnsi="Arial"/>
          <w:sz w:val="22"/>
        </w:rPr>
        <w:t>Издавач: Републички завод за статистику Србије</w:t>
      </w:r>
    </w:p>
    <w:p>
      <w:pPr>
        <w:pStyle w:val="P26"/>
        <w:ind w:left="822"/>
        <w:rPr>
          <w:rFonts w:ascii="Arial" w:hAnsi="Arial"/>
          <w:sz w:val="22"/>
        </w:rPr>
      </w:pPr>
      <w:r>
        <w:rPr>
          <w:rFonts w:ascii="Arial" w:hAnsi="Arial"/>
          <w:sz w:val="22"/>
        </w:rPr>
        <w:t>Београд, Милана Ракића бр. 5</w:t>
      </w:r>
    </w:p>
    <w:p>
      <w:pPr>
        <w:pStyle w:val="P26"/>
        <w:spacing w:before="60"/>
        <w:rPr>
          <w:rFonts w:ascii="Arial" w:hAnsi="Arial"/>
          <w:sz w:val="22"/>
        </w:rPr>
      </w:pPr>
      <w:r>
        <w:rPr>
          <w:rFonts w:ascii="Arial" w:hAnsi="Arial"/>
          <w:sz w:val="22"/>
        </w:rPr>
        <w:t>Issued by: Statistical Office of the Republic of Serbia</w:t>
      </w:r>
    </w:p>
    <w:p>
      <w:pPr>
        <w:pStyle w:val="P26"/>
        <w:ind w:left="851"/>
        <w:rPr>
          <w:rFonts w:ascii="Arial" w:hAnsi="Arial"/>
          <w:sz w:val="22"/>
        </w:rPr>
      </w:pPr>
      <w:r>
        <w:rPr>
          <w:rFonts w:ascii="Arial" w:hAnsi="Arial"/>
          <w:sz w:val="22"/>
        </w:rPr>
        <w:t>Belgrade, Milana Rakica no. 5</w:t>
      </w:r>
    </w:p>
    <w:p>
      <w:pPr>
        <w:pStyle w:val="P26"/>
        <w:rPr>
          <w:rFonts w:ascii="Arial" w:hAnsi="Arial"/>
          <w:sz w:val="22"/>
        </w:rPr>
      </w:pPr>
    </w:p>
    <w:p>
      <w:pPr>
        <w:pStyle w:val="P26"/>
        <w:rPr>
          <w:rFonts w:ascii="Arial" w:hAnsi="Arial"/>
          <w:sz w:val="22"/>
        </w:rPr>
      </w:pPr>
    </w:p>
    <w:p>
      <w:pPr>
        <w:pStyle w:val="P26"/>
        <w:rPr>
          <w:rFonts w:ascii="Arial" w:hAnsi="Arial"/>
          <w:sz w:val="22"/>
        </w:rPr>
      </w:pPr>
      <w:r>
        <w:rPr>
          <w:rFonts w:ascii="Arial" w:hAnsi="Arial"/>
          <w:sz w:val="22"/>
        </w:rPr>
        <w:t xml:space="preserve">За издавача: др  Драган Вукмировић,  директор</w:t>
      </w:r>
    </w:p>
    <w:p>
      <w:pPr>
        <w:pStyle w:val="P26"/>
        <w:spacing w:before="60"/>
        <w:rPr>
          <w:rFonts w:ascii="Arial" w:hAnsi="Arial"/>
          <w:sz w:val="22"/>
        </w:rPr>
      </w:pPr>
      <w:r>
        <w:rPr>
          <w:rFonts w:ascii="Arial" w:hAnsi="Arial"/>
          <w:sz w:val="22"/>
        </w:rPr>
        <w:t>For issuer: Director Dragan Vukmirovic, PhD.</w:t>
      </w:r>
    </w:p>
    <w:p>
      <w:pPr>
        <w:pStyle w:val="P19"/>
        <w:jc w:val="left"/>
        <w:rPr>
          <w:rFonts w:ascii="Times New Roman" w:hAnsi="Times New Roman"/>
          <w:sz w:val="18"/>
        </w:rPr>
      </w:pPr>
    </w:p>
    <w:p>
      <w:pPr>
        <w:pStyle w:val="P19"/>
        <w:jc w:val="left"/>
        <w:rPr>
          <w:rFonts w:ascii="Times New Roman" w:hAnsi="Times New Roman"/>
          <w:sz w:val="18"/>
        </w:rPr>
      </w:pPr>
    </w:p>
    <w:p>
      <w:pPr>
        <w:pStyle w:val="P19"/>
        <w:jc w:val="left"/>
        <w:rPr>
          <w:rFonts w:ascii="Times New Roman" w:hAnsi="Times New Roman"/>
          <w:sz w:val="18"/>
        </w:rPr>
      </w:pPr>
    </w:p>
    <w:p>
      <w:pPr>
        <w:pStyle w:val="P19"/>
        <w:jc w:val="left"/>
        <w:rPr>
          <w:rFonts w:ascii="Times New Roman" w:hAnsi="Times New Roman"/>
          <w:sz w:val="18"/>
        </w:rPr>
      </w:pPr>
    </w:p>
    <w:p>
      <w:pPr>
        <w:pStyle w:val="P19"/>
        <w:jc w:val="left"/>
        <w:rPr>
          <w:rFonts w:ascii="Times New Roman" w:hAnsi="Times New Roman"/>
          <w:sz w:val="18"/>
        </w:rPr>
      </w:pPr>
    </w:p>
    <w:p>
      <w:pPr>
        <w:pStyle w:val="P19"/>
        <w:jc w:val="left"/>
        <w:rPr>
          <w:rFonts w:ascii="Times New Roman" w:hAnsi="Times New Roman"/>
          <w:sz w:val="18"/>
        </w:rPr>
      </w:pPr>
    </w:p>
    <w:p>
      <w:pPr>
        <w:pStyle w:val="P19"/>
        <w:jc w:val="left"/>
        <w:rPr>
          <w:rFonts w:ascii="Times New Roman" w:hAnsi="Times New Roman"/>
          <w:sz w:val="18"/>
        </w:rPr>
      </w:pPr>
    </w:p>
    <w:p>
      <w:pPr>
        <w:pStyle w:val="P19"/>
        <w:jc w:val="left"/>
        <w:rPr>
          <w:rFonts w:ascii="Times New Roman" w:hAnsi="Times New Roman"/>
          <w:sz w:val="18"/>
        </w:rPr>
      </w:pPr>
    </w:p>
    <w:p>
      <w:r>
        <mc:AlternateContent>
          <mc:Choice Requires="wps">
            <w:rPr>
              <w:rFonts w:ascii="Times New Roman" w:hAnsi="Times New Roman"/>
              <w:sz w:val="18"/>
            </w:rPr>
            <w:drawing>
              <wp:anchor xmlns:wp="http://schemas.openxmlformats.org/drawingml/2006/wordprocessingDrawing" simplePos="0" allowOverlap="0" behindDoc="0" layoutInCell="1" locked="0" relativeHeight="1" distL="114300" distR="114300">
                <wp:simplePos x="0" y="0"/>
                <wp:positionH relativeFrom="column">
                  <wp:posOffset>977265</wp:posOffset>
                </wp:positionH>
                <wp:positionV relativeFrom="paragraph">
                  <wp:posOffset>34290</wp:posOffset>
                </wp:positionV>
                <wp:extent cx="4669155" cy="791845"/>
                <wp:wrapNone/>
                <wp:docPr id="3" name="Text Box 3"/>
                <a:graphic xmlns:a="http://schemas.openxmlformats.org/drawingml/2006/main">
                  <a:graphicData uri="http://schemas.microsoft.com/office/word/2010/wordprocessingShape">
                    <wps:wsp>
                      <wps:cNvSpPr/>
                      <wps:spPr>
                        <a:xfrm>
                          <a:off x="0" y="0"/>
                          <a:ext cx="4669155" cy="791845"/>
                        </a:xfrm>
                        <a:prstGeom prst="rect"/>
                        <a:solidFill>
                          <a:srgbClr val="FFFFFF"/>
                        </a:solidFill>
                        <a:ln w="9525">
                          <a:solidFill>
                            <a:srgbClr val="000000"/>
                          </a:solidFill>
                        </a:ln>
                      </wps:spPr>
                      <wps:txbx>
                        <w:txbxContent>
                          <w:p>
                            <w:pPr>
                              <w:spacing w:before="120"/>
                              <w:jc w:val="center"/>
                            </w:pPr>
                            <w:r>
                              <w:t>Приликом коришћења података објављених у овој публикацији</w:t>
                            </w:r>
                          </w:p>
                          <w:p>
                            <w:pPr>
                              <w:spacing w:after="60"/>
                              <w:jc w:val="center"/>
                            </w:pPr>
                            <w:r>
                              <w:t>обавезно је навођење извора.</w:t>
                            </w:r>
                          </w:p>
                          <w:p>
                            <w:pPr>
                              <w:spacing w:before="120"/>
                              <w:jc w:val="center"/>
                            </w:pPr>
                            <w:r>
                              <w:t xml:space="preserve">While using data published in this Publication it is necessary </w:t>
                            </w:r>
                          </w:p>
                          <w:p>
                            <w:pPr>
                              <w:spacing w:after="120"/>
                              <w:jc w:val="center"/>
                            </w:pPr>
                            <w:r>
                              <w:t>to acknowledge the source.</w:t>
                            </w:r>
                          </w:p>
                        </w:txbxContent>
                      </wps:txbx>
                      <wps:bodyPr lIns="0" tIns="0" rIns="0" bIns="0"/>
                    </wps:wsp>
                  </a:graphicData>
                </a:graphic>
              </wp:anchor>
            </w:drawing>
          </mc:Choice>
          <mc:Fallback>
            <w:pict>
              <v:shapetype id="4" path="m,l,21600r21600,l21600,xe"/>
              <v:shape xmlns:o="urn:schemas-microsoft-com:office:office" type="#4" id="Text Box 3" style="position:absolute;width:367.65pt;height:62.35pt;z-index:1;mso-wrap-distance-left:9pt;mso-wrap-distance-top:0pt;mso-wrap-distance-right:9pt;mso-wrap-distance-bottom:0pt;margin-left:76.95pt;margin-top:2.7pt;mso-position-horizontal:absolute;mso-position-horizontal-relative:text;mso-position-vertical:absolute;mso-position-vertical-relative:text" fillcolor="#FFFFFF" strokecolor="#000000" strokeweight="0pt" o:allowincell="t">
                <v:textbox inset="0mm,0mm,0mm,0mm">
                  <w:txbxContent>
                    <w:p>
                      <w:pPr>
                        <w:spacing w:before="120"/>
                        <w:jc w:val="center"/>
                      </w:pPr>
                      <w:r>
                        <w:t>Приликом коришћења података објављених у овој публикацији</w:t>
                      </w:r>
                    </w:p>
                    <w:p>
                      <w:pPr>
                        <w:spacing w:after="60"/>
                        <w:jc w:val="center"/>
                      </w:pPr>
                      <w:r>
                        <w:t>обавезно је навођење извора.</w:t>
                      </w:r>
                    </w:p>
                    <w:p>
                      <w:pPr>
                        <w:spacing w:before="120"/>
                        <w:jc w:val="center"/>
                      </w:pPr>
                      <w:r>
                        <w:t xml:space="preserve">While using data published in this Publication it is necessary </w:t>
                      </w:r>
                    </w:p>
                    <w:p>
                      <w:pPr>
                        <w:spacing w:after="120"/>
                        <w:jc w:val="center"/>
                      </w:pPr>
                      <w:r>
                        <w:t>to acknowledge the source.</w:t>
                      </w:r>
                    </w:p>
                  </w:txbxContent>
                </v:textbox>
              </v:shape>
            </w:pict>
          </mc:Fallback>
        </mc:AlternateContent>
      </w:r>
    </w:p>
    <w:p/>
    <w:p/>
    <w:p/>
    <w:p/>
    <w:p/>
    <w:p>
      <w:pPr>
        <w:pStyle w:val="P19"/>
        <w:jc w:val="left"/>
        <w:rPr>
          <w:rFonts w:ascii="Times New Roman" w:hAnsi="Times New Roman"/>
          <w:sz w:val="18"/>
        </w:rPr>
      </w:pPr>
    </w:p>
    <w:p>
      <w:pPr>
        <w:pStyle w:val="P19"/>
        <w:jc w:val="left"/>
        <w:rPr>
          <w:rFonts w:ascii="Times New Roman" w:hAnsi="Times New Roman"/>
          <w:sz w:val="18"/>
        </w:rPr>
      </w:pPr>
    </w:p>
    <w:p>
      <w:pPr>
        <w:pStyle w:val="P11"/>
        <w:jc w:val="left"/>
        <w:rPr>
          <w:rFonts w:ascii="Times New Roman" w:hAnsi="Times New Roman"/>
          <w:sz w:val="22"/>
        </w:rPr>
      </w:pPr>
    </w:p>
    <w:tbl>
      <w:tblPr>
        <w:tblStyle w:val="T3"/>
        <w:tblW w:w="0" w:type="auto"/>
        <w:tblInd w:w="397" w:type="dxa"/>
        <w:tblLayout w:type="autofit"/>
        <w:tblCellMar>
          <w:left w:w="28" w:type="dxa"/>
          <w:right w:w="28" w:type="dxa"/>
        </w:tblCellMar>
      </w:tblPr>
      <w:tblGrid/>
      <w:tr>
        <w:trPr>
          <w:wAfter w:w="0" w:type="dxa"/>
        </w:trPr>
        <w:tc>
          <w:tcPr>
            <w:tcW w:w="4536" w:type="dxa"/>
            <w:vAlign w:val="center"/>
          </w:tcPr>
          <w:p>
            <w:pPr>
              <w:spacing w:before="240"/>
              <w:ind w:left="284"/>
            </w:pPr>
            <w:r>
              <w:t>CIP - Каталогизација у публикацији</w:t>
            </w:r>
          </w:p>
          <w:p>
            <w:pPr>
              <w:ind w:left="284"/>
            </w:pPr>
            <w:r>
              <w:t>Народна библиотека Србије, Београд</w:t>
            </w:r>
          </w:p>
          <w:p>
            <w:pPr>
              <w:ind w:left="284"/>
            </w:pPr>
            <w:r>
              <w:t>311 (497.11)</w:t>
            </w:r>
          </w:p>
          <w:p>
            <w:pPr>
              <w:ind w:left="284"/>
            </w:pPr>
          </w:p>
          <w:p>
            <w:pPr>
              <w:ind w:left="284"/>
            </w:pPr>
            <w:r>
              <w:t xml:space="preserve">         РАДНИ документ / Република Србија -</w:t>
            </w:r>
          </w:p>
          <w:p>
            <w:pPr>
              <w:ind w:left="284"/>
            </w:pPr>
            <w:r>
              <w:t>Републички завод за статистику = Working</w:t>
            </w:r>
          </w:p>
          <w:p>
            <w:pPr>
              <w:ind w:left="284"/>
            </w:pPr>
            <w:r>
              <w:t>Document / Republic of Serbia – Republic</w:t>
            </w:r>
          </w:p>
          <w:p>
            <w:pPr>
              <w:ind w:left="284"/>
            </w:pPr>
            <w:r>
              <w:t>Statistical Office ; одговара Драган Вукмировић.</w:t>
            </w:r>
          </w:p>
          <w:p>
            <w:pPr>
              <w:ind w:left="284"/>
            </w:pPr>
            <w:r>
              <w:t xml:space="preserve"> - 1965, бр. 1-               . - Београд (Милана</w:t>
            </w:r>
          </w:p>
          <w:p>
            <w:pPr>
              <w:ind w:left="284"/>
            </w:pPr>
            <w:r>
              <w:t xml:space="preserve">Ракића 5) :  Републички завод за статистику </w:t>
            </w:r>
          </w:p>
          <w:p>
            <w:pPr>
              <w:ind w:left="284"/>
            </w:pPr>
            <w:r>
              <w:t xml:space="preserve">Србије, 1965- (Београд : Републички завод </w:t>
            </w:r>
          </w:p>
          <w:p>
            <w:pPr>
              <w:ind w:left="284"/>
            </w:pPr>
            <w:r>
              <w:t>за статистику Србије). - 27 cm</w:t>
            </w:r>
          </w:p>
          <w:p>
            <w:pPr>
              <w:ind w:left="284"/>
            </w:pPr>
          </w:p>
          <w:p>
            <w:pPr>
              <w:ind w:left="284"/>
            </w:pPr>
            <w:r>
              <w:t>ISSN 1820-0141 = Радни документ -</w:t>
            </w:r>
          </w:p>
          <w:p>
            <w:pPr>
              <w:ind w:left="284"/>
            </w:pPr>
            <w:r>
              <w:t>Република Србија. Републички завод за</w:t>
            </w:r>
          </w:p>
          <w:p>
            <w:pPr>
              <w:ind w:left="284"/>
            </w:pPr>
            <w:r>
              <w:t>статистику</w:t>
            </w:r>
          </w:p>
          <w:p>
            <w:pPr>
              <w:ind w:left="284"/>
            </w:pPr>
          </w:p>
          <w:p>
            <w:pPr>
              <w:ind w:left="284"/>
              <w:rPr>
                <w:rFonts w:ascii="Times New Roman" w:hAnsi="Times New Roman"/>
              </w:rPr>
            </w:pPr>
            <w:r>
              <w:t>COBISS.SR-ID 59835916</w:t>
            </w:r>
          </w:p>
          <w:p>
            <w:pPr>
              <w:ind w:left="284"/>
              <w:rPr>
                <w:b w:val="1"/>
                <w:sz w:val="22"/>
              </w:rPr>
            </w:pPr>
          </w:p>
        </w:tc>
      </w:tr>
    </w:tbl>
    <w:p>
      <w:pPr>
        <w:pStyle w:val="P20"/>
        <w:rPr>
          <w:rFonts w:ascii="Times New Roman" w:hAnsi="Times New Roman"/>
          <w:sz w:val="18"/>
        </w:rPr>
      </w:pPr>
    </w:p>
    <w:p>
      <w:pPr>
        <w:pStyle w:val="P20"/>
        <w:rPr>
          <w:rFonts w:ascii="Times New Roman" w:hAnsi="Times New Roman"/>
          <w:sz w:val="18"/>
        </w:rPr>
      </w:pPr>
    </w:p>
    <w:p>
      <w:pPr>
        <w:pStyle w:val="P20"/>
        <w:rPr>
          <w:rFonts w:ascii="Times New Roman" w:hAnsi="Times New Roman"/>
          <w:sz w:val="18"/>
        </w:rPr>
      </w:pPr>
    </w:p>
    <w:p>
      <w:pPr>
        <w:pStyle w:val="P20"/>
        <w:rPr>
          <w:rFonts w:ascii="Times New Roman" w:hAnsi="Times New Roman"/>
          <w:sz w:val="18"/>
        </w:rPr>
      </w:pPr>
    </w:p>
    <w:p>
      <w:pPr>
        <w:pStyle w:val="P20"/>
        <w:rPr>
          <w:rFonts w:ascii="Times New Roman" w:hAnsi="Times New Roman"/>
          <w:sz w:val="18"/>
        </w:rPr>
      </w:pPr>
      <w:r>
        <mc:AlternateContent>
          <mc:Choice Requires="wps">
            <w:drawing>
              <wp:anchor xmlns:wp="http://schemas.openxmlformats.org/drawingml/2006/wordprocessingDrawing" simplePos="0" allowOverlap="0" behindDoc="1" layoutInCell="1" locked="0" relativeHeight="3" distL="114300" distR="114300">
                <wp:simplePos x="0" y="0"/>
                <wp:positionH relativeFrom="column">
                  <wp:posOffset>-147320</wp:posOffset>
                </wp:positionH>
                <wp:positionV relativeFrom="paragraph">
                  <wp:posOffset>92710</wp:posOffset>
                </wp:positionV>
                <wp:extent cx="6649720" cy="708660"/>
                <wp:wrapNone/>
                <wp:docPr id="5" name="Text Box 5"/>
                <a:graphic xmlns:a="http://schemas.openxmlformats.org/drawingml/2006/main">
                  <a:graphicData uri="http://schemas.microsoft.com/office/word/2010/wordprocessingShape">
                    <wps:wsp>
                      <wps:cNvSpPr/>
                      <wps:spPr>
                        <a:xfrm>
                          <a:off x="0" y="0"/>
                          <a:ext cx="6649720" cy="708660"/>
                        </a:xfrm>
                        <a:prstGeom prst="rect"/>
                      </wps:spPr>
                      <wps:txbx>
                        <w:txbxContent>
                          <w:p/>
                        </w:txbxContent>
                      </wps:txbx>
                      <wps:bodyPr/>
                    </wps:wsp>
                  </a:graphicData>
                </a:graphic>
              </wp:anchor>
            </w:drawing>
          </mc:Choice>
          <mc:Fallback>
            <w:pict>
              <v:shapetype id="6" path="m,l,21600r21600,l21600,xe"/>
              <v:shape xmlns:o="urn:schemas-microsoft-com:office:office" type="#6" id="Text Box 5" style="position:absolute;width:523.6pt;height:55.8pt;z-index:3;mso-wrap-distance-left:9pt;mso-wrap-distance-top:0pt;mso-wrap-distance-right:9pt;mso-wrap-distance-bottom:0pt;margin-left:-11.6pt;margin-top:7.3pt;mso-position-horizontal:absolute;mso-position-horizontal-relative:text;mso-position-vertical:absolute;mso-position-vertical-relative:text" stroked="f" o:allowincell="t">
                <v:textbox>
                  <w:txbxContent>
                    <w:p/>
                  </w:txbxContent>
                </v:textbox>
              </v:shape>
            </w:pict>
          </mc:Fallback>
        </mc:AlternateContent>
      </w:r>
    </w:p>
    <w:p>
      <w:pPr>
        <w:pStyle w:val="P11"/>
        <w:sectPr>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type w:val="nextPage"/>
          <w:pgSz w:w="11907" w:h="16840" w:code="0"/>
          <w:pgMar w:left="992" w:right="992" w:top="907" w:bottom="907" w:header="907" w:footer="907" w:gutter="0"/>
          <w:cols w:equalWidth="1" w:space="720"/>
          <w:titlePg w:val="1"/>
          <w:paperSrc w:first="15" w:other="15"/>
        </w:sectPr>
      </w:pPr>
      <w:r>
        <mc:AlternateContent>
          <mc:Choice Requires="wps">
            <w:drawing>
              <wp:anchor xmlns:wp="http://schemas.openxmlformats.org/drawingml/2006/wordprocessingDrawing" simplePos="0" allowOverlap="0" behindDoc="1" layoutInCell="1" locked="0" relativeHeight="1" distL="114300" distR="114300">
                <wp:simplePos x="0" y="0"/>
                <wp:positionH relativeFrom="column">
                  <wp:posOffset>-28575</wp:posOffset>
                </wp:positionH>
                <wp:positionV relativeFrom="paragraph">
                  <wp:posOffset>8630285</wp:posOffset>
                </wp:positionV>
                <wp:extent cx="6530975" cy="725805"/>
                <wp:wrapNone/>
                <wp:docPr id="7" name="Text Box 7"/>
                <a:graphic xmlns:a="http://schemas.openxmlformats.org/drawingml/2006/main">
                  <a:graphicData uri="http://schemas.microsoft.com/office/word/2010/wordprocessingShape">
                    <wps:wsp>
                      <wps:cNvSpPr/>
                      <wps:spPr>
                        <a:xfrm>
                          <a:off x="0" y="0"/>
                          <a:ext cx="6530975" cy="725805"/>
                        </a:xfrm>
                        <a:prstGeom prst="rect"/>
                      </wps:spPr>
                      <wps:txbx>
                        <w:txbxContent>
                          <w:p/>
                        </w:txbxContent>
                      </wps:txbx>
                      <wps:bodyPr/>
                    </wps:wsp>
                  </a:graphicData>
                </a:graphic>
              </wp:anchor>
            </w:drawing>
          </mc:Choice>
          <mc:Fallback>
            <w:pict>
              <v:shapetype id="8" path="m,l,21600r21600,l21600,xe"/>
              <v:shape xmlns:o="urn:schemas-microsoft-com:office:office" type="#8" id="Text Box 7" style="position:absolute;width:514.25pt;height:57.15pt;z-index:1;mso-wrap-distance-left:9pt;mso-wrap-distance-top:0pt;mso-wrap-distance-right:9pt;mso-wrap-distance-bottom:0pt;margin-left:-2.25pt;margin-top:679.55pt;mso-position-horizontal:absolute;mso-position-horizontal-relative:text;mso-position-vertical:absolute;mso-position-vertical-relative:text" stroked="f" o:allowincell="t">
                <v:textbox>
                  <w:txbxContent>
                    <w:p/>
                  </w:txbxContent>
                </v:textbox>
              </v:shape>
            </w:pict>
          </mc:Fallback>
        </mc:AlternateContent>
      </w:r>
    </w:p>
    <w:p>
      <w:pPr>
        <w:pStyle w:val="P1"/>
        <w:spacing w:lineRule="auto" w:line="288" w:before="1400"/>
        <w:jc w:val="center"/>
      </w:pPr>
      <w:r>
        <w:t>САДРЖАЈ / CONTENTS</w:t>
      </w:r>
    </w:p>
    <w:p>
      <w:pPr>
        <w:tabs>
          <w:tab w:val="right" w:pos="4536" w:leader="dot"/>
        </w:tabs>
        <w:rPr>
          <w:rFonts w:ascii="Arial Narrow" w:hAnsi="Arial Narrow"/>
          <w:b w:val="1"/>
          <w:sz w:val="21"/>
        </w:rPr>
      </w:pPr>
    </w:p>
    <w:tbl>
      <w:tblPr>
        <w:tblStyle w:val="T2"/>
        <w:tblW w:w="0" w:type="auto"/>
        <w:jc w:val="center"/>
        <w:tblLayout w:type="autofit"/>
        <w:tblCellMar>
          <w:left w:w="28" w:type="dxa"/>
          <w:right w:w="28" w:type="dxa"/>
        </w:tblCellMar>
      </w:tblPr>
      <w:tblGrid/>
      <w:tr>
        <w:trPr>
          <w:wAfter w:w="0" w:type="dxa"/>
        </w:trPr>
        <w:tc>
          <w:tcPr>
            <w:tcW w:w="4593" w:type="dxa"/>
          </w:tcPr>
          <w:p>
            <w:pPr>
              <w:tabs>
                <w:tab w:val="right" w:pos="4536" w:leader="dot"/>
              </w:tabs>
              <w:rPr>
                <w:rFonts w:ascii="Arial Narrow" w:hAnsi="Arial Narrow"/>
                <w:b w:val="1"/>
                <w:sz w:val="21"/>
              </w:rPr>
            </w:pPr>
            <w:r>
              <w:rPr>
                <w:rFonts w:ascii="Arial Narrow" w:hAnsi="Arial Narrow"/>
                <w:b w:val="1"/>
                <w:sz w:val="21"/>
              </w:rPr>
              <w:t>У</w:t>
            </w:r>
            <w:r>
              <w:rPr>
                <w:rFonts w:ascii="Arial Narrow" w:hAnsi="Arial Narrow"/>
                <w:b w:val="1"/>
                <w:sz w:val="21"/>
              </w:rPr>
              <w:t>ВОДНЕ НАПОМЕНЕ</w:t>
            </w:r>
            <w:r>
              <w:rPr>
                <w:rFonts w:ascii="Arial Narrow" w:hAnsi="Arial Narrow"/>
                <w:b w:val="1"/>
                <w:sz w:val="21"/>
              </w:rPr>
              <w:t xml:space="preserve"> </w:t>
              <w:tab/>
            </w:r>
            <w:r>
              <w:rPr>
                <w:rFonts w:ascii="Arial Narrow" w:hAnsi="Arial Narrow"/>
                <w:b w:val="1"/>
                <w:sz w:val="21"/>
              </w:rPr>
              <w:t>5</w:t>
            </w:r>
            <w:r>
              <w:rPr>
                <w:rFonts w:ascii="Arial Narrow" w:hAnsi="Arial Narrow"/>
                <w:b w:val="1"/>
                <w:sz w:val="21"/>
              </w:rPr>
              <w:t xml:space="preserve"> </w:t>
            </w:r>
          </w:p>
          <w:p>
            <w:pPr>
              <w:tabs>
                <w:tab w:val="right" w:pos="4536" w:leader="dot"/>
              </w:tabs>
              <w:rPr>
                <w:rFonts w:ascii="Arial Narrow" w:hAnsi="Arial Narrow"/>
                <w:b w:val="1"/>
                <w:sz w:val="21"/>
              </w:rPr>
            </w:pPr>
          </w:p>
          <w:p>
            <w:pPr>
              <w:tabs>
                <w:tab w:val="right" w:pos="4536" w:leader="dot"/>
              </w:tabs>
              <w:rPr>
                <w:rFonts w:ascii="Arial Narrow" w:hAnsi="Arial Narrow"/>
                <w:b w:val="1"/>
                <w:sz w:val="21"/>
              </w:rPr>
            </w:pPr>
            <w:r>
              <w:rPr>
                <w:rFonts w:ascii="Arial Narrow" w:hAnsi="Arial Narrow"/>
                <w:b w:val="1"/>
                <w:sz w:val="21"/>
              </w:rPr>
              <w:t xml:space="preserve">Методолошка објашњења </w:t>
              <w:tab/>
            </w:r>
            <w:r>
              <w:rPr>
                <w:rFonts w:ascii="Arial Narrow" w:hAnsi="Arial Narrow"/>
                <w:b w:val="1"/>
                <w:sz w:val="21"/>
              </w:rPr>
              <w:t>5</w:t>
            </w:r>
          </w:p>
          <w:p>
            <w:pPr>
              <w:tabs>
                <w:tab w:val="right" w:pos="4536" w:leader="dot"/>
              </w:tabs>
              <w:rPr>
                <w:rFonts w:ascii="Arial Narrow" w:hAnsi="Arial Narrow"/>
                <w:sz w:val="21"/>
              </w:rPr>
            </w:pPr>
            <w:r>
              <w:rPr>
                <w:rFonts w:ascii="Arial Narrow" w:hAnsi="Arial Narrow"/>
                <w:sz w:val="21"/>
              </w:rPr>
              <w:t xml:space="preserve">Извори података </w:t>
              <w:tab/>
              <w:t>5</w:t>
            </w:r>
          </w:p>
          <w:p>
            <w:pPr>
              <w:tabs>
                <w:tab w:val="right" w:pos="4536" w:leader="dot"/>
              </w:tabs>
              <w:rPr>
                <w:rFonts w:ascii="Arial Narrow" w:hAnsi="Arial Narrow"/>
                <w:sz w:val="21"/>
              </w:rPr>
            </w:pPr>
            <w:r>
              <w:rPr>
                <w:rFonts w:ascii="Arial Narrow" w:hAnsi="Arial Narrow"/>
                <w:sz w:val="21"/>
              </w:rPr>
              <w:t xml:space="preserve">Извештајне јединице статистике енергетике </w:t>
              <w:tab/>
              <w:t>5</w:t>
            </w:r>
          </w:p>
          <w:p>
            <w:pPr>
              <w:tabs>
                <w:tab w:val="right" w:pos="4536" w:leader="dot"/>
              </w:tabs>
              <w:rPr>
                <w:rFonts w:ascii="Arial Narrow" w:hAnsi="Arial Narrow"/>
                <w:sz w:val="21"/>
              </w:rPr>
            </w:pPr>
            <w:r>
              <w:rPr>
                <w:rFonts w:ascii="Arial Narrow" w:hAnsi="Arial Narrow"/>
                <w:sz w:val="21"/>
              </w:rPr>
              <w:t xml:space="preserve">Садржај редова у енергетском билансу </w:t>
              <w:tab/>
              <w:t>6</w:t>
            </w:r>
          </w:p>
          <w:p>
            <w:pPr>
              <w:tabs>
                <w:tab w:val="right" w:pos="4536" w:leader="dot"/>
              </w:tabs>
              <w:rPr>
                <w:rFonts w:ascii="Arial Narrow" w:hAnsi="Arial Narrow"/>
                <w:sz w:val="21"/>
              </w:rPr>
            </w:pPr>
            <w:r>
              <w:rPr>
                <w:rFonts w:ascii="Arial Narrow" w:hAnsi="Arial Narrow"/>
                <w:sz w:val="21"/>
              </w:rPr>
              <w:t xml:space="preserve">Објашњења за енергенте и облике енергије </w:t>
              <w:tab/>
              <w:t>7</w:t>
            </w:r>
          </w:p>
          <w:p>
            <w:pPr>
              <w:tabs>
                <w:tab w:val="right" w:pos="4536" w:leader="dot"/>
              </w:tabs>
              <w:rPr>
                <w:rFonts w:ascii="Arial Narrow" w:hAnsi="Arial Narrow"/>
                <w:sz w:val="21"/>
              </w:rPr>
            </w:pPr>
            <w:r>
              <w:rPr>
                <w:rFonts w:ascii="Arial Narrow" w:hAnsi="Arial Narrow"/>
                <w:sz w:val="21"/>
              </w:rPr>
              <w:t xml:space="preserve">Специфичности појединих енергетских биланса </w:t>
              <w:tab/>
              <w:t>8</w:t>
            </w:r>
          </w:p>
          <w:p>
            <w:pPr>
              <w:tabs>
                <w:tab w:val="right" w:pos="4536" w:leader="dot"/>
              </w:tabs>
              <w:rPr>
                <w:rFonts w:ascii="Arial Narrow" w:hAnsi="Arial Narrow"/>
                <w:sz w:val="21"/>
              </w:rPr>
            </w:pPr>
            <w:r>
              <w:rPr>
                <w:rFonts w:ascii="Arial Narrow" w:hAnsi="Arial Narrow"/>
                <w:sz w:val="21"/>
              </w:rPr>
              <w:t xml:space="preserve">Изведени показатељи </w:t>
              <w:tab/>
              <w:t>9</w:t>
            </w:r>
          </w:p>
          <w:p>
            <w:pPr>
              <w:tabs>
                <w:tab w:val="right" w:pos="4536" w:leader="dot"/>
              </w:tabs>
              <w:rPr>
                <w:rFonts w:ascii="Arial Narrow" w:hAnsi="Arial Narrow"/>
                <w:sz w:val="21"/>
              </w:rPr>
            </w:pPr>
            <w:r>
              <w:rPr>
                <w:rFonts w:ascii="Arial Narrow" w:hAnsi="Arial Narrow"/>
                <w:sz w:val="21"/>
              </w:rPr>
              <w:t xml:space="preserve">Фактори за конверзију јединица мере енергије </w:t>
              <w:tab/>
              <w:t>10</w:t>
            </w:r>
          </w:p>
          <w:p>
            <w:pPr>
              <w:tabs>
                <w:tab w:val="right" w:pos="4536" w:leader="dot"/>
              </w:tabs>
              <w:rPr>
                <w:rFonts w:ascii="Arial Narrow" w:hAnsi="Arial Narrow"/>
                <w:sz w:val="21"/>
              </w:rPr>
            </w:pPr>
          </w:p>
          <w:p>
            <w:pPr>
              <w:tabs>
                <w:tab w:val="right" w:pos="4536" w:leader="dot"/>
              </w:tabs>
              <w:rPr>
                <w:rFonts w:ascii="Arial Narrow" w:hAnsi="Arial Narrow"/>
                <w:b w:val="1"/>
                <w:sz w:val="21"/>
              </w:rPr>
            </w:pPr>
            <w:r>
              <w:rPr>
                <w:rFonts w:ascii="Arial Narrow" w:hAnsi="Arial Narrow"/>
                <w:b w:val="1"/>
                <w:sz w:val="21"/>
              </w:rPr>
              <w:t xml:space="preserve">Биланс електричне енергије </w:t>
              <w:tab/>
            </w:r>
            <w:r>
              <w:rPr>
                <w:rFonts w:ascii="Arial Narrow" w:hAnsi="Arial Narrow"/>
                <w:b w:val="1"/>
                <w:sz w:val="21"/>
              </w:rPr>
              <w:t>11</w:t>
            </w:r>
          </w:p>
          <w:p>
            <w:pPr>
              <w:tabs>
                <w:tab w:val="right" w:pos="4536" w:leader="dot"/>
              </w:tabs>
              <w:rPr>
                <w:rFonts w:ascii="Arial Narrow" w:hAnsi="Arial Narrow"/>
                <w:b w:val="1"/>
                <w:sz w:val="21"/>
              </w:rPr>
            </w:pPr>
            <w:r>
              <w:rPr>
                <w:rFonts w:ascii="Arial Narrow" w:hAnsi="Arial Narrow"/>
                <w:b w:val="1"/>
                <w:sz w:val="21"/>
              </w:rPr>
              <w:t xml:space="preserve">Биланс топлотне енергије </w:t>
              <w:tab/>
            </w:r>
            <w:r>
              <w:rPr>
                <w:rFonts w:ascii="Arial Narrow" w:hAnsi="Arial Narrow"/>
                <w:b w:val="1"/>
                <w:sz w:val="21"/>
              </w:rPr>
              <w:t>1</w:t>
            </w:r>
            <w:r>
              <w:rPr>
                <w:rFonts w:ascii="Arial Narrow" w:hAnsi="Arial Narrow"/>
                <w:b w:val="1"/>
                <w:sz w:val="21"/>
              </w:rPr>
              <w:t>2</w:t>
            </w:r>
          </w:p>
          <w:p>
            <w:pPr>
              <w:tabs>
                <w:tab w:val="right" w:pos="4536" w:leader="dot"/>
              </w:tabs>
              <w:rPr>
                <w:rFonts w:ascii="Arial Narrow" w:hAnsi="Arial Narrow"/>
                <w:b w:val="1"/>
                <w:sz w:val="21"/>
              </w:rPr>
            </w:pPr>
            <w:r>
              <w:rPr>
                <w:rFonts w:ascii="Arial Narrow" w:hAnsi="Arial Narrow"/>
                <w:b w:val="1"/>
                <w:sz w:val="21"/>
              </w:rPr>
              <w:t xml:space="preserve">Биланс угља </w:t>
              <w:tab/>
            </w:r>
            <w:r>
              <w:rPr>
                <w:rFonts w:ascii="Arial Narrow" w:hAnsi="Arial Narrow"/>
                <w:b w:val="1"/>
                <w:sz w:val="21"/>
              </w:rPr>
              <w:t>1</w:t>
            </w:r>
            <w:r>
              <w:rPr>
                <w:rFonts w:ascii="Arial Narrow" w:hAnsi="Arial Narrow"/>
                <w:b w:val="1"/>
                <w:sz w:val="21"/>
              </w:rPr>
              <w:t>3-14</w:t>
            </w:r>
          </w:p>
          <w:p>
            <w:pPr>
              <w:ind w:firstLine="227"/>
              <w:jc w:val="both"/>
              <w:rPr>
                <w:rFonts w:ascii="Arial Narrow" w:hAnsi="Arial Narrow"/>
                <w:sz w:val="21"/>
              </w:rPr>
            </w:pPr>
          </w:p>
        </w:tc>
        <w:tc>
          <w:tcPr>
            <w:tcW w:w="454" w:type="dxa"/>
          </w:tcPr>
          <w:p>
            <w:pPr>
              <w:pStyle w:val="P1"/>
              <w:spacing w:before="0" w:after="0"/>
              <w:jc w:val="both"/>
              <w:rPr>
                <w:rFonts w:ascii="Arial Narrow" w:hAnsi="Arial Narrow"/>
                <w:b w:val="1"/>
                <w:sz w:val="21"/>
              </w:rPr>
            </w:pPr>
          </w:p>
        </w:tc>
        <w:tc>
          <w:tcPr>
            <w:tcW w:w="4593" w:type="dxa"/>
          </w:tcPr>
          <w:p>
            <w:pPr>
              <w:tabs>
                <w:tab w:val="right" w:pos="4536" w:leader="dot"/>
              </w:tabs>
              <w:rPr>
                <w:rFonts w:ascii="Arial Narrow" w:hAnsi="Arial Narrow"/>
                <w:b w:val="1"/>
                <w:sz w:val="21"/>
              </w:rPr>
            </w:pPr>
            <w:r>
              <w:rPr>
                <w:rFonts w:ascii="Arial Narrow" w:hAnsi="Arial Narrow"/>
                <w:b w:val="1"/>
                <w:sz w:val="21"/>
              </w:rPr>
              <w:t>I</w:t>
            </w:r>
            <w:r>
              <w:rPr>
                <w:rFonts w:ascii="Arial Narrow" w:hAnsi="Arial Narrow"/>
                <w:b w:val="1"/>
                <w:sz w:val="21"/>
              </w:rPr>
              <w:t>NTRODUCTORY NOTES</w:t>
            </w:r>
            <w:r>
              <w:rPr>
                <w:rFonts w:ascii="Arial Narrow" w:hAnsi="Arial Narrow"/>
                <w:b w:val="1"/>
                <w:sz w:val="21"/>
              </w:rPr>
              <w:t xml:space="preserve"> </w:t>
              <w:tab/>
            </w:r>
            <w:r>
              <w:rPr>
                <w:rFonts w:ascii="Arial Narrow" w:hAnsi="Arial Narrow"/>
                <w:b w:val="1"/>
                <w:sz w:val="21"/>
              </w:rPr>
              <w:t>5</w:t>
            </w:r>
          </w:p>
          <w:p>
            <w:pPr>
              <w:tabs>
                <w:tab w:val="right" w:pos="4536" w:leader="dot"/>
              </w:tabs>
              <w:rPr>
                <w:rFonts w:ascii="Arial Narrow" w:hAnsi="Arial Narrow"/>
                <w:b w:val="1"/>
                <w:sz w:val="21"/>
              </w:rPr>
            </w:pPr>
          </w:p>
          <w:p>
            <w:pPr>
              <w:tabs>
                <w:tab w:val="right" w:pos="4536" w:leader="dot"/>
              </w:tabs>
              <w:rPr>
                <w:rFonts w:ascii="Arial Narrow" w:hAnsi="Arial Narrow"/>
                <w:b w:val="1"/>
                <w:sz w:val="21"/>
              </w:rPr>
            </w:pPr>
            <w:r>
              <w:rPr>
                <w:rFonts w:ascii="Arial Narrow" w:hAnsi="Arial Narrow"/>
                <w:b w:val="1"/>
                <w:sz w:val="21"/>
              </w:rPr>
              <w:t>Methodological expla</w:t>
            </w:r>
            <w:r>
              <w:rPr>
                <w:rFonts w:ascii="Arial Narrow" w:hAnsi="Arial Narrow"/>
                <w:b w:val="1"/>
                <w:sz w:val="21"/>
              </w:rPr>
              <w:t>i</w:t>
            </w:r>
            <w:r>
              <w:rPr>
                <w:rFonts w:ascii="Arial Narrow" w:hAnsi="Arial Narrow"/>
                <w:b w:val="1"/>
                <w:sz w:val="21"/>
              </w:rPr>
              <w:t xml:space="preserve">nations </w:t>
              <w:tab/>
            </w:r>
            <w:r>
              <w:rPr>
                <w:rFonts w:ascii="Arial Narrow" w:hAnsi="Arial Narrow"/>
                <w:b w:val="1"/>
                <w:sz w:val="21"/>
              </w:rPr>
              <w:t>5</w:t>
            </w:r>
          </w:p>
          <w:p>
            <w:pPr>
              <w:tabs>
                <w:tab w:val="right" w:pos="4536" w:leader="dot"/>
              </w:tabs>
              <w:rPr>
                <w:rFonts w:ascii="Arial Narrow" w:hAnsi="Arial Narrow"/>
                <w:sz w:val="21"/>
              </w:rPr>
            </w:pPr>
            <w:r>
              <w:rPr>
                <w:rFonts w:ascii="Arial Narrow" w:hAnsi="Arial Narrow"/>
                <w:sz w:val="21"/>
              </w:rPr>
              <w:t xml:space="preserve">Data sources </w:t>
              <w:tab/>
              <w:t>5</w:t>
            </w:r>
          </w:p>
          <w:p>
            <w:pPr>
              <w:tabs>
                <w:tab w:val="right" w:pos="4536" w:leader="dot"/>
              </w:tabs>
              <w:rPr>
                <w:rFonts w:ascii="Arial Narrow" w:hAnsi="Arial Narrow"/>
                <w:sz w:val="21"/>
              </w:rPr>
            </w:pPr>
            <w:r>
              <w:rPr>
                <w:rFonts w:ascii="Arial Narrow" w:hAnsi="Arial Narrow"/>
                <w:sz w:val="21"/>
              </w:rPr>
              <w:t xml:space="preserve">Reporting units of energy statistics </w:t>
              <w:tab/>
              <w:t>5</w:t>
            </w:r>
          </w:p>
          <w:p>
            <w:pPr>
              <w:tabs>
                <w:tab w:val="right" w:pos="4536" w:leader="dot"/>
              </w:tabs>
              <w:rPr>
                <w:rFonts w:ascii="Arial Narrow" w:hAnsi="Arial Narrow"/>
                <w:sz w:val="21"/>
              </w:rPr>
            </w:pPr>
            <w:r>
              <w:rPr>
                <w:rFonts w:ascii="Arial Narrow" w:hAnsi="Arial Narrow"/>
                <w:sz w:val="21"/>
              </w:rPr>
              <w:t xml:space="preserve">Contents of rows in energy balance sheet </w:t>
              <w:tab/>
              <w:t>6</w:t>
            </w:r>
          </w:p>
          <w:p>
            <w:pPr>
              <w:tabs>
                <w:tab w:val="right" w:pos="4536" w:leader="dot"/>
              </w:tabs>
              <w:rPr>
                <w:rFonts w:ascii="Arial Narrow" w:hAnsi="Arial Narrow"/>
                <w:sz w:val="21"/>
              </w:rPr>
            </w:pPr>
            <w:r>
              <w:rPr>
                <w:rFonts w:ascii="Arial Narrow" w:hAnsi="Arial Narrow"/>
                <w:sz w:val="21"/>
              </w:rPr>
              <w:t xml:space="preserve">Explainations of energy commodities </w:t>
              <w:tab/>
              <w:t>7</w:t>
            </w:r>
          </w:p>
          <w:p>
            <w:pPr>
              <w:tabs>
                <w:tab w:val="right" w:pos="4536" w:leader="dot"/>
              </w:tabs>
              <w:rPr>
                <w:rFonts w:ascii="Arial Narrow" w:hAnsi="Arial Narrow"/>
                <w:sz w:val="21"/>
              </w:rPr>
            </w:pPr>
            <w:r>
              <w:rPr>
                <w:rFonts w:ascii="Arial Narrow" w:hAnsi="Arial Narrow"/>
                <w:sz w:val="21"/>
              </w:rPr>
              <w:t xml:space="preserve">Special characteristics of certain energy balances </w:t>
              <w:tab/>
              <w:t>8</w:t>
            </w:r>
          </w:p>
          <w:p>
            <w:pPr>
              <w:tabs>
                <w:tab w:val="right" w:pos="4536" w:leader="dot"/>
              </w:tabs>
              <w:rPr>
                <w:rFonts w:ascii="Arial Narrow" w:hAnsi="Arial Narrow"/>
                <w:sz w:val="21"/>
              </w:rPr>
            </w:pPr>
            <w:r>
              <w:rPr>
                <w:rFonts w:ascii="Arial Narrow" w:hAnsi="Arial Narrow"/>
                <w:sz w:val="21"/>
              </w:rPr>
              <w:t xml:space="preserve">Derived indicators </w:t>
              <w:tab/>
              <w:t>9</w:t>
            </w:r>
          </w:p>
          <w:p>
            <w:pPr>
              <w:tabs>
                <w:tab w:val="right" w:pos="4536" w:leader="dot"/>
              </w:tabs>
              <w:rPr>
                <w:rFonts w:ascii="Arial Narrow" w:hAnsi="Arial Narrow"/>
                <w:sz w:val="21"/>
              </w:rPr>
            </w:pPr>
            <w:r>
              <w:rPr>
                <w:rFonts w:ascii="Arial Narrow" w:hAnsi="Arial Narrow"/>
                <w:sz w:val="21"/>
              </w:rPr>
              <w:t xml:space="preserve">Conversion Equivalents between Units of Energy </w:t>
              <w:tab/>
              <w:t>10</w:t>
            </w:r>
          </w:p>
          <w:p>
            <w:pPr>
              <w:tabs>
                <w:tab w:val="right" w:pos="4536" w:leader="dot"/>
              </w:tabs>
              <w:rPr>
                <w:rFonts w:ascii="Arial Narrow" w:hAnsi="Arial Narrow"/>
                <w:b w:val="1"/>
                <w:sz w:val="21"/>
              </w:rPr>
            </w:pPr>
          </w:p>
          <w:p>
            <w:pPr>
              <w:tabs>
                <w:tab w:val="right" w:pos="4536" w:leader="dot"/>
              </w:tabs>
              <w:rPr>
                <w:rFonts w:ascii="Arial Narrow" w:hAnsi="Arial Narrow"/>
                <w:b w:val="1"/>
                <w:sz w:val="21"/>
              </w:rPr>
            </w:pPr>
            <w:r>
              <w:rPr>
                <w:rFonts w:ascii="Arial Narrow" w:hAnsi="Arial Narrow"/>
                <w:b w:val="1"/>
                <w:sz w:val="21"/>
              </w:rPr>
              <w:t xml:space="preserve">Balance of </w:t>
            </w:r>
            <w:r>
              <w:rPr>
                <w:rFonts w:ascii="Arial Narrow" w:hAnsi="Arial Narrow"/>
                <w:b w:val="1"/>
                <w:sz w:val="21"/>
              </w:rPr>
              <w:t>E</w:t>
            </w:r>
            <w:r>
              <w:rPr>
                <w:rFonts w:ascii="Arial Narrow" w:hAnsi="Arial Narrow"/>
                <w:b w:val="1"/>
                <w:sz w:val="21"/>
              </w:rPr>
              <w:t>le</w:t>
            </w:r>
            <w:r>
              <w:rPr>
                <w:rFonts w:ascii="Arial Narrow" w:hAnsi="Arial Narrow"/>
                <w:b w:val="1"/>
                <w:sz w:val="21"/>
              </w:rPr>
              <w:t>c</w:t>
            </w:r>
            <w:r>
              <w:rPr>
                <w:rFonts w:ascii="Arial Narrow" w:hAnsi="Arial Narrow"/>
                <w:b w:val="1"/>
                <w:sz w:val="21"/>
              </w:rPr>
              <w:t xml:space="preserve">tricity </w:t>
              <w:tab/>
            </w:r>
            <w:r>
              <w:rPr>
                <w:rFonts w:ascii="Arial Narrow" w:hAnsi="Arial Narrow"/>
                <w:b w:val="1"/>
                <w:sz w:val="21"/>
              </w:rPr>
              <w:t>11</w:t>
            </w:r>
          </w:p>
          <w:p>
            <w:pPr>
              <w:tabs>
                <w:tab w:val="right" w:pos="4536" w:leader="dot"/>
              </w:tabs>
              <w:rPr>
                <w:rFonts w:ascii="Arial Narrow" w:hAnsi="Arial Narrow"/>
                <w:b w:val="1"/>
                <w:sz w:val="21"/>
              </w:rPr>
            </w:pPr>
            <w:r>
              <w:rPr>
                <w:rFonts w:ascii="Arial Narrow" w:hAnsi="Arial Narrow"/>
                <w:b w:val="1"/>
                <w:sz w:val="21"/>
              </w:rPr>
              <w:t xml:space="preserve">Balance of </w:t>
            </w:r>
            <w:r>
              <w:rPr>
                <w:rFonts w:ascii="Arial Narrow" w:hAnsi="Arial Narrow"/>
                <w:b w:val="1"/>
                <w:sz w:val="21"/>
              </w:rPr>
              <w:t>H</w:t>
            </w:r>
            <w:r>
              <w:rPr>
                <w:rFonts w:ascii="Arial Narrow" w:hAnsi="Arial Narrow"/>
                <w:b w:val="1"/>
                <w:sz w:val="21"/>
              </w:rPr>
              <w:t xml:space="preserve">eat </w:t>
              <w:tab/>
            </w:r>
            <w:r>
              <w:rPr>
                <w:rFonts w:ascii="Arial Narrow" w:hAnsi="Arial Narrow"/>
                <w:b w:val="1"/>
                <w:sz w:val="21"/>
              </w:rPr>
              <w:t>1</w:t>
            </w:r>
            <w:r>
              <w:rPr>
                <w:rFonts w:ascii="Arial Narrow" w:hAnsi="Arial Narrow"/>
                <w:b w:val="1"/>
                <w:sz w:val="21"/>
              </w:rPr>
              <w:t>2</w:t>
            </w:r>
          </w:p>
          <w:p>
            <w:pPr>
              <w:tabs>
                <w:tab w:val="right" w:pos="4536" w:leader="dot"/>
              </w:tabs>
              <w:rPr>
                <w:rFonts w:ascii="Arial Narrow" w:hAnsi="Arial Narrow"/>
                <w:b w:val="1"/>
                <w:sz w:val="21"/>
              </w:rPr>
            </w:pPr>
            <w:r>
              <w:rPr>
                <w:rFonts w:ascii="Arial Narrow" w:hAnsi="Arial Narrow"/>
                <w:b w:val="1"/>
                <w:sz w:val="21"/>
              </w:rPr>
              <w:t xml:space="preserve">Balance of </w:t>
            </w:r>
            <w:r>
              <w:rPr>
                <w:rFonts w:ascii="Arial Narrow" w:hAnsi="Arial Narrow"/>
                <w:b w:val="1"/>
                <w:sz w:val="21"/>
              </w:rPr>
              <w:t>C</w:t>
            </w:r>
            <w:r>
              <w:rPr>
                <w:rFonts w:ascii="Arial Narrow" w:hAnsi="Arial Narrow"/>
                <w:b w:val="1"/>
                <w:sz w:val="21"/>
              </w:rPr>
              <w:t xml:space="preserve">oal </w:t>
              <w:tab/>
            </w:r>
            <w:r>
              <w:rPr>
                <w:rFonts w:ascii="Arial Narrow" w:hAnsi="Arial Narrow"/>
                <w:b w:val="1"/>
                <w:sz w:val="21"/>
              </w:rPr>
              <w:t>1</w:t>
            </w:r>
            <w:r>
              <w:rPr>
                <w:rFonts w:ascii="Arial Narrow" w:hAnsi="Arial Narrow"/>
                <w:b w:val="1"/>
                <w:sz w:val="21"/>
              </w:rPr>
              <w:t>3-14</w:t>
            </w:r>
          </w:p>
          <w:p>
            <w:pPr>
              <w:pStyle w:val="P1"/>
              <w:spacing w:before="120" w:after="120"/>
              <w:ind w:firstLine="397"/>
              <w:jc w:val="both"/>
              <w:rPr>
                <w:rFonts w:ascii="Arial Narrow" w:hAnsi="Arial Narrow"/>
                <w:b w:val="1"/>
                <w:sz w:val="21"/>
              </w:rPr>
            </w:pPr>
          </w:p>
        </w:tc>
      </w:tr>
    </w:tbl>
    <w:p>
      <w:pPr>
        <w:tabs>
          <w:tab w:val="right" w:pos="4536" w:leader="dot"/>
        </w:tabs>
        <w:rPr>
          <w:rFonts w:ascii="Arial Narrow" w:hAnsi="Arial Narrow"/>
          <w:b w:val="1"/>
          <w:sz w:val="21"/>
        </w:rPr>
      </w:pPr>
    </w:p>
    <w:p>
      <w:pPr>
        <w:tabs>
          <w:tab w:val="right" w:pos="4536" w:leader="dot"/>
        </w:tabs>
        <w:rPr>
          <w:rFonts w:ascii="Arial Narrow" w:hAnsi="Arial Narrow"/>
          <w:b w:val="1"/>
          <w:sz w:val="21"/>
        </w:rPr>
      </w:pPr>
    </w:p>
    <w:p>
      <w:pPr>
        <w:tabs>
          <w:tab w:val="right" w:pos="4536" w:leader="dot"/>
        </w:tabs>
        <w:rPr>
          <w:rFonts w:ascii="Arial Narrow" w:hAnsi="Arial Narrow"/>
          <w:b w:val="1"/>
          <w:sz w:val="21"/>
        </w:rPr>
      </w:pPr>
    </w:p>
    <w:p>
      <w:pPr>
        <w:tabs>
          <w:tab w:val="right" w:pos="4536" w:leader="dot"/>
        </w:tabs>
        <w:rPr>
          <w:rFonts w:ascii="Arial Narrow" w:hAnsi="Arial Narrow"/>
          <w:b w:val="1"/>
          <w:sz w:val="21"/>
        </w:rPr>
      </w:pPr>
    </w:p>
    <w:p>
      <w:pPr>
        <w:tabs>
          <w:tab w:val="right" w:pos="4536" w:leader="dot"/>
        </w:tabs>
        <w:rPr>
          <w:rFonts w:ascii="Arial Narrow" w:hAnsi="Arial Narrow"/>
          <w:b w:val="1"/>
          <w:sz w:val="21"/>
        </w:rPr>
      </w:pPr>
    </w:p>
    <w:p>
      <w:pPr>
        <w:tabs>
          <w:tab w:val="right" w:pos="4536" w:leader="dot"/>
        </w:tabs>
        <w:rPr>
          <w:rFonts w:ascii="Arial Narrow" w:hAnsi="Arial Narrow"/>
          <w:b w:val="1"/>
          <w:sz w:val="21"/>
        </w:rPr>
      </w:pPr>
    </w:p>
    <w:p>
      <w:pPr>
        <w:tabs>
          <w:tab w:val="right" w:pos="4536" w:leader="dot"/>
        </w:tabs>
        <w:rPr>
          <w:rFonts w:ascii="Arial Narrow" w:hAnsi="Arial Narrow"/>
          <w:b w:val="1"/>
          <w:sz w:val="21"/>
        </w:rPr>
      </w:pPr>
    </w:p>
    <w:p>
      <w:pPr>
        <w:tabs>
          <w:tab w:val="right" w:pos="4536" w:leader="dot"/>
        </w:tabs>
        <w:rPr>
          <w:rFonts w:ascii="Arial Narrow" w:hAnsi="Arial Narrow"/>
          <w:b w:val="1"/>
          <w:sz w:val="21"/>
        </w:rPr>
      </w:pPr>
    </w:p>
    <w:p>
      <w:pPr>
        <w:tabs>
          <w:tab w:val="right" w:pos="4536" w:leader="dot"/>
        </w:tabs>
        <w:rPr>
          <w:rFonts w:ascii="Arial Narrow" w:hAnsi="Arial Narrow"/>
          <w:b w:val="1"/>
          <w:sz w:val="21"/>
        </w:rPr>
      </w:pPr>
    </w:p>
    <w:p>
      <w:pPr>
        <w:tabs>
          <w:tab w:val="right" w:pos="4536" w:leader="dot"/>
        </w:tabs>
        <w:rPr>
          <w:rFonts w:ascii="Arial Narrow" w:hAnsi="Arial Narrow"/>
          <w:b w:val="1"/>
          <w:sz w:val="21"/>
        </w:rPr>
      </w:pPr>
    </w:p>
    <w:p>
      <w:pPr>
        <w:tabs>
          <w:tab w:val="right" w:pos="4536" w:leader="dot"/>
        </w:tabs>
        <w:rPr>
          <w:rFonts w:ascii="Arial Narrow" w:hAnsi="Arial Narrow"/>
          <w:b w:val="1"/>
          <w:sz w:val="21"/>
        </w:rPr>
      </w:pPr>
    </w:p>
    <w:p/>
    <w:p/>
    <w:p>
      <w:pPr>
        <w:pStyle w:val="P1"/>
        <w:spacing w:lineRule="auto" w:line="288" w:before="1400"/>
        <w:jc w:val="center"/>
        <w:rPr>
          <w:sz w:val="2"/>
        </w:rPr>
      </w:pPr>
      <w:r>
        <w:rPr>
          <w:sz w:val="2"/>
        </w:rPr>
        <w:br w:type="page"/>
      </w:r>
    </w:p>
    <w:p>
      <w:pPr>
        <w:pStyle w:val="P2"/>
        <w:spacing w:after="120"/>
        <w:jc w:val="both"/>
        <w:rPr>
          <w:rFonts w:ascii="Arial Narrow" w:hAnsi="Arial Narrow"/>
          <w:caps w:val="1"/>
          <w:sz w:val="24"/>
        </w:rPr>
        <w:sectPr>
          <w:type w:val="continuous"/>
          <w:pgSz w:w="11907" w:h="16840" w:code="0"/>
          <w:pgMar w:left="1138" w:right="1138" w:top="1138" w:bottom="1138" w:header="720" w:footer="850" w:gutter="0"/>
          <w:cols w:equalWidth="1" w:space="567"/>
        </w:sectPr>
      </w:pPr>
    </w:p>
    <w:tbl>
      <w:tblPr>
        <w:tblStyle w:val="T2"/>
        <w:tblW w:w="0" w:type="auto"/>
        <w:jc w:val="center"/>
        <w:tblLayout w:type="autofit"/>
        <w:tblCellMar>
          <w:left w:w="28" w:type="dxa"/>
          <w:right w:w="28" w:type="dxa"/>
        </w:tblCellMar>
      </w:tblPr>
      <w:tblGrid/>
      <w:tr>
        <w:trPr>
          <w:wAfter w:w="0" w:type="dxa"/>
        </w:trPr>
        <w:tc>
          <w:tcPr>
            <w:tcW w:w="4593" w:type="dxa"/>
          </w:tcPr>
          <w:p>
            <w:pPr>
              <w:pStyle w:val="P2"/>
              <w:spacing w:before="120"/>
              <w:jc w:val="both"/>
              <w:rPr>
                <w:rFonts w:ascii="Arial Narrow" w:hAnsi="Arial Narrow"/>
                <w:caps w:val="1"/>
                <w:sz w:val="24"/>
              </w:rPr>
            </w:pPr>
            <w:r>
              <w:rPr>
                <w:rFonts w:ascii="Arial Narrow" w:hAnsi="Arial Narrow"/>
                <w:caps w:val="1"/>
                <w:sz w:val="24"/>
              </w:rPr>
              <w:t>Уводне напомене</w:t>
            </w:r>
          </w:p>
          <w:p>
            <w:pPr>
              <w:spacing w:before="120"/>
              <w:jc w:val="both"/>
              <w:rPr>
                <w:rFonts w:ascii="Arial Narrow" w:hAnsi="Arial Narrow"/>
                <w:sz w:val="21"/>
              </w:rPr>
            </w:pPr>
            <w:r>
              <w:rPr>
                <w:rFonts w:ascii="Arial Narrow" w:hAnsi="Arial Narrow"/>
                <w:sz w:val="21"/>
              </w:rPr>
              <w:t>Публикација “Енергетски биланси електричне енергије, топлотне енергије и угља, 2007.” садржи годишње податке о производњи, увозу, извозу, трансформацији и расподели електричне енергије, топлотне енергије и угља у Републици Србији у 2007. години. За сваки енергент дати су подаци у природној јединици мере и у ТЈ (тераџулима).</w:t>
            </w:r>
          </w:p>
          <w:p>
            <w:pPr>
              <w:spacing w:before="120"/>
              <w:jc w:val="both"/>
              <w:rPr>
                <w:rFonts w:ascii="Arial Narrow" w:hAnsi="Arial Narrow"/>
                <w:i w:val="1"/>
                <w:sz w:val="21"/>
              </w:rPr>
            </w:pPr>
            <w:r>
              <w:rPr>
                <w:rFonts w:ascii="Arial Narrow" w:hAnsi="Arial Narrow"/>
                <w:sz w:val="21"/>
              </w:rPr>
              <w:t>Методологија за израду енергетских биланса, дефинисање и груписање енергената и видова енергије, као и статистичка терминологија, усклађени су са стандардима</w:t>
            </w:r>
            <w:r>
              <w:rPr>
                <w:rFonts w:ascii="Arial Narrow" w:hAnsi="Arial Narrow"/>
                <w:i w:val="1"/>
                <w:sz w:val="21"/>
              </w:rPr>
              <w:t xml:space="preserve"> </w:t>
            </w:r>
            <w:r>
              <w:rPr>
                <w:rFonts w:ascii="Arial Narrow" w:hAnsi="Arial Narrow"/>
                <w:i w:val="1"/>
                <w:sz w:val="21"/>
              </w:rPr>
              <w:t>IEA/OECD</w:t>
            </w:r>
            <w:r>
              <w:rPr>
                <w:rFonts w:ascii="Arial Narrow" w:hAnsi="Arial Narrow"/>
                <w:i w:val="1"/>
                <w:sz w:val="21"/>
              </w:rPr>
              <w:t xml:space="preserve"> </w:t>
            </w:r>
            <w:r>
              <w:rPr>
                <w:rFonts w:ascii="Arial Narrow" w:hAnsi="Arial Narrow"/>
                <w:sz w:val="21"/>
              </w:rPr>
              <w:t>и</w:t>
            </w:r>
            <w:r>
              <w:rPr>
                <w:rFonts w:ascii="Arial Narrow" w:hAnsi="Arial Narrow"/>
                <w:i w:val="1"/>
                <w:sz w:val="21"/>
              </w:rPr>
              <w:t xml:space="preserve"> E</w:t>
            </w:r>
            <w:r>
              <w:rPr>
                <w:rFonts w:ascii="Arial Narrow" w:hAnsi="Arial Narrow"/>
                <w:i w:val="1"/>
                <w:sz w:val="21"/>
              </w:rPr>
              <w:t>urostat-a.</w:t>
            </w:r>
          </w:p>
          <w:p>
            <w:pPr>
              <w:pStyle w:val="P24"/>
              <w:spacing w:before="120"/>
              <w:rPr>
                <w:rFonts w:ascii="Arial Narrow" w:hAnsi="Arial Narrow"/>
                <w:sz w:val="21"/>
              </w:rPr>
            </w:pPr>
            <w:r>
              <w:rPr>
                <w:rFonts w:ascii="Arial Narrow" w:hAnsi="Arial Narrow"/>
                <w:sz w:val="21"/>
              </w:rPr>
              <w:t xml:space="preserve">Методолошка објашњења биће допуњавана новим информацијама, у складу са израдом енергетских биланса за: </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сирову нафту и деривате нафте,</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природни гас,</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биомасу,</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комунални и индустријски отпад,</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геотермалну енергију,</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соларну енергију, и</w:t>
            </w:r>
          </w:p>
          <w:p>
            <w:pPr>
              <w:pStyle w:val="P12"/>
              <w:numPr>
                <w:ilvl w:val="0"/>
                <w:numId w:val="28"/>
              </w:numPr>
              <w:tabs>
                <w:tab w:val="clear" w:pos="9923" w:leader="none"/>
              </w:tabs>
              <w:ind w:hanging="284" w:left="851"/>
              <w:jc w:val="left"/>
              <w:rPr>
                <w:rFonts w:ascii="Arial Narrow" w:hAnsi="Arial Narrow"/>
                <w:b w:val="1"/>
                <w:i w:val="1"/>
                <w:sz w:val="21"/>
              </w:rPr>
            </w:pPr>
            <w:r>
              <w:rPr>
                <w:rFonts w:ascii="Arial Narrow" w:hAnsi="Arial Narrow"/>
                <w:sz w:val="21"/>
              </w:rPr>
              <w:t>енергију ветра.</w:t>
            </w:r>
          </w:p>
          <w:p>
            <w:pPr>
              <w:pStyle w:val="P12"/>
              <w:spacing w:before="120"/>
              <w:rPr>
                <w:rFonts w:ascii="Arial Narrow" w:hAnsi="Arial Narrow"/>
                <w:sz w:val="21"/>
              </w:rPr>
            </w:pPr>
            <w:r>
              <w:rPr>
                <w:rFonts w:ascii="Arial Narrow" w:hAnsi="Arial Narrow"/>
                <w:sz w:val="21"/>
              </w:rPr>
              <w:t>Свака добронамерна сугестија упућена од стране корисника података биће са задовољством прихваћена.</w:t>
            </w:r>
          </w:p>
          <w:p>
            <w:pPr>
              <w:pStyle w:val="P12"/>
              <w:spacing w:before="360" w:after="120"/>
              <w:rPr>
                <w:rFonts w:ascii="Arial Narrow" w:hAnsi="Arial Narrow"/>
                <w:b w:val="1"/>
                <w:sz w:val="24"/>
              </w:rPr>
            </w:pPr>
            <w:r>
              <w:rPr>
                <w:rFonts w:ascii="Arial Narrow" w:hAnsi="Arial Narrow"/>
                <w:b w:val="1"/>
                <w:sz w:val="24"/>
              </w:rPr>
              <w:t>Методолошка објашњења</w:t>
            </w:r>
          </w:p>
          <w:p>
            <w:pPr>
              <w:pStyle w:val="P12"/>
              <w:spacing w:before="240" w:after="120"/>
              <w:rPr>
                <w:rFonts w:ascii="Arial Narrow" w:hAnsi="Arial Narrow"/>
                <w:b w:val="1"/>
                <w:sz w:val="21"/>
              </w:rPr>
            </w:pPr>
            <w:r>
              <w:rPr>
                <w:rFonts w:ascii="Arial Narrow" w:hAnsi="Arial Narrow"/>
                <w:b w:val="1"/>
                <w:sz w:val="21"/>
              </w:rPr>
              <w:t>Извори података</w:t>
            </w:r>
          </w:p>
          <w:p>
            <w:pPr>
              <w:pStyle w:val="P12"/>
              <w:spacing w:before="120" w:after="120"/>
              <w:rPr>
                <w:rFonts w:ascii="Arial Narrow" w:hAnsi="Arial Narrow"/>
                <w:sz w:val="21"/>
              </w:rPr>
            </w:pPr>
            <w:r>
              <w:rPr>
                <w:rFonts w:ascii="Arial Narrow" w:hAnsi="Arial Narrow"/>
                <w:sz w:val="21"/>
              </w:rPr>
              <w:t>Подаци неопходни за израду енергетских биланса добијају се из:</w:t>
            </w:r>
          </w:p>
          <w:p>
            <w:pPr>
              <w:pStyle w:val="P12"/>
              <w:spacing w:before="120"/>
              <w:ind w:hanging="227" w:left="624"/>
              <w:rPr>
                <w:rFonts w:ascii="Arial Narrow" w:hAnsi="Arial Narrow"/>
                <w:sz w:val="21"/>
              </w:rPr>
            </w:pPr>
            <w:r>
              <w:rPr>
                <w:rFonts w:ascii="Arial Narrow" w:hAnsi="Arial Narrow"/>
                <w:sz w:val="21"/>
              </w:rPr>
              <w:t>1. Редовних статистичких истраживања статистике енергетике;</w:t>
            </w:r>
          </w:p>
          <w:p>
            <w:pPr>
              <w:pStyle w:val="P12"/>
              <w:spacing w:before="120"/>
              <w:ind w:firstLine="397"/>
              <w:rPr>
                <w:rFonts w:ascii="Arial Narrow" w:hAnsi="Arial Narrow"/>
                <w:sz w:val="21"/>
              </w:rPr>
            </w:pPr>
            <w:r>
              <w:rPr>
                <w:rFonts w:ascii="Arial Narrow" w:hAnsi="Arial Narrow"/>
                <w:sz w:val="21"/>
              </w:rPr>
              <w:t>2. Редовних статистичких истраживања:</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статистике спољне трговине,</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статистике индустрије,</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статистике грађевинарства,</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статистике саобраћаја,</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статистике пољопривреде,</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статистике шумарства, и</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статистике потрошње становништва;</w:t>
            </w:r>
          </w:p>
          <w:p>
            <w:pPr>
              <w:pStyle w:val="P12"/>
              <w:spacing w:before="120"/>
              <w:ind w:hanging="227" w:left="624"/>
              <w:rPr>
                <w:rFonts w:ascii="Arial Narrow" w:hAnsi="Arial Narrow"/>
                <w:sz w:val="21"/>
              </w:rPr>
            </w:pPr>
            <w:r>
              <w:rPr>
                <w:rFonts w:ascii="Arial Narrow" w:hAnsi="Arial Narrow"/>
                <w:sz w:val="21"/>
              </w:rPr>
              <w:t xml:space="preserve">3. Публикација </w:t>
            </w:r>
            <w:r>
              <w:rPr>
                <w:rFonts w:ascii="Arial Narrow" w:hAnsi="Arial Narrow"/>
                <w:i w:val="1"/>
                <w:sz w:val="21"/>
              </w:rPr>
              <w:t>IEA/OECD</w:t>
            </w:r>
            <w:r>
              <w:rPr>
                <w:rFonts w:ascii="Arial Narrow" w:hAnsi="Arial Narrow"/>
                <w:sz w:val="21"/>
              </w:rPr>
              <w:t>.</w:t>
            </w:r>
          </w:p>
          <w:p>
            <w:pPr>
              <w:pStyle w:val="P12"/>
              <w:spacing w:before="360" w:after="120"/>
              <w:rPr>
                <w:rFonts w:ascii="Arial Narrow" w:hAnsi="Arial Narrow"/>
                <w:b w:val="1"/>
                <w:sz w:val="24"/>
              </w:rPr>
            </w:pPr>
            <w:r>
              <w:rPr>
                <w:rFonts w:ascii="Arial Narrow" w:hAnsi="Arial Narrow"/>
                <w:b w:val="1"/>
                <w:sz w:val="24"/>
              </w:rPr>
              <w:t>Извештајне јединице статистике енергетике</w:t>
            </w:r>
          </w:p>
          <w:p>
            <w:pPr>
              <w:pStyle w:val="P12"/>
              <w:rPr>
                <w:rFonts w:ascii="Arial Narrow" w:hAnsi="Arial Narrow"/>
                <w:sz w:val="21"/>
              </w:rPr>
            </w:pPr>
            <w:r>
              <w:rPr>
                <w:rFonts w:ascii="Arial Narrow" w:hAnsi="Arial Narrow"/>
                <w:sz w:val="21"/>
              </w:rPr>
              <w:t>Извештајне јединице за биланс електричне енергије јесу:</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произвођачи електричне енергије: хидроелектране, термоелектране, термоелектране-топлане (ТЕ-ТО), индустријске енергане,</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ЈП Електромрежа Србије,</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регионални дистрибутери електричне енергије, и</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 xml:space="preserve">ЈП Електропривреда Србије. </w:t>
            </w:r>
          </w:p>
        </w:tc>
        <w:tc>
          <w:tcPr>
            <w:tcW w:w="454" w:type="dxa"/>
          </w:tcPr>
          <w:p>
            <w:pPr>
              <w:pStyle w:val="P1"/>
              <w:spacing w:before="0" w:after="0"/>
              <w:jc w:val="both"/>
              <w:rPr>
                <w:rFonts w:ascii="Arial Narrow" w:hAnsi="Arial Narrow"/>
                <w:b w:val="1"/>
                <w:sz w:val="21"/>
              </w:rPr>
            </w:pPr>
          </w:p>
        </w:tc>
        <w:tc>
          <w:tcPr>
            <w:tcW w:w="4593" w:type="dxa"/>
          </w:tcPr>
          <w:p>
            <w:pPr>
              <w:pStyle w:val="P5"/>
              <w:spacing w:before="120" w:after="0"/>
              <w:rPr>
                <w:rFonts w:ascii="Arial Narrow" w:hAnsi="Arial Narrow"/>
                <w:i w:val="1"/>
                <w:caps w:val="1"/>
                <w:sz w:val="24"/>
              </w:rPr>
            </w:pPr>
            <w:r>
              <w:rPr>
                <w:rFonts w:ascii="Arial Narrow" w:hAnsi="Arial Narrow"/>
                <w:i w:val="0"/>
                <w:caps w:val="1"/>
                <w:sz w:val="24"/>
              </w:rPr>
              <w:t>Introductory notes</w:t>
            </w:r>
          </w:p>
          <w:p>
            <w:pPr>
              <w:pStyle w:val="P18"/>
              <w:spacing w:lineRule="auto" w:line="264" w:before="120" w:after="0"/>
              <w:jc w:val="both"/>
              <w:rPr>
                <w:rFonts w:ascii="Arial Narrow" w:hAnsi="Arial Narrow"/>
                <w:sz w:val="21"/>
              </w:rPr>
            </w:pPr>
            <w:r>
              <w:rPr>
                <w:rFonts w:ascii="Arial Narrow" w:hAnsi="Arial Narrow"/>
                <w:sz w:val="21"/>
              </w:rPr>
              <w:t xml:space="preserve">The Publication “Energy Balances of Electricity, Heat Energy and Coal, 2007” contains annual data about production, imports, exports, transformation and distribution of electricity, heat energy and coal in the Republic of Serbia in 2007. For each energent data are  given in the natural unit of measure and in TJ (terajoules).</w:t>
            </w:r>
          </w:p>
          <w:p>
            <w:pPr>
              <w:spacing w:lineRule="auto" w:line="264" w:before="120"/>
              <w:jc w:val="both"/>
              <w:rPr>
                <w:rFonts w:ascii="Arial Narrow" w:hAnsi="Arial Narrow"/>
                <w:sz w:val="21"/>
              </w:rPr>
            </w:pPr>
            <w:r>
              <w:rPr>
                <w:rFonts w:ascii="Arial Narrow" w:hAnsi="Arial Narrow"/>
                <w:sz w:val="21"/>
              </w:rPr>
              <w:t xml:space="preserve">Methodology for making of energy balances, defining and grouping of energents and types of energy, as well as statistical terminology, are harmonized with internationally established standards </w:t>
            </w:r>
            <w:r>
              <w:rPr>
                <w:rFonts w:ascii="Arial Narrow" w:hAnsi="Arial Narrow"/>
                <w:i w:val="1"/>
                <w:sz w:val="21"/>
              </w:rPr>
              <w:t>IEA/OECD</w:t>
            </w:r>
            <w:r>
              <w:rPr>
                <w:rFonts w:ascii="Arial Narrow" w:hAnsi="Arial Narrow"/>
                <w:sz w:val="21"/>
              </w:rPr>
              <w:t xml:space="preserve"> and </w:t>
            </w:r>
            <w:r>
              <w:rPr>
                <w:rFonts w:ascii="Arial Narrow" w:hAnsi="Arial Narrow"/>
                <w:i w:val="1"/>
                <w:sz w:val="21"/>
              </w:rPr>
              <w:t>Eurostat</w:t>
            </w:r>
            <w:r>
              <w:rPr>
                <w:rFonts w:ascii="Arial Narrow" w:hAnsi="Arial Narrow"/>
                <w:sz w:val="21"/>
              </w:rPr>
              <w:t>.</w:t>
            </w:r>
          </w:p>
          <w:p>
            <w:pPr>
              <w:spacing w:before="120"/>
              <w:jc w:val="both"/>
              <w:rPr>
                <w:rFonts w:ascii="Arial Narrow" w:hAnsi="Arial Narrow"/>
                <w:sz w:val="21"/>
              </w:rPr>
            </w:pPr>
            <w:r>
              <w:rPr>
                <w:rFonts w:ascii="Arial Narrow" w:hAnsi="Arial Narrow"/>
                <w:sz w:val="21"/>
              </w:rPr>
              <w:t>Methodological explainations shall be supplemented by new informations, according to energy balance sheets for:</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crude petroleum and refined petroleum products,</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natural gas,</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biomass,</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municipal and industrial waste,</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geothermal energy,</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solar energy, and</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wind energy.</w:t>
            </w:r>
          </w:p>
          <w:p>
            <w:pPr>
              <w:spacing w:before="120"/>
              <w:jc w:val="both"/>
              <w:rPr>
                <w:rFonts w:ascii="Arial Narrow" w:hAnsi="Arial Narrow"/>
                <w:sz w:val="21"/>
              </w:rPr>
            </w:pPr>
            <w:r>
              <w:rPr>
                <w:rFonts w:ascii="Arial Narrow" w:hAnsi="Arial Narrow"/>
                <w:sz w:val="21"/>
              </w:rPr>
              <w:t xml:space="preserve">Every well-intentioned suggestion referred from a data user will be accepted with pleasure. </w:t>
            </w:r>
          </w:p>
          <w:p>
            <w:pPr>
              <w:spacing w:before="360" w:after="120"/>
              <w:rPr>
                <w:rFonts w:ascii="Arial Narrow" w:hAnsi="Arial Narrow"/>
                <w:b w:val="1"/>
                <w:sz w:val="24"/>
              </w:rPr>
            </w:pPr>
            <w:r>
              <w:rPr>
                <w:rFonts w:ascii="Arial Narrow" w:hAnsi="Arial Narrow"/>
                <w:b w:val="1"/>
                <w:sz w:val="24"/>
              </w:rPr>
              <w:t>Methodological expla</w:t>
            </w:r>
            <w:r>
              <w:rPr>
                <w:rFonts w:ascii="Arial Narrow" w:hAnsi="Arial Narrow"/>
                <w:b w:val="1"/>
                <w:sz w:val="24"/>
              </w:rPr>
              <w:t>i</w:t>
            </w:r>
            <w:r>
              <w:rPr>
                <w:rFonts w:ascii="Arial Narrow" w:hAnsi="Arial Narrow"/>
                <w:b w:val="1"/>
                <w:sz w:val="24"/>
              </w:rPr>
              <w:t>nations</w:t>
            </w:r>
          </w:p>
          <w:p>
            <w:pPr>
              <w:pStyle w:val="P5"/>
              <w:spacing w:after="0"/>
              <w:rPr>
                <w:rFonts w:ascii="Arial Narrow" w:hAnsi="Arial Narrow"/>
                <w:i w:val="1"/>
                <w:sz w:val="21"/>
              </w:rPr>
            </w:pPr>
            <w:r>
              <w:rPr>
                <w:rFonts w:ascii="Arial Narrow" w:hAnsi="Arial Narrow"/>
                <w:i w:val="0"/>
                <w:sz w:val="21"/>
              </w:rPr>
              <w:t>Data sources</w:t>
            </w:r>
          </w:p>
          <w:p>
            <w:pPr>
              <w:spacing w:before="120"/>
              <w:ind w:hanging="1"/>
              <w:rPr>
                <w:rFonts w:ascii="Arial Narrow" w:hAnsi="Arial Narrow"/>
                <w:sz w:val="21"/>
              </w:rPr>
            </w:pPr>
            <w:r>
              <w:rPr>
                <w:rFonts w:ascii="Arial Narrow" w:hAnsi="Arial Narrow"/>
                <w:sz w:val="21"/>
              </w:rPr>
              <w:t xml:space="preserve">Data necessary for compilation of  energy balances are provided from:</w:t>
            </w:r>
          </w:p>
          <w:p>
            <w:pPr>
              <w:spacing w:before="120"/>
              <w:ind w:hanging="227" w:left="624"/>
              <w:rPr>
                <w:rFonts w:ascii="Arial Narrow" w:hAnsi="Arial Narrow"/>
                <w:sz w:val="21"/>
              </w:rPr>
            </w:pPr>
            <w:r>
              <w:rPr>
                <w:rFonts w:ascii="Arial Narrow" w:hAnsi="Arial Narrow"/>
                <w:sz w:val="21"/>
              </w:rPr>
              <w:t>1. Regular statistical surveys from the field of energy statistics;</w:t>
            </w:r>
          </w:p>
          <w:p>
            <w:pPr>
              <w:spacing w:before="120"/>
              <w:ind w:firstLine="397"/>
              <w:rPr>
                <w:rFonts w:ascii="Arial Narrow" w:hAnsi="Arial Narrow"/>
                <w:sz w:val="21"/>
              </w:rPr>
            </w:pPr>
            <w:r>
              <w:rPr>
                <w:rFonts w:ascii="Arial Narrow" w:hAnsi="Arial Narrow"/>
                <w:sz w:val="21"/>
              </w:rPr>
              <w:t>2. Regular statistical surveys of:</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Foreign trade,</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Industry,</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Construction,</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Transport,</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Agriculture,</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Foresty, and</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Household survey;</w:t>
            </w:r>
          </w:p>
          <w:p>
            <w:pPr>
              <w:pStyle w:val="P1"/>
              <w:spacing w:before="120" w:after="0"/>
              <w:ind w:firstLine="397"/>
              <w:jc w:val="both"/>
              <w:rPr>
                <w:rFonts w:ascii="Arial Narrow" w:hAnsi="Arial Narrow"/>
                <w:b w:val="1"/>
                <w:i w:val="1"/>
                <w:sz w:val="21"/>
              </w:rPr>
            </w:pPr>
            <w:r>
              <w:rPr>
                <w:rFonts w:ascii="Arial Narrow" w:hAnsi="Arial Narrow"/>
                <w:b w:val="0"/>
                <w:sz w:val="21"/>
              </w:rPr>
              <w:t>3. Publicat</w:t>
            </w:r>
            <w:r>
              <w:rPr>
                <w:rFonts w:ascii="Arial Narrow" w:hAnsi="Arial Narrow"/>
                <w:b w:val="0"/>
                <w:sz w:val="21"/>
              </w:rPr>
              <w:t>ions of</w:t>
            </w:r>
            <w:r>
              <w:rPr>
                <w:rFonts w:ascii="Arial Narrow" w:hAnsi="Arial Narrow"/>
                <w:b w:val="0"/>
                <w:sz w:val="21"/>
              </w:rPr>
              <w:t xml:space="preserve"> </w:t>
            </w:r>
            <w:r>
              <w:rPr>
                <w:rFonts w:ascii="Arial Narrow" w:hAnsi="Arial Narrow"/>
                <w:b w:val="0"/>
                <w:i w:val="1"/>
                <w:sz w:val="21"/>
              </w:rPr>
              <w:t>IEA/OECD</w:t>
            </w:r>
            <w:r>
              <w:rPr>
                <w:rFonts w:ascii="Arial Narrow" w:hAnsi="Arial Narrow"/>
                <w:b w:val="0"/>
                <w:i w:val="1"/>
                <w:sz w:val="21"/>
              </w:rPr>
              <w:t>.</w:t>
            </w:r>
          </w:p>
          <w:p>
            <w:pPr>
              <w:spacing w:before="360" w:after="120"/>
              <w:rPr>
                <w:rFonts w:ascii="Arial Narrow" w:hAnsi="Arial Narrow"/>
                <w:b w:val="1"/>
                <w:sz w:val="24"/>
              </w:rPr>
            </w:pPr>
            <w:r>
              <w:rPr>
                <w:rFonts w:ascii="Arial Narrow" w:hAnsi="Arial Narrow"/>
                <w:b w:val="1"/>
                <w:sz w:val="24"/>
              </w:rPr>
              <w:t>Reporting units</w:t>
            </w:r>
            <w:r>
              <w:rPr>
                <w:rFonts w:ascii="Arial Narrow" w:hAnsi="Arial Narrow"/>
                <w:b w:val="1"/>
                <w:sz w:val="24"/>
              </w:rPr>
              <w:t xml:space="preserve"> </w:t>
            </w:r>
            <w:r>
              <w:rPr>
                <w:rFonts w:ascii="Arial Narrow" w:hAnsi="Arial Narrow"/>
                <w:b w:val="1"/>
                <w:sz w:val="24"/>
              </w:rPr>
              <w:t>of energy statistic</w:t>
            </w:r>
            <w:r>
              <w:rPr>
                <w:rFonts w:ascii="Arial Narrow" w:hAnsi="Arial Narrow"/>
                <w:b w:val="1"/>
                <w:sz w:val="24"/>
              </w:rPr>
              <w:t>s</w:t>
            </w:r>
          </w:p>
          <w:p>
            <w:pPr>
              <w:rPr>
                <w:rFonts w:ascii="Arial Narrow" w:hAnsi="Arial Narrow"/>
                <w:sz w:val="21"/>
              </w:rPr>
            </w:pPr>
            <w:r>
              <w:rPr>
                <w:rFonts w:ascii="Arial Narrow" w:hAnsi="Arial Narrow"/>
                <w:sz w:val="21"/>
              </w:rPr>
              <w:t>Reporting units for electricity balance sheet are:</w:t>
            </w:r>
          </w:p>
          <w:p>
            <w:pPr>
              <w:ind w:firstLine="397"/>
              <w:rPr>
                <w:rFonts w:ascii="Arial Narrow" w:hAnsi="Arial Narrow"/>
                <w:sz w:val="10"/>
              </w:rPr>
            </w:pPr>
          </w:p>
          <w:p>
            <w:pPr>
              <w:pStyle w:val="P12"/>
              <w:numPr>
                <w:ilvl w:val="0"/>
                <w:numId w:val="28"/>
              </w:numPr>
              <w:tabs>
                <w:tab w:val="clear" w:pos="9923" w:leader="none"/>
              </w:tabs>
              <w:spacing w:before="120"/>
              <w:ind w:hanging="284" w:left="851"/>
              <w:jc w:val="left"/>
              <w:rPr>
                <w:rFonts w:ascii="Arial Narrow" w:hAnsi="Arial Narrow"/>
                <w:sz w:val="21"/>
              </w:rPr>
            </w:pPr>
            <w:r>
              <w:rPr>
                <w:rFonts w:ascii="Arial Narrow" w:hAnsi="Arial Narrow"/>
                <w:sz w:val="21"/>
              </w:rPr>
              <w:t>producers of electricity: hydro plants, thermal power plants, CHP-other, autoproducers,</w:t>
            </w:r>
          </w:p>
          <w:p>
            <w:pPr>
              <w:pStyle w:val="P12"/>
              <w:numPr>
                <w:ilvl w:val="0"/>
                <w:numId w:val="28"/>
              </w:numPr>
              <w:tabs>
                <w:tab w:val="clear" w:pos="9923" w:leader="none"/>
              </w:tabs>
              <w:spacing w:before="120"/>
              <w:ind w:hanging="284" w:left="851"/>
              <w:jc w:val="left"/>
              <w:rPr>
                <w:rFonts w:ascii="Arial Narrow" w:hAnsi="Arial Narrow"/>
                <w:sz w:val="21"/>
              </w:rPr>
            </w:pPr>
            <w:r>
              <w:rPr>
                <w:rFonts w:ascii="Arial Narrow" w:hAnsi="Arial Narrow"/>
                <w:sz w:val="21"/>
              </w:rPr>
              <w:t>Serbian Transmission System,</w:t>
            </w:r>
          </w:p>
          <w:p>
            <w:pPr>
              <w:pStyle w:val="P12"/>
              <w:numPr>
                <w:ilvl w:val="0"/>
                <w:numId w:val="28"/>
              </w:numPr>
              <w:tabs>
                <w:tab w:val="clear" w:pos="9923" w:leader="none"/>
              </w:tabs>
              <w:spacing w:before="120"/>
              <w:ind w:hanging="284" w:left="851"/>
              <w:jc w:val="left"/>
              <w:rPr>
                <w:rFonts w:ascii="Arial Narrow" w:hAnsi="Arial Narrow"/>
                <w:sz w:val="21"/>
              </w:rPr>
            </w:pPr>
            <w:r>
              <w:rPr>
                <w:rFonts w:ascii="Arial Narrow" w:hAnsi="Arial Narrow"/>
                <w:sz w:val="21"/>
              </w:rPr>
              <w:t xml:space="preserve">Regional distributors of electricity, and </w:t>
            </w:r>
          </w:p>
          <w:p>
            <w:pPr>
              <w:pStyle w:val="P12"/>
              <w:numPr>
                <w:ilvl w:val="0"/>
                <w:numId w:val="28"/>
              </w:numPr>
              <w:tabs>
                <w:tab w:val="clear" w:pos="9923" w:leader="none"/>
              </w:tabs>
              <w:spacing w:before="120"/>
              <w:ind w:hanging="284" w:left="851"/>
              <w:jc w:val="left"/>
              <w:rPr>
                <w:rFonts w:ascii="Arial Narrow" w:hAnsi="Arial Narrow"/>
                <w:sz w:val="21"/>
              </w:rPr>
            </w:pPr>
            <w:r>
              <w:rPr>
                <w:rFonts w:ascii="Arial Narrow" w:hAnsi="Arial Narrow"/>
                <w:sz w:val="21"/>
              </w:rPr>
              <w:t>Direction JP Electric Power Industry of Serbia.</w:t>
            </w:r>
          </w:p>
          <w:p/>
        </w:tc>
      </w:tr>
    </w:tbl>
    <w:p>
      <w:pPr>
        <w:rPr>
          <w:sz w:val="2"/>
        </w:rPr>
      </w:pPr>
    </w:p>
    <w:tbl>
      <w:tblPr>
        <w:tblStyle w:val="T2"/>
        <w:tblW w:w="0" w:type="auto"/>
        <w:jc w:val="center"/>
        <w:tblLayout w:type="autofit"/>
        <w:tblCellMar>
          <w:left w:w="28" w:type="dxa"/>
          <w:right w:w="28" w:type="dxa"/>
        </w:tblCellMar>
      </w:tblPr>
      <w:tblGrid/>
      <w:tr>
        <w:trPr>
          <w:wAfter w:w="0" w:type="dxa"/>
          <w:trHeight w:hRule="atLeast" w:val="60"/>
        </w:trPr>
        <w:tc>
          <w:tcPr>
            <w:tcW w:w="4593" w:type="dxa"/>
          </w:tcPr>
          <w:p>
            <w:pPr>
              <w:pStyle w:val="P12"/>
              <w:spacing w:before="120"/>
              <w:ind w:firstLine="28"/>
              <w:rPr>
                <w:rFonts w:ascii="Arial Narrow" w:hAnsi="Arial Narrow"/>
                <w:sz w:val="21"/>
              </w:rPr>
            </w:pPr>
            <w:r>
              <w:rPr>
                <w:rFonts w:ascii="Arial Narrow" w:hAnsi="Arial Narrow"/>
                <w:sz w:val="21"/>
              </w:rPr>
              <w:t>Извештајне јединице за биланс топлотне енергије јесу:</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произвођачи топлотне енергије: термоелектране, ТЕ-ТО, индустријске енергане, топлане, и</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предузећа за пренос и дистрибуцију топлотне енергије.</w:t>
            </w:r>
          </w:p>
          <w:p>
            <w:pPr>
              <w:pStyle w:val="P12"/>
              <w:spacing w:before="120"/>
              <w:ind w:firstLine="28"/>
              <w:rPr>
                <w:rFonts w:ascii="Arial Narrow" w:hAnsi="Arial Narrow"/>
                <w:sz w:val="21"/>
              </w:rPr>
            </w:pPr>
            <w:r>
              <w:rPr>
                <w:rFonts w:ascii="Arial Narrow" w:hAnsi="Arial Narrow"/>
                <w:sz w:val="21"/>
              </w:rPr>
              <w:t>Извештајне јединице за биланс угља јесу:</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произвођачи чврстих фосилних горива,</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произвођачи високо-пећног гаса и конверторског гаса, и</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трговци угљем.</w:t>
            </w:r>
          </w:p>
          <w:p>
            <w:pPr>
              <w:pStyle w:val="P12"/>
              <w:spacing w:before="360" w:after="240"/>
              <w:jc w:val="left"/>
              <w:rPr>
                <w:rFonts w:ascii="Arial Narrow" w:hAnsi="Arial Narrow"/>
                <w:b w:val="1"/>
                <w:sz w:val="24"/>
                <w:vertAlign w:val="superscript"/>
              </w:rPr>
            </w:pPr>
            <w:r>
              <w:rPr>
                <w:rFonts w:ascii="Arial Narrow" w:hAnsi="Arial Narrow"/>
                <w:b w:val="1"/>
                <w:sz w:val="24"/>
              </w:rPr>
              <w:t>Садржај редова у енергетском билансу</w:t>
            </w:r>
          </w:p>
          <w:p>
            <w:pPr>
              <w:pStyle w:val="P1"/>
              <w:spacing w:before="120" w:after="0"/>
              <w:jc w:val="both"/>
              <w:rPr>
                <w:rFonts w:ascii="Arial Narrow" w:hAnsi="Arial Narrow"/>
                <w:b w:val="1"/>
                <w:i w:val="1"/>
                <w:sz w:val="21"/>
              </w:rPr>
            </w:pPr>
            <w:r>
              <w:rPr>
                <w:rFonts w:ascii="Arial Narrow" w:hAnsi="Arial Narrow"/>
                <w:i w:val="1"/>
                <w:sz w:val="21"/>
              </w:rPr>
              <w:t>Примарна производња</w:t>
            </w:r>
            <w:r>
              <w:rPr>
                <w:rFonts w:ascii="Arial Narrow" w:hAnsi="Arial Narrow"/>
                <w:sz w:val="21"/>
              </w:rPr>
              <w:t xml:space="preserve"> </w:t>
            </w:r>
            <w:r>
              <w:rPr>
                <w:rFonts w:ascii="Arial Narrow" w:hAnsi="Arial Narrow"/>
                <w:b w:val="0"/>
                <w:i w:val="1"/>
                <w:sz w:val="21"/>
              </w:rPr>
              <w:t>обухвата производњу при</w:t>
            </w:r>
            <w:r>
              <w:rPr>
                <w:rFonts w:ascii="Arial Narrow" w:hAnsi="Arial Narrow"/>
                <w:b w:val="0"/>
                <w:i w:val="1"/>
                <w:sz w:val="21"/>
              </w:rPr>
              <w:t>-</w:t>
            </w:r>
            <w:r>
              <w:rPr>
                <w:rFonts w:ascii="Arial Narrow" w:hAnsi="Arial Narrow"/>
                <w:b w:val="0"/>
                <w:i w:val="1"/>
                <w:sz w:val="21"/>
              </w:rPr>
              <w:t>марне енергије у држави (угља, нафте, природног гаса, биомасе, хидроелектричне енергије, геотермал</w:t>
            </w:r>
            <w:r>
              <w:rPr>
                <w:rFonts w:ascii="Arial Narrow" w:hAnsi="Arial Narrow"/>
                <w:b w:val="0"/>
                <w:i w:val="1"/>
                <w:sz w:val="21"/>
              </w:rPr>
              <w:t>-</w:t>
            </w:r>
            <w:r>
              <w:rPr>
                <w:rFonts w:ascii="Arial Narrow" w:hAnsi="Arial Narrow"/>
                <w:b w:val="0"/>
                <w:i w:val="1"/>
                <w:sz w:val="21"/>
              </w:rPr>
              <w:t>не енергије, енергије ветра и соларне енергије).</w:t>
            </w:r>
          </w:p>
          <w:p>
            <w:pPr>
              <w:pStyle w:val="P12"/>
              <w:spacing w:before="120"/>
              <w:rPr>
                <w:rFonts w:ascii="Arial Narrow" w:hAnsi="Arial Narrow"/>
                <w:sz w:val="21"/>
              </w:rPr>
            </w:pPr>
            <w:r>
              <w:rPr>
                <w:rFonts w:ascii="Arial Narrow" w:hAnsi="Arial Narrow"/>
                <w:b w:val="1"/>
                <w:i w:val="1"/>
                <w:sz w:val="21"/>
              </w:rPr>
              <w:t xml:space="preserve">Увоз, извоз </w:t>
            </w:r>
            <w:r>
              <w:rPr>
                <w:rFonts w:ascii="Arial Narrow" w:hAnsi="Arial Narrow"/>
                <w:sz w:val="21"/>
              </w:rPr>
              <w:t xml:space="preserve">обухватају количине које су прешле преко националне границе. </w:t>
            </w:r>
          </w:p>
          <w:p>
            <w:pPr>
              <w:pStyle w:val="P12"/>
              <w:spacing w:before="120"/>
              <w:rPr>
                <w:rFonts w:ascii="Arial Narrow" w:hAnsi="Arial Narrow"/>
                <w:sz w:val="21"/>
              </w:rPr>
            </w:pPr>
            <w:r>
              <w:rPr>
                <w:rFonts w:ascii="Arial Narrow" w:hAnsi="Arial Narrow"/>
                <w:b w:val="1"/>
                <w:i w:val="1"/>
                <w:sz w:val="21"/>
              </w:rPr>
              <w:t>Салдо залиха</w:t>
            </w:r>
            <w:r>
              <w:rPr>
                <w:rFonts w:ascii="Arial Narrow" w:hAnsi="Arial Narrow"/>
                <w:b w:val="1"/>
                <w:sz w:val="21"/>
              </w:rPr>
              <w:t xml:space="preserve"> </w:t>
            </w:r>
            <w:r>
              <w:rPr>
                <w:rFonts w:ascii="Arial Narrow" w:hAnsi="Arial Narrow"/>
                <w:sz w:val="21"/>
              </w:rPr>
              <w:t xml:space="preserve">јесте разлика између залиха у првом дану у години (почетне залихе) и залиха у последњем дану у години (крајње залихе). </w:t>
            </w:r>
          </w:p>
          <w:p>
            <w:pPr>
              <w:pStyle w:val="P12"/>
              <w:spacing w:before="120"/>
              <w:rPr>
                <w:rFonts w:ascii="Arial Narrow" w:hAnsi="Arial Narrow"/>
                <w:sz w:val="21"/>
              </w:rPr>
            </w:pPr>
            <w:r>
              <w:rPr>
                <w:rFonts w:ascii="Arial Narrow" w:hAnsi="Arial Narrow"/>
                <w:b w:val="1"/>
                <w:i w:val="1"/>
                <w:sz w:val="21"/>
              </w:rPr>
              <w:t>Међународна складишта</w:t>
            </w:r>
            <w:r>
              <w:rPr>
                <w:rFonts w:ascii="Arial Narrow" w:hAnsi="Arial Narrow"/>
                <w:b w:val="1"/>
                <w:sz w:val="21"/>
              </w:rPr>
              <w:t xml:space="preserve"> </w:t>
            </w:r>
            <w:r>
              <w:rPr>
                <w:rFonts w:ascii="Arial Narrow" w:hAnsi="Arial Narrow"/>
                <w:sz w:val="21"/>
              </w:rPr>
              <w:t>обухватају количине испоручене за потребе међународне бродске пловидбе и међународног авио-превоза.</w:t>
            </w:r>
          </w:p>
          <w:p>
            <w:pPr>
              <w:pStyle w:val="P24"/>
              <w:spacing w:before="120"/>
              <w:rPr>
                <w:rFonts w:ascii="Arial Narrow" w:hAnsi="Arial Narrow"/>
                <w:sz w:val="21"/>
              </w:rPr>
            </w:pPr>
            <w:r>
              <w:rPr>
                <w:rFonts w:ascii="Arial Narrow" w:hAnsi="Arial Narrow"/>
                <w:b w:val="1"/>
                <w:i w:val="1"/>
                <w:sz w:val="21"/>
              </w:rPr>
              <w:t>Статистичка разлика</w:t>
            </w:r>
            <w:r>
              <w:rPr>
                <w:rFonts w:ascii="Arial Narrow" w:hAnsi="Arial Narrow"/>
                <w:b w:val="1"/>
                <w:sz w:val="21"/>
              </w:rPr>
              <w:t xml:space="preserve"> </w:t>
            </w:r>
            <w:r>
              <w:rPr>
                <w:rFonts w:ascii="Arial Narrow" w:hAnsi="Arial Narrow"/>
                <w:sz w:val="21"/>
              </w:rPr>
              <w:t xml:space="preserve">јесте категорија која укључује збир необјашњених статистичких разлика између производње и потрошње за поједине енергенте. </w:t>
            </w:r>
          </w:p>
          <w:p>
            <w:pPr>
              <w:pStyle w:val="P24"/>
              <w:spacing w:before="120"/>
              <w:rPr>
                <w:rFonts w:ascii="Arial Narrow" w:hAnsi="Arial Narrow"/>
                <w:color w:val="FF0000"/>
                <w:sz w:val="21"/>
              </w:rPr>
            </w:pPr>
            <w:r>
              <w:rPr>
                <w:rFonts w:ascii="Arial Narrow" w:hAnsi="Arial Narrow"/>
                <w:b w:val="1"/>
                <w:i w:val="1"/>
                <w:sz w:val="21"/>
              </w:rPr>
              <w:t xml:space="preserve">Укупно расположива енергија </w:t>
            </w:r>
            <w:r>
              <w:rPr>
                <w:rFonts w:ascii="Arial Narrow" w:hAnsi="Arial Narrow"/>
                <w:sz w:val="21"/>
              </w:rPr>
              <w:t>израчунава се на следећи начин:</w:t>
            </w:r>
          </w:p>
          <w:p>
            <w:pPr>
              <w:pStyle w:val="P24"/>
              <w:spacing w:before="120"/>
              <w:ind w:firstLine="741"/>
              <w:rPr>
                <w:rFonts w:ascii="Arial Narrow" w:hAnsi="Arial Narrow"/>
                <w:sz w:val="21"/>
              </w:rPr>
            </w:pPr>
            <w:r>
              <w:rPr>
                <w:rFonts w:ascii="Arial Narrow" w:hAnsi="Arial Narrow"/>
                <w:sz w:val="21"/>
              </w:rPr>
              <w:t xml:space="preserve">Производња примарне енергије </w:t>
            </w:r>
          </w:p>
          <w:p>
            <w:pPr>
              <w:pStyle w:val="P24"/>
              <w:ind w:firstLine="567"/>
              <w:rPr>
                <w:rFonts w:ascii="Arial Narrow" w:hAnsi="Arial Narrow"/>
                <w:sz w:val="21"/>
              </w:rPr>
            </w:pPr>
            <w:r>
              <w:rPr>
                <w:rFonts w:ascii="Arial Narrow" w:hAnsi="Arial Narrow"/>
                <w:sz w:val="21"/>
              </w:rPr>
              <w:t xml:space="preserve">+ Увоз  </w:t>
            </w:r>
          </w:p>
          <w:p>
            <w:pPr>
              <w:pStyle w:val="P24"/>
              <w:ind w:firstLine="567"/>
              <w:rPr>
                <w:rFonts w:ascii="Arial Narrow" w:hAnsi="Arial Narrow"/>
                <w:sz w:val="21"/>
              </w:rPr>
            </w:pPr>
            <w:r>
              <w:rPr>
                <w:rFonts w:ascii="Arial" w:hAnsi="Arial"/>
                <w:sz w:val="21"/>
              </w:rPr>
              <w:t>–</w:t>
            </w:r>
            <w:r>
              <w:rPr>
                <w:rFonts w:ascii="Arial Narrow" w:hAnsi="Arial Narrow"/>
                <w:sz w:val="21"/>
              </w:rPr>
              <w:t xml:space="preserve"> Извоз </w:t>
            </w:r>
          </w:p>
          <w:p>
            <w:pPr>
              <w:pStyle w:val="P24"/>
              <w:ind w:firstLine="567"/>
              <w:rPr>
                <w:rFonts w:ascii="Arial Narrow" w:hAnsi="Arial Narrow"/>
                <w:sz w:val="21"/>
              </w:rPr>
            </w:pPr>
            <w:r>
              <w:rPr>
                <w:rFonts w:ascii="Arial Narrow" w:hAnsi="Arial Narrow"/>
                <w:sz w:val="21"/>
              </w:rPr>
              <w:t xml:space="preserve">+ Салдо залиха  </w:t>
            </w:r>
          </w:p>
          <w:p>
            <w:pPr>
              <w:pStyle w:val="P24"/>
              <w:ind w:firstLine="567"/>
              <w:rPr>
                <w:rFonts w:ascii="Arial Narrow" w:hAnsi="Arial Narrow"/>
                <w:sz w:val="21"/>
              </w:rPr>
            </w:pPr>
            <w:r>
              <w:rPr>
                <w:rFonts w:ascii="Arial" w:hAnsi="Arial"/>
                <w:sz w:val="21"/>
              </w:rPr>
              <w:t>–</w:t>
            </w:r>
            <w:r>
              <w:rPr>
                <w:rFonts w:ascii="Arial Narrow" w:hAnsi="Arial Narrow"/>
                <w:sz w:val="21"/>
              </w:rPr>
              <w:t xml:space="preserve"> Међународна складишта </w:t>
            </w:r>
          </w:p>
          <w:p>
            <w:pPr>
              <w:pStyle w:val="P24"/>
              <w:ind w:firstLine="567"/>
              <w:rPr>
                <w:rFonts w:ascii="Arial Narrow" w:hAnsi="Arial Narrow"/>
                <w:sz w:val="21"/>
              </w:rPr>
            </w:pPr>
            <w:r>
              <w:rPr>
                <w:rFonts w:ascii="Arial" w:hAnsi="Arial"/>
                <w:sz w:val="21"/>
              </w:rPr>
              <w:t>–</w:t>
            </w:r>
            <w:r>
              <w:rPr>
                <w:rFonts w:ascii="Arial Narrow" w:hAnsi="Arial Narrow"/>
                <w:sz w:val="21"/>
              </w:rPr>
              <w:t xml:space="preserve"> Статистичка разлика.</w:t>
            </w:r>
          </w:p>
          <w:p>
            <w:pPr>
              <w:pStyle w:val="P24"/>
              <w:spacing w:before="120"/>
              <w:rPr>
                <w:rFonts w:ascii="Arial Narrow" w:hAnsi="Arial Narrow"/>
                <w:sz w:val="21"/>
              </w:rPr>
            </w:pPr>
            <w:r>
              <w:rPr>
                <w:rFonts w:ascii="Arial Narrow" w:hAnsi="Arial Narrow"/>
                <w:b w:val="1"/>
                <w:i w:val="1"/>
                <w:sz w:val="21"/>
              </w:rPr>
              <w:t>Утрошак за производњу енергије</w:t>
            </w:r>
            <w:r>
              <w:rPr>
                <w:rFonts w:ascii="Arial Narrow" w:hAnsi="Arial Narrow"/>
                <w:b w:val="1"/>
                <w:sz w:val="21"/>
              </w:rPr>
              <w:t xml:space="preserve"> </w:t>
            </w:r>
            <w:r>
              <w:rPr>
                <w:rFonts w:ascii="Arial Narrow" w:hAnsi="Arial Narrow"/>
                <w:sz w:val="21"/>
              </w:rPr>
              <w:t>јесте утрошак горива као сировине за производњу енергије у</w:t>
            </w:r>
            <w:r>
              <w:rPr>
                <w:rFonts w:ascii="Arial Narrow" w:hAnsi="Arial Narrow"/>
                <w:b w:val="1"/>
                <w:sz w:val="21"/>
              </w:rPr>
              <w:t xml:space="preserve"> </w:t>
            </w:r>
            <w:r>
              <w:rPr>
                <w:rFonts w:ascii="Arial Narrow" w:hAnsi="Arial Narrow"/>
                <w:sz w:val="21"/>
              </w:rPr>
              <w:t>термоелектранама, ТЕ-ТО, индустријским енерганама, топланама, рафинеријама, високим пећима и погонима за прераду угља.</w:t>
            </w:r>
          </w:p>
          <w:p>
            <w:pPr>
              <w:pStyle w:val="P24"/>
              <w:spacing w:before="120"/>
              <w:rPr>
                <w:rFonts w:ascii="Arial Narrow" w:hAnsi="Arial Narrow"/>
                <w:sz w:val="21"/>
              </w:rPr>
            </w:pPr>
            <w:r>
              <w:rPr>
                <w:rFonts w:ascii="Arial Narrow" w:hAnsi="Arial Narrow"/>
                <w:b w:val="1"/>
                <w:i w:val="1"/>
                <w:sz w:val="21"/>
              </w:rPr>
              <w:t xml:space="preserve">Производња енергије трансформацијом </w:t>
            </w:r>
            <w:r>
              <w:rPr>
                <w:rFonts w:ascii="Arial Narrow" w:hAnsi="Arial Narrow"/>
                <w:sz w:val="21"/>
              </w:rPr>
              <w:t>обухвата производњу трансформисаних облика енергије (термо-електричне енергије, топлотне енергије, деривата нафте, високо-пећног гаса, конверторског гаса).</w:t>
            </w:r>
          </w:p>
          <w:p>
            <w:pPr>
              <w:pStyle w:val="P24"/>
              <w:spacing w:before="120"/>
              <w:rPr>
                <w:rFonts w:ascii="Arial Narrow" w:hAnsi="Arial Narrow"/>
                <w:sz w:val="21"/>
              </w:rPr>
            </w:pPr>
            <w:r>
              <w:rPr>
                <w:rFonts w:ascii="Arial Narrow" w:hAnsi="Arial Narrow"/>
                <w:b w:val="1"/>
                <w:i w:val="1"/>
                <w:sz w:val="21"/>
              </w:rPr>
              <w:t>Размена</w:t>
            </w:r>
            <w:r>
              <w:rPr>
                <w:rFonts w:ascii="Arial Narrow" w:hAnsi="Arial Narrow"/>
                <w:b w:val="1"/>
                <w:sz w:val="21"/>
              </w:rPr>
              <w:t xml:space="preserve"> </w:t>
            </w:r>
            <w:r>
              <w:rPr>
                <w:rFonts w:ascii="Arial Narrow" w:hAnsi="Arial Narrow"/>
                <w:sz w:val="21"/>
              </w:rPr>
              <w:t>обухвата</w:t>
            </w:r>
            <w:r>
              <w:rPr>
                <w:rFonts w:ascii="Arial Narrow" w:hAnsi="Arial Narrow"/>
                <w:b w:val="1"/>
                <w:sz w:val="21"/>
              </w:rPr>
              <w:t xml:space="preserve"> </w:t>
            </w:r>
            <w:r>
              <w:rPr>
                <w:rFonts w:ascii="Arial Narrow" w:hAnsi="Arial Narrow"/>
                <w:sz w:val="21"/>
              </w:rPr>
              <w:t xml:space="preserve">размену међуфазних производа (фракције, дестилати), готових производа (хидроелек-трична енергија) и  производа који се поново прерађују (примарни бензин, мазут, мазива).</w:t>
            </w:r>
          </w:p>
          <w:p>
            <w:pPr>
              <w:spacing w:before="120"/>
              <w:jc w:val="both"/>
              <w:rPr>
                <w:rFonts w:ascii="Arial Narrow" w:hAnsi="Arial Narrow"/>
                <w:sz w:val="21"/>
              </w:rPr>
            </w:pPr>
            <w:r>
              <w:rPr>
                <w:rFonts w:ascii="Arial Narrow" w:hAnsi="Arial Narrow"/>
                <w:b w:val="1"/>
                <w:i w:val="1"/>
                <w:sz w:val="21"/>
              </w:rPr>
              <w:t>Сопствена потрошња у енергетском</w:t>
            </w:r>
            <w:r>
              <w:rPr>
                <w:rFonts w:ascii="Arial Narrow" w:hAnsi="Arial Narrow"/>
                <w:i w:val="1"/>
                <w:sz w:val="21"/>
              </w:rPr>
              <w:t xml:space="preserve"> </w:t>
            </w:r>
            <w:r>
              <w:rPr>
                <w:rFonts w:ascii="Arial Narrow" w:hAnsi="Arial Narrow"/>
                <w:b w:val="1"/>
                <w:i w:val="1"/>
                <w:sz w:val="21"/>
              </w:rPr>
              <w:t>сектору</w:t>
            </w:r>
            <w:r>
              <w:rPr>
                <w:rFonts w:ascii="Arial Narrow" w:hAnsi="Arial Narrow"/>
                <w:sz w:val="21"/>
              </w:rPr>
              <w:t xml:space="preserve"> обухвата потрошњу енергије за погонске сврхе у енергетском сектору.  </w:t>
            </w:r>
          </w:p>
        </w:tc>
        <w:tc>
          <w:tcPr>
            <w:tcW w:w="454" w:type="dxa"/>
          </w:tcPr>
          <w:p>
            <w:pPr>
              <w:pStyle w:val="P1"/>
              <w:spacing w:before="0" w:after="0"/>
              <w:jc w:val="both"/>
              <w:rPr>
                <w:rFonts w:ascii="Arial Narrow" w:hAnsi="Arial Narrow"/>
                <w:b w:val="1"/>
                <w:sz w:val="21"/>
              </w:rPr>
            </w:pPr>
          </w:p>
        </w:tc>
        <w:tc>
          <w:tcPr>
            <w:tcW w:w="4593" w:type="dxa"/>
          </w:tcPr>
          <w:p>
            <w:pPr>
              <w:spacing w:before="120"/>
              <w:rPr>
                <w:rFonts w:ascii="Arial Narrow" w:hAnsi="Arial Narrow"/>
                <w:sz w:val="21"/>
              </w:rPr>
            </w:pPr>
            <w:r>
              <w:rPr>
                <w:rFonts w:ascii="Arial Narrow" w:hAnsi="Arial Narrow"/>
                <w:sz w:val="21"/>
              </w:rPr>
              <w:t>Reporting units for heat energy balance sheet are:</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producers of heat energy: thermal power plants, CHP-other, autoproducers, district heating plants, and</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enterprises for transmission and distribution of heat energy.</w:t>
            </w:r>
          </w:p>
          <w:p>
            <w:pPr>
              <w:spacing w:before="120"/>
              <w:ind w:hanging="1"/>
              <w:rPr>
                <w:rFonts w:ascii="Arial Narrow" w:hAnsi="Arial Narrow"/>
                <w:sz w:val="21"/>
              </w:rPr>
            </w:pPr>
            <w:r>
              <w:rPr>
                <w:rFonts w:ascii="Arial Narrow" w:hAnsi="Arial Narrow"/>
                <w:sz w:val="21"/>
              </w:rPr>
              <w:t>Reporting units for coal energy balance sheet are:</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producers of solid fossil fuels,</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producers of manufactured gases, and</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merchants of solid fossil fuels.</w:t>
            </w:r>
          </w:p>
          <w:p>
            <w:pPr>
              <w:pStyle w:val="P12"/>
              <w:tabs>
                <w:tab w:val="clear" w:pos="9923" w:leader="none"/>
              </w:tabs>
              <w:ind w:left="567"/>
              <w:jc w:val="left"/>
              <w:rPr>
                <w:rFonts w:ascii="Arial Narrow" w:hAnsi="Arial Narrow"/>
                <w:sz w:val="21"/>
              </w:rPr>
            </w:pPr>
          </w:p>
          <w:p>
            <w:pPr>
              <w:pStyle w:val="P5"/>
              <w:spacing w:before="360" w:after="240"/>
              <w:rPr>
                <w:rFonts w:ascii="Arial Narrow" w:hAnsi="Arial Narrow"/>
                <w:i w:val="1"/>
                <w:sz w:val="24"/>
                <w:vertAlign w:val="superscript"/>
              </w:rPr>
            </w:pPr>
            <w:r>
              <w:rPr>
                <w:rFonts w:ascii="Arial Narrow" w:hAnsi="Arial Narrow"/>
                <w:i w:val="0"/>
                <w:sz w:val="24"/>
              </w:rPr>
              <w:t>Contents of rows in energy balance sheet</w:t>
            </w:r>
          </w:p>
          <w:p>
            <w:pPr>
              <w:spacing w:before="120"/>
              <w:jc w:val="both"/>
              <w:rPr>
                <w:rFonts w:ascii="Arial Narrow" w:hAnsi="Arial Narrow"/>
                <w:i w:val="1"/>
                <w:sz w:val="21"/>
              </w:rPr>
            </w:pPr>
            <w:r>
              <w:rPr>
                <w:rFonts w:ascii="Arial Narrow" w:hAnsi="Arial Narrow"/>
                <w:b w:val="1"/>
                <w:i w:val="1"/>
                <w:sz w:val="21"/>
              </w:rPr>
              <w:t xml:space="preserve">Primary </w:t>
            </w:r>
            <w:r>
              <w:rPr>
                <w:rFonts w:ascii="Arial Narrow" w:hAnsi="Arial Narrow"/>
                <w:b w:val="1"/>
                <w:i w:val="1"/>
                <w:sz w:val="21"/>
              </w:rPr>
              <w:t>prod</w:t>
            </w:r>
            <w:r>
              <w:rPr>
                <w:rFonts w:ascii="Arial Narrow" w:hAnsi="Arial Narrow"/>
                <w:b w:val="1"/>
                <w:i w:val="1"/>
                <w:sz w:val="21"/>
              </w:rPr>
              <w:t>u</w:t>
            </w:r>
            <w:r>
              <w:rPr>
                <w:rFonts w:ascii="Arial Narrow" w:hAnsi="Arial Narrow"/>
                <w:b w:val="1"/>
                <w:i w:val="1"/>
                <w:sz w:val="21"/>
              </w:rPr>
              <w:t xml:space="preserve">ction </w:t>
            </w:r>
            <w:r>
              <w:rPr>
                <w:rFonts w:ascii="Arial Narrow" w:hAnsi="Arial Narrow"/>
                <w:b w:val="1"/>
                <w:i w:val="1"/>
                <w:sz w:val="21"/>
              </w:rPr>
              <w:t xml:space="preserve"> </w:t>
            </w:r>
            <w:r>
              <w:rPr>
                <w:rFonts w:ascii="Arial Narrow" w:hAnsi="Arial Narrow"/>
                <w:i w:val="1"/>
                <w:sz w:val="21"/>
              </w:rPr>
              <w:t>comprises the production of primary energy in the country (coal, pet</w:t>
            </w:r>
            <w:r>
              <w:rPr>
                <w:rFonts w:ascii="Arial Narrow" w:hAnsi="Arial Narrow"/>
                <w:i w:val="1"/>
                <w:sz w:val="21"/>
              </w:rPr>
              <w:t>roleum, natural gas, biomass, hy</w:t>
            </w:r>
            <w:r>
              <w:rPr>
                <w:rFonts w:ascii="Arial Narrow" w:hAnsi="Arial Narrow"/>
                <w:i w:val="1"/>
                <w:sz w:val="21"/>
              </w:rPr>
              <w:t>dro energy, geot</w:t>
            </w:r>
            <w:r>
              <w:rPr>
                <w:rFonts w:ascii="Arial Narrow" w:hAnsi="Arial Narrow"/>
                <w:i w:val="1"/>
                <w:sz w:val="21"/>
              </w:rPr>
              <w:t>h</w:t>
            </w:r>
            <w:r>
              <w:rPr>
                <w:rFonts w:ascii="Arial Narrow" w:hAnsi="Arial Narrow"/>
                <w:i w:val="1"/>
                <w:sz w:val="21"/>
              </w:rPr>
              <w:t>ermal energy, wind energy, solar energy).</w:t>
            </w:r>
          </w:p>
          <w:p>
            <w:pPr>
              <w:spacing w:before="120"/>
              <w:jc w:val="both"/>
              <w:rPr>
                <w:rFonts w:ascii="Arial Narrow" w:hAnsi="Arial Narrow"/>
                <w:sz w:val="21"/>
              </w:rPr>
            </w:pPr>
            <w:r>
              <w:rPr>
                <w:rFonts w:ascii="Arial Narrow" w:hAnsi="Arial Narrow"/>
                <w:b w:val="1"/>
                <w:i w:val="1"/>
                <w:sz w:val="21"/>
              </w:rPr>
              <w:t>Import, export</w:t>
            </w:r>
            <w:r>
              <w:rPr>
                <w:rFonts w:ascii="Arial Narrow" w:hAnsi="Arial Narrow"/>
                <w:sz w:val="21"/>
              </w:rPr>
              <w:t xml:space="preserve">  include quantities that crossed the national border. </w:t>
            </w:r>
          </w:p>
          <w:p>
            <w:pPr>
              <w:spacing w:before="120"/>
              <w:jc w:val="both"/>
              <w:rPr>
                <w:rFonts w:ascii="Arial Narrow" w:hAnsi="Arial Narrow"/>
                <w:sz w:val="21"/>
              </w:rPr>
            </w:pPr>
            <w:r>
              <w:rPr>
                <w:rFonts w:ascii="Arial Narrow" w:hAnsi="Arial Narrow"/>
                <w:b w:val="1"/>
                <w:i w:val="1"/>
                <w:sz w:val="21"/>
              </w:rPr>
              <w:t>Stock changes</w:t>
            </w:r>
            <w:r>
              <w:rPr>
                <w:rFonts w:ascii="Arial Narrow" w:hAnsi="Arial Narrow"/>
                <w:sz w:val="21"/>
              </w:rPr>
              <w:t xml:space="preserve"> is a difference between stocks in the first day of the year (initial stocks) and stocks in the last day of the year (final stocks). </w:t>
            </w:r>
          </w:p>
          <w:p>
            <w:pPr>
              <w:spacing w:before="240"/>
              <w:jc w:val="both"/>
              <w:rPr>
                <w:rFonts w:ascii="Arial Narrow" w:hAnsi="Arial Narrow"/>
                <w:sz w:val="21"/>
              </w:rPr>
            </w:pPr>
            <w:r>
              <w:rPr>
                <w:rFonts w:ascii="Arial Narrow" w:hAnsi="Arial Narrow"/>
                <w:b w:val="1"/>
                <w:i w:val="1"/>
                <w:sz w:val="21"/>
              </w:rPr>
              <w:t>Marine bunkers</w:t>
            </w:r>
            <w:r>
              <w:rPr>
                <w:rFonts w:ascii="Arial Narrow" w:hAnsi="Arial Narrow"/>
                <w:sz w:val="21"/>
              </w:rPr>
              <w:t xml:space="preserve"> include quantities delivered for needs of international ships’ traffic and international air transport.</w:t>
            </w:r>
          </w:p>
          <w:p>
            <w:pPr>
              <w:spacing w:before="240"/>
              <w:jc w:val="both"/>
              <w:rPr>
                <w:rFonts w:ascii="Arial Narrow" w:hAnsi="Arial Narrow"/>
                <w:sz w:val="21"/>
              </w:rPr>
            </w:pPr>
            <w:r>
              <w:rPr>
                <w:rFonts w:ascii="Arial Narrow" w:hAnsi="Arial Narrow"/>
                <w:b w:val="1"/>
                <w:i w:val="1"/>
                <w:sz w:val="21"/>
              </w:rPr>
              <w:t>Statistical difference</w:t>
            </w:r>
            <w:r>
              <w:rPr>
                <w:rFonts w:ascii="Arial Narrow" w:hAnsi="Arial Narrow"/>
                <w:sz w:val="21"/>
              </w:rPr>
              <w:t xml:space="preserve"> is a category that includes sum of unexplained statistical differences between production and consumption for certain energents.</w:t>
            </w:r>
          </w:p>
          <w:p>
            <w:pPr>
              <w:spacing w:before="120"/>
              <w:jc w:val="both"/>
              <w:rPr>
                <w:rFonts w:ascii="Arial Narrow" w:hAnsi="Arial Narrow"/>
                <w:sz w:val="21"/>
              </w:rPr>
            </w:pPr>
            <w:r>
              <w:rPr>
                <w:rFonts w:ascii="Arial Narrow" w:hAnsi="Arial Narrow"/>
                <w:b w:val="1"/>
                <w:i w:val="1"/>
                <w:sz w:val="21"/>
              </w:rPr>
              <w:t>Gross inland consumption</w:t>
            </w:r>
            <w:r>
              <w:rPr>
                <w:rFonts w:ascii="Arial Narrow" w:hAnsi="Arial Narrow"/>
                <w:sz w:val="21"/>
              </w:rPr>
              <w:t xml:space="preserve"> is been calculated in the following way:</w:t>
            </w:r>
          </w:p>
          <w:p>
            <w:pPr>
              <w:spacing w:before="120"/>
              <w:ind w:firstLine="628"/>
              <w:jc w:val="both"/>
              <w:rPr>
                <w:rFonts w:ascii="Arial Narrow" w:hAnsi="Arial Narrow"/>
                <w:sz w:val="21"/>
              </w:rPr>
            </w:pPr>
            <w:r>
              <w:rPr>
                <w:rFonts w:ascii="Arial Narrow" w:hAnsi="Arial Narrow"/>
                <w:sz w:val="21"/>
              </w:rPr>
              <w:t xml:space="preserve">  Primary production</w:t>
            </w:r>
          </w:p>
          <w:p>
            <w:pPr>
              <w:ind w:firstLine="571"/>
              <w:jc w:val="both"/>
              <w:rPr>
                <w:rFonts w:ascii="Arial Narrow" w:hAnsi="Arial Narrow"/>
                <w:sz w:val="21"/>
              </w:rPr>
            </w:pPr>
            <w:r>
              <w:rPr>
                <w:rFonts w:ascii="Arial Narrow" w:hAnsi="Arial Narrow"/>
                <w:sz w:val="21"/>
              </w:rPr>
              <w:t>+ Import</w:t>
            </w:r>
          </w:p>
          <w:p>
            <w:pPr>
              <w:ind w:firstLine="571"/>
              <w:jc w:val="both"/>
              <w:rPr>
                <w:rFonts w:ascii="Arial Narrow" w:hAnsi="Arial Narrow"/>
                <w:sz w:val="21"/>
              </w:rPr>
            </w:pPr>
            <w:r>
              <w:rPr>
                <w:sz w:val="21"/>
              </w:rPr>
              <w:t>–</w:t>
            </w:r>
            <w:r>
              <w:rPr>
                <w:rFonts w:ascii="Arial Narrow" w:hAnsi="Arial Narrow"/>
                <w:sz w:val="21"/>
              </w:rPr>
              <w:t xml:space="preserve"> Export</w:t>
            </w:r>
          </w:p>
          <w:p>
            <w:pPr>
              <w:ind w:firstLine="567"/>
              <w:jc w:val="both"/>
              <w:rPr>
                <w:rFonts w:ascii="Arial Narrow" w:hAnsi="Arial Narrow"/>
                <w:sz w:val="21"/>
              </w:rPr>
            </w:pPr>
            <w:r>
              <w:rPr>
                <w:rFonts w:ascii="Arial Narrow" w:hAnsi="Arial Narrow"/>
                <w:sz w:val="21"/>
              </w:rPr>
              <w:t>+</w:t>
            </w:r>
            <w:r>
              <w:rPr>
                <w:rFonts w:ascii="Arial Narrow" w:hAnsi="Arial Narrow"/>
                <w:b w:val="1"/>
                <w:i w:val="1"/>
                <w:sz w:val="21"/>
              </w:rPr>
              <w:t xml:space="preserve"> </w:t>
            </w:r>
            <w:r>
              <w:rPr>
                <w:rFonts w:ascii="Arial Narrow" w:hAnsi="Arial Narrow"/>
                <w:sz w:val="21"/>
              </w:rPr>
              <w:t>Stock changes</w:t>
            </w:r>
          </w:p>
          <w:p>
            <w:pPr>
              <w:ind w:firstLine="567"/>
              <w:jc w:val="both"/>
              <w:rPr>
                <w:rFonts w:ascii="Arial Narrow" w:hAnsi="Arial Narrow"/>
                <w:sz w:val="21"/>
              </w:rPr>
            </w:pPr>
            <w:r>
              <w:rPr>
                <w:sz w:val="21"/>
              </w:rPr>
              <w:t>–</w:t>
            </w:r>
            <w:r>
              <w:rPr>
                <w:rFonts w:ascii="Arial Narrow" w:hAnsi="Arial Narrow"/>
                <w:sz w:val="21"/>
              </w:rPr>
              <w:t xml:space="preserve"> Marine bunkers</w:t>
            </w:r>
          </w:p>
          <w:p>
            <w:pPr>
              <w:ind w:firstLine="567"/>
              <w:jc w:val="both"/>
              <w:rPr>
                <w:rFonts w:ascii="Arial Narrow" w:hAnsi="Arial Narrow"/>
                <w:b w:val="1"/>
                <w:i w:val="1"/>
                <w:sz w:val="21"/>
              </w:rPr>
            </w:pPr>
            <w:r>
              <w:rPr>
                <w:sz w:val="21"/>
              </w:rPr>
              <w:t>–</w:t>
            </w:r>
            <w:r>
              <w:rPr>
                <w:rFonts w:ascii="Arial Narrow" w:hAnsi="Arial Narrow"/>
                <w:sz w:val="21"/>
              </w:rPr>
              <w:t xml:space="preserve"> Statistical difference.</w:t>
            </w:r>
          </w:p>
          <w:p>
            <w:pPr>
              <w:spacing w:before="120"/>
              <w:jc w:val="both"/>
              <w:rPr>
                <w:rFonts w:ascii="Arial Narrow" w:hAnsi="Arial Narrow"/>
                <w:sz w:val="21"/>
              </w:rPr>
            </w:pPr>
            <w:r>
              <w:rPr>
                <w:rFonts w:ascii="Arial Narrow" w:hAnsi="Arial Narrow"/>
                <w:b w:val="1"/>
                <w:i w:val="1"/>
                <w:sz w:val="21"/>
              </w:rPr>
              <w:t xml:space="preserve">Transformation input </w:t>
            </w:r>
            <w:r>
              <w:rPr>
                <w:rFonts w:ascii="Arial Narrow" w:hAnsi="Arial Narrow"/>
                <w:sz w:val="21"/>
              </w:rPr>
              <w:t xml:space="preserve"> is consumption of fuel as a raw material for generation of energy in thermal power plants, CHP-other, autoproducers, district heating plants, refineries, blast furnace plants and plants for coal transformation.</w:t>
            </w:r>
          </w:p>
          <w:p>
            <w:pPr>
              <w:spacing w:before="240"/>
              <w:jc w:val="both"/>
              <w:rPr>
                <w:rFonts w:ascii="Arial Narrow" w:hAnsi="Arial Narrow"/>
                <w:sz w:val="21"/>
              </w:rPr>
            </w:pPr>
            <w:r>
              <w:rPr>
                <w:rFonts w:ascii="Arial Narrow" w:hAnsi="Arial Narrow"/>
                <w:b w:val="1"/>
                <w:i w:val="1"/>
                <w:sz w:val="21"/>
              </w:rPr>
              <w:t>Transformation output</w:t>
            </w:r>
            <w:r>
              <w:rPr>
                <w:rFonts w:ascii="Arial Narrow" w:hAnsi="Arial Narrow"/>
                <w:b w:val="1"/>
                <w:i w:val="1"/>
                <w:sz w:val="21"/>
              </w:rPr>
              <w:t xml:space="preserve"> </w:t>
            </w:r>
            <w:r>
              <w:rPr>
                <w:rFonts w:ascii="Arial Narrow" w:hAnsi="Arial Narrow"/>
                <w:sz w:val="21"/>
              </w:rPr>
              <w:t xml:space="preserve"> comprises  transformed energy production (thermoelectricity, heat, petroleum products, blast furnace gas, oxygen steel furnace gas).</w:t>
            </w:r>
          </w:p>
          <w:p>
            <w:pPr>
              <w:spacing w:before="240" w:after="100" w:afterAutospacing="1"/>
              <w:jc w:val="both"/>
              <w:rPr>
                <w:rFonts w:ascii="Arial Narrow" w:hAnsi="Arial Narrow"/>
                <w:sz w:val="21"/>
              </w:rPr>
            </w:pPr>
            <w:r>
              <w:rPr>
                <w:rFonts w:ascii="Arial Narrow" w:hAnsi="Arial Narrow"/>
                <w:b w:val="1"/>
                <w:i w:val="1"/>
                <w:sz w:val="21"/>
              </w:rPr>
              <w:t>Exchanges and transfers, returns</w:t>
            </w:r>
            <w:r>
              <w:rPr>
                <w:rFonts w:ascii="Arial Narrow" w:hAnsi="Arial Narrow"/>
                <w:sz w:val="21"/>
              </w:rPr>
              <w:t xml:space="preserve"> include interproduct transferes (destilates), products transferred (hidroenergy) and recycled products (naphtha, fuel oil and lubricants).  </w:t>
            </w:r>
          </w:p>
          <w:p>
            <w:pPr>
              <w:pStyle w:val="P1"/>
              <w:spacing w:before="0" w:after="0"/>
              <w:jc w:val="both"/>
              <w:rPr>
                <w:rFonts w:ascii="Arial Narrow" w:hAnsi="Arial Narrow"/>
                <w:b w:val="1"/>
                <w:sz w:val="21"/>
              </w:rPr>
            </w:pPr>
            <w:r>
              <w:rPr>
                <w:rFonts w:ascii="Arial Narrow" w:hAnsi="Arial Narrow"/>
                <w:i w:val="1"/>
                <w:sz w:val="21"/>
              </w:rPr>
              <w:t>Consumption in the energy sector</w:t>
            </w:r>
            <w:r>
              <w:rPr>
                <w:rFonts w:ascii="Arial Narrow" w:hAnsi="Arial Narrow"/>
                <w:sz w:val="21"/>
              </w:rPr>
              <w:t xml:space="preserve">  </w:t>
            </w:r>
            <w:r>
              <w:rPr>
                <w:rFonts w:ascii="Arial Narrow" w:hAnsi="Arial Narrow"/>
                <w:b w:val="0"/>
                <w:sz w:val="21"/>
              </w:rPr>
              <w:t>comprises own use in energy sector.</w:t>
            </w:r>
          </w:p>
        </w:tc>
      </w:tr>
    </w:tbl>
    <w:p>
      <w:pPr>
        <w:rPr>
          <w:sz w:val="2"/>
        </w:rPr>
      </w:pPr>
    </w:p>
    <w:tbl>
      <w:tblPr>
        <w:tblStyle w:val="T2"/>
        <w:tblW w:w="0" w:type="auto"/>
        <w:jc w:val="center"/>
        <w:tblLayout w:type="autofit"/>
        <w:tblCellMar>
          <w:left w:w="28" w:type="dxa"/>
          <w:right w:w="28" w:type="dxa"/>
        </w:tblCellMar>
      </w:tblPr>
      <w:tblGrid/>
      <w:tr>
        <w:trPr>
          <w:wAfter w:w="0" w:type="dxa"/>
          <w:trHeight w:hRule="atLeast" w:val="60"/>
        </w:trPr>
        <w:tc>
          <w:tcPr>
            <w:tcW w:w="4593" w:type="dxa"/>
          </w:tcPr>
          <w:p>
            <w:pPr>
              <w:pStyle w:val="P24"/>
              <w:spacing w:before="120"/>
              <w:rPr>
                <w:rFonts w:ascii="Arial Narrow" w:hAnsi="Arial Narrow"/>
                <w:sz w:val="21"/>
              </w:rPr>
            </w:pPr>
            <w:r>
              <w:rPr>
                <w:rFonts w:ascii="Arial Narrow" w:hAnsi="Arial Narrow"/>
                <w:b w:val="1"/>
                <w:i w:val="1"/>
                <w:sz w:val="21"/>
              </w:rPr>
              <w:t xml:space="preserve">Губици </w:t>
            </w:r>
            <w:r>
              <w:rPr>
                <w:rFonts w:ascii="Arial Narrow" w:hAnsi="Arial Narrow"/>
                <w:sz w:val="21"/>
              </w:rPr>
              <w:t>обухватају губитке настале:</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за електричну енергију: при преносу и дистрибуцији;</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за топлотну енергију: при преносу и дистрибуцији;</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за чврста горива: при транспорту;</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за течна горива: при производњи и дистрибуцији;</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за природни гас: при дистрибуцији.</w:t>
            </w:r>
          </w:p>
          <w:p>
            <w:pPr>
              <w:pStyle w:val="P24"/>
              <w:spacing w:before="120"/>
              <w:rPr>
                <w:rFonts w:ascii="Arial Narrow" w:hAnsi="Arial Narrow"/>
                <w:sz w:val="21"/>
              </w:rPr>
            </w:pPr>
            <w:r>
              <w:rPr>
                <w:rFonts w:ascii="Arial Narrow" w:hAnsi="Arial Narrow"/>
                <w:b w:val="1"/>
                <w:i w:val="1"/>
                <w:sz w:val="21"/>
              </w:rPr>
              <w:t>Енергија расположива за финалну потрошњу</w:t>
            </w:r>
            <w:r>
              <w:rPr>
                <w:rFonts w:ascii="Arial Narrow" w:hAnsi="Arial Narrow"/>
                <w:sz w:val="21"/>
              </w:rPr>
              <w:t xml:space="preserve"> представља енергију намењену крајњим потрошачима. Израчунава се на следећи начин: </w:t>
            </w:r>
          </w:p>
          <w:p>
            <w:pPr>
              <w:pStyle w:val="P12"/>
              <w:tabs>
                <w:tab w:val="clear" w:pos="9923" w:leader="none"/>
              </w:tabs>
              <w:spacing w:before="120"/>
              <w:ind w:hanging="57" w:left="798"/>
              <w:jc w:val="left"/>
              <w:rPr>
                <w:rFonts w:ascii="Arial Narrow" w:hAnsi="Arial Narrow"/>
                <w:sz w:val="21"/>
              </w:rPr>
            </w:pPr>
            <w:r>
              <w:rPr>
                <w:rFonts w:ascii="Arial Narrow" w:hAnsi="Arial Narrow"/>
                <w:sz w:val="21"/>
              </w:rPr>
              <w:t>Укупно расположива енергија</w:t>
            </w:r>
          </w:p>
          <w:p>
            <w:pPr>
              <w:pStyle w:val="P12"/>
              <w:tabs>
                <w:tab w:val="clear" w:pos="9923" w:leader="none"/>
              </w:tabs>
              <w:ind w:left="567"/>
              <w:jc w:val="left"/>
              <w:rPr>
                <w:rFonts w:ascii="Arial Narrow" w:hAnsi="Arial Narrow"/>
                <w:sz w:val="21"/>
              </w:rPr>
            </w:pPr>
            <w:r>
              <w:rPr>
                <w:rFonts w:ascii="Arial" w:hAnsi="Arial"/>
                <w:sz w:val="21"/>
              </w:rPr>
              <w:t>–</w:t>
            </w:r>
            <w:r>
              <w:rPr>
                <w:rFonts w:ascii="Arial Narrow" w:hAnsi="Arial Narrow"/>
                <w:b w:val="1"/>
                <w:sz w:val="21"/>
              </w:rPr>
              <w:t xml:space="preserve"> </w:t>
            </w:r>
            <w:r>
              <w:rPr>
                <w:rFonts w:ascii="Arial Narrow" w:hAnsi="Arial Narrow"/>
                <w:sz w:val="21"/>
              </w:rPr>
              <w:t>Утрошак за производњу енергије</w:t>
            </w:r>
          </w:p>
          <w:p>
            <w:pPr>
              <w:pStyle w:val="P12"/>
              <w:tabs>
                <w:tab w:val="clear" w:pos="9923" w:leader="none"/>
              </w:tabs>
              <w:ind w:left="567"/>
              <w:jc w:val="left"/>
              <w:rPr>
                <w:rFonts w:ascii="Arial Narrow" w:hAnsi="Arial Narrow"/>
                <w:sz w:val="21"/>
              </w:rPr>
            </w:pPr>
            <w:r>
              <w:rPr>
                <w:rFonts w:ascii="Arial Narrow" w:hAnsi="Arial Narrow"/>
                <w:sz w:val="21"/>
              </w:rPr>
              <w:t xml:space="preserve">+  Производња енергије трансформацијом</w:t>
            </w:r>
          </w:p>
          <w:p>
            <w:pPr>
              <w:pStyle w:val="P12"/>
              <w:tabs>
                <w:tab w:val="clear" w:pos="9923" w:leader="none"/>
              </w:tabs>
              <w:ind w:left="567"/>
              <w:jc w:val="left"/>
              <w:rPr>
                <w:rFonts w:ascii="Arial Narrow" w:hAnsi="Arial Narrow"/>
                <w:sz w:val="21"/>
              </w:rPr>
            </w:pPr>
            <w:r>
              <w:rPr>
                <w:rFonts w:ascii="Arial Narrow" w:hAnsi="Arial Narrow"/>
                <w:sz w:val="21"/>
              </w:rPr>
              <w:t xml:space="preserve">+  Размена</w:t>
            </w:r>
          </w:p>
          <w:p>
            <w:pPr>
              <w:pStyle w:val="P12"/>
              <w:tabs>
                <w:tab w:val="clear" w:pos="9923" w:leader="none"/>
              </w:tabs>
              <w:ind w:left="567"/>
              <w:jc w:val="left"/>
              <w:rPr>
                <w:rFonts w:ascii="Arial Narrow" w:hAnsi="Arial Narrow"/>
                <w:sz w:val="21"/>
              </w:rPr>
            </w:pPr>
            <w:r>
              <w:rPr>
                <w:rFonts w:ascii="Arial" w:hAnsi="Arial"/>
                <w:sz w:val="21"/>
              </w:rPr>
              <w:t xml:space="preserve">– </w:t>
            </w:r>
            <w:r>
              <w:rPr>
                <w:rFonts w:ascii="Arial Narrow" w:hAnsi="Arial Narrow"/>
                <w:sz w:val="21"/>
              </w:rPr>
              <w:t xml:space="preserve">Сопствена потрошња у енергетском сектору  </w:t>
            </w:r>
          </w:p>
          <w:p>
            <w:pPr>
              <w:pStyle w:val="P12"/>
              <w:tabs>
                <w:tab w:val="clear" w:pos="9923" w:leader="none"/>
              </w:tabs>
              <w:ind w:left="567"/>
              <w:jc w:val="left"/>
              <w:rPr>
                <w:rFonts w:ascii="Arial Narrow" w:hAnsi="Arial Narrow"/>
                <w:sz w:val="21"/>
              </w:rPr>
            </w:pPr>
            <w:r>
              <w:rPr>
                <w:rFonts w:ascii="Arial" w:hAnsi="Arial"/>
                <w:sz w:val="21"/>
              </w:rPr>
              <w:t xml:space="preserve">– </w:t>
            </w:r>
            <w:r>
              <w:rPr>
                <w:rFonts w:ascii="Arial Narrow" w:hAnsi="Arial Narrow"/>
                <w:sz w:val="21"/>
              </w:rPr>
              <w:t>Губици.</w:t>
            </w:r>
          </w:p>
          <w:p>
            <w:pPr>
              <w:pStyle w:val="P24"/>
              <w:spacing w:before="120"/>
              <w:rPr>
                <w:rFonts w:ascii="Arial Narrow" w:hAnsi="Arial Narrow"/>
                <w:sz w:val="21"/>
              </w:rPr>
            </w:pPr>
            <w:r>
              <w:rPr>
                <w:rFonts w:ascii="Arial Narrow" w:hAnsi="Arial Narrow"/>
                <w:b w:val="1"/>
                <w:i w:val="1"/>
                <w:sz w:val="21"/>
              </w:rPr>
              <w:t xml:space="preserve">Финална потрошња  </w:t>
            </w:r>
            <w:r>
              <w:rPr>
                <w:rFonts w:ascii="Arial Narrow" w:hAnsi="Arial Narrow"/>
                <w:sz w:val="21"/>
              </w:rPr>
              <w:t>обухвата потрошњу енергије расположиве за финалну потрошњу у неенергетске сврхе и у енергетске сврхе.</w:t>
            </w:r>
          </w:p>
          <w:p>
            <w:pPr>
              <w:pStyle w:val="P24"/>
              <w:spacing w:before="120"/>
              <w:rPr>
                <w:rFonts w:ascii="Arial Narrow" w:hAnsi="Arial Narrow"/>
                <w:sz w:val="21"/>
              </w:rPr>
            </w:pPr>
            <w:r>
              <w:rPr>
                <w:rFonts w:ascii="Arial Narrow" w:hAnsi="Arial Narrow"/>
                <w:b w:val="1"/>
                <w:i w:val="1"/>
                <w:sz w:val="21"/>
              </w:rPr>
              <w:t xml:space="preserve">Финална потрошња за неенергетске сврхе </w:t>
            </w:r>
            <w:r>
              <w:rPr>
                <w:rFonts w:ascii="Arial Narrow" w:hAnsi="Arial Narrow"/>
                <w:sz w:val="21"/>
              </w:rPr>
              <w:t>обухвата финалну потрошњу расположиве енергије као сировине у технолошком процесу, при чему се од укупног утрошка посебно приказује утрошак у хемијској индустрији.</w:t>
            </w:r>
          </w:p>
          <w:p>
            <w:pPr>
              <w:pStyle w:val="P24"/>
              <w:spacing w:before="120"/>
              <w:rPr>
                <w:rFonts w:ascii="Arial Narrow" w:hAnsi="Arial Narrow"/>
                <w:sz w:val="21"/>
              </w:rPr>
            </w:pPr>
            <w:r>
              <w:rPr>
                <w:rFonts w:ascii="Arial Narrow" w:hAnsi="Arial Narrow"/>
                <w:b w:val="1"/>
                <w:i w:val="1"/>
                <w:sz w:val="21"/>
              </w:rPr>
              <w:t xml:space="preserve">Финална потрошња  за енергетске сврхе </w:t>
            </w:r>
            <w:r>
              <w:rPr>
                <w:rFonts w:ascii="Arial Narrow" w:hAnsi="Arial Narrow"/>
                <w:sz w:val="21"/>
              </w:rPr>
              <w:t>oбухвата финалну потрошњу расположиве енергије за енергетске сврхе у:</w:t>
            </w:r>
          </w:p>
          <w:p>
            <w:pPr>
              <w:pStyle w:val="P24"/>
              <w:spacing w:before="20"/>
              <w:ind w:left="567"/>
              <w:rPr>
                <w:rFonts w:ascii="Arial Narrow" w:hAnsi="Arial Narrow"/>
                <w:sz w:val="21"/>
              </w:rPr>
            </w:pPr>
            <w:r>
              <w:rPr>
                <w:rFonts w:ascii="Arial Narrow" w:hAnsi="Arial Narrow"/>
                <w:b w:val="1"/>
                <w:i w:val="1"/>
                <w:sz w:val="21"/>
              </w:rPr>
              <w:t>индустрији</w:t>
            </w:r>
            <w:r>
              <w:rPr>
                <w:rFonts w:ascii="Arial Narrow" w:hAnsi="Arial Narrow"/>
                <w:sz w:val="21"/>
              </w:rPr>
              <w:t xml:space="preserve"> (области од 13 до 37, осим области 23 Класификације делатности), </w:t>
            </w:r>
          </w:p>
          <w:p>
            <w:pPr>
              <w:pStyle w:val="P24"/>
              <w:spacing w:before="20"/>
              <w:ind w:left="567"/>
              <w:rPr>
                <w:rFonts w:ascii="Arial Narrow" w:hAnsi="Arial Narrow"/>
                <w:sz w:val="21"/>
              </w:rPr>
            </w:pPr>
            <w:r>
              <w:rPr>
                <w:rFonts w:ascii="Arial Narrow" w:hAnsi="Arial Narrow"/>
                <w:b w:val="1"/>
                <w:i w:val="1"/>
                <w:sz w:val="21"/>
              </w:rPr>
              <w:t>грађевинарству</w:t>
            </w:r>
            <w:r>
              <w:rPr>
                <w:rFonts w:ascii="Arial Narrow" w:hAnsi="Arial Narrow"/>
                <w:sz w:val="21"/>
              </w:rPr>
              <w:t xml:space="preserve"> (област 45 Класификације де- латности), </w:t>
            </w:r>
          </w:p>
          <w:p>
            <w:pPr>
              <w:pStyle w:val="P24"/>
              <w:spacing w:before="20"/>
              <w:ind w:left="567"/>
              <w:rPr>
                <w:rFonts w:ascii="Arial Narrow" w:hAnsi="Arial Narrow"/>
                <w:sz w:val="21"/>
              </w:rPr>
            </w:pPr>
            <w:r>
              <w:rPr>
                <w:rFonts w:ascii="Arial Narrow" w:hAnsi="Arial Narrow"/>
                <w:b w:val="1"/>
                <w:i w:val="1"/>
                <w:sz w:val="21"/>
              </w:rPr>
              <w:t>саобраћају</w:t>
            </w:r>
            <w:r>
              <w:rPr>
                <w:rFonts w:ascii="Arial Narrow" w:hAnsi="Arial Narrow"/>
                <w:sz w:val="21"/>
              </w:rPr>
              <w:t xml:space="preserve"> (области од 60 до 64 Класификације делатности), </w:t>
            </w:r>
          </w:p>
          <w:p>
            <w:pPr>
              <w:pStyle w:val="P24"/>
              <w:spacing w:before="20"/>
              <w:ind w:left="567"/>
              <w:rPr>
                <w:rFonts w:ascii="Arial Narrow" w:hAnsi="Arial Narrow"/>
                <w:sz w:val="21"/>
              </w:rPr>
            </w:pPr>
            <w:r>
              <w:rPr>
                <w:rFonts w:ascii="Arial Narrow" w:hAnsi="Arial Narrow"/>
                <w:b w:val="1"/>
                <w:i w:val="1"/>
                <w:sz w:val="21"/>
              </w:rPr>
              <w:t>домаћинствима</w:t>
            </w:r>
            <w:r>
              <w:rPr>
                <w:rFonts w:ascii="Arial Narrow" w:hAnsi="Arial Narrow"/>
                <w:b w:val="1"/>
                <w:sz w:val="21"/>
              </w:rPr>
              <w:t xml:space="preserve"> </w:t>
            </w:r>
            <w:r>
              <w:rPr>
                <w:rFonts w:ascii="Arial Narrow" w:hAnsi="Arial Narrow"/>
                <w:sz w:val="21"/>
              </w:rPr>
              <w:t xml:space="preserve">(сва домаћинства укључујући и ’’домаћинства са запосленим лицима’’, област 95 Класификације делатности), </w:t>
            </w:r>
          </w:p>
          <w:p>
            <w:pPr>
              <w:pStyle w:val="P24"/>
              <w:spacing w:before="20"/>
              <w:ind w:left="567"/>
              <w:rPr>
                <w:rFonts w:ascii="Arial Narrow" w:hAnsi="Arial Narrow"/>
                <w:sz w:val="21"/>
              </w:rPr>
            </w:pPr>
            <w:r>
              <w:rPr>
                <w:rFonts w:ascii="Arial Narrow" w:hAnsi="Arial Narrow"/>
                <w:b w:val="1"/>
                <w:i w:val="1"/>
                <w:sz w:val="21"/>
              </w:rPr>
              <w:t xml:space="preserve">пољопривреди </w:t>
            </w:r>
            <w:r>
              <w:rPr>
                <w:rFonts w:ascii="Arial Narrow" w:hAnsi="Arial Narrow"/>
                <w:sz w:val="21"/>
              </w:rPr>
              <w:t xml:space="preserve">(области 01, 02 и 05 Класифи- кације делатности) и код </w:t>
            </w:r>
          </w:p>
          <w:p>
            <w:pPr>
              <w:pStyle w:val="P24"/>
              <w:spacing w:before="20"/>
              <w:ind w:left="567"/>
              <w:rPr>
                <w:rFonts w:ascii="Arial Narrow" w:hAnsi="Arial Narrow"/>
                <w:sz w:val="21"/>
              </w:rPr>
            </w:pPr>
            <w:r>
              <w:rPr>
                <w:rFonts w:ascii="Arial Narrow" w:hAnsi="Arial Narrow"/>
                <w:b w:val="1"/>
                <w:i w:val="1"/>
                <w:sz w:val="21"/>
              </w:rPr>
              <w:t>осталих потрошача</w:t>
            </w:r>
            <w:r>
              <w:rPr>
                <w:rFonts w:ascii="Arial Narrow" w:hAnsi="Arial Narrow"/>
                <w:b w:val="1"/>
                <w:i w:val="1"/>
                <w:sz w:val="21"/>
              </w:rPr>
              <w:t xml:space="preserve"> </w:t>
            </w:r>
            <w:r>
              <w:rPr>
                <w:rFonts w:ascii="Arial Narrow" w:hAnsi="Arial Narrow"/>
                <w:sz w:val="21"/>
              </w:rPr>
              <w:t>(сви остали потрошачи, нпр. школство, здравство, администрација итд.).</w:t>
            </w:r>
          </w:p>
          <w:p>
            <w:pPr>
              <w:pStyle w:val="P24"/>
              <w:spacing w:before="360" w:after="240"/>
              <w:rPr>
                <w:rFonts w:ascii="Arial Narrow" w:hAnsi="Arial Narrow"/>
                <w:b w:val="1"/>
                <w:sz w:val="24"/>
              </w:rPr>
            </w:pPr>
            <w:r>
              <w:rPr>
                <w:rFonts w:ascii="Arial Narrow" w:hAnsi="Arial Narrow"/>
                <w:b w:val="1"/>
                <w:sz w:val="24"/>
              </w:rPr>
              <w:t>Објашњења за енергенте и облике енергије</w:t>
            </w:r>
          </w:p>
          <w:p>
            <w:pPr>
              <w:pStyle w:val="P24"/>
              <w:spacing w:lineRule="auto" w:line="228" w:before="120" w:after="120"/>
              <w:rPr>
                <w:rFonts w:ascii="Arial Narrow" w:hAnsi="Arial Narrow"/>
                <w:i w:val="1"/>
                <w:sz w:val="21"/>
              </w:rPr>
            </w:pPr>
            <w:r>
              <w:rPr>
                <w:rFonts w:ascii="Arial Narrow" w:hAnsi="Arial Narrow"/>
                <w:b w:val="1"/>
                <w:i w:val="1"/>
                <w:sz w:val="21"/>
              </w:rPr>
              <w:t>Електрична енергија</w:t>
            </w:r>
            <w:r>
              <w:rPr>
                <w:rFonts w:ascii="Arial Narrow" w:hAnsi="Arial Narrow"/>
                <w:sz w:val="21"/>
              </w:rPr>
              <w:t xml:space="preserve"> - </w:t>
            </w:r>
            <w:r>
              <w:rPr>
                <w:rFonts w:ascii="Arial Narrow" w:hAnsi="Arial Narrow"/>
                <w:i w:val="1"/>
                <w:sz w:val="21"/>
              </w:rPr>
              <w:t>Произведена у: хидроелек-транама, термоелектранама, ТЕ-ТО и индустријским енерганама.</w:t>
            </w:r>
          </w:p>
          <w:p>
            <w:pPr>
              <w:pStyle w:val="P24"/>
              <w:spacing w:lineRule="auto" w:line="228" w:before="120" w:after="120"/>
              <w:rPr>
                <w:rFonts w:ascii="Arial Narrow" w:hAnsi="Arial Narrow"/>
                <w:i w:val="1"/>
                <w:sz w:val="21"/>
              </w:rPr>
            </w:pPr>
            <w:r>
              <w:rPr>
                <w:rFonts w:ascii="Arial Narrow" w:hAnsi="Arial Narrow"/>
                <w:b w:val="1"/>
                <w:i w:val="1"/>
                <w:sz w:val="21"/>
              </w:rPr>
              <w:t>Топлотна енергија</w:t>
            </w:r>
            <w:r>
              <w:rPr>
                <w:rFonts w:ascii="Arial Narrow" w:hAnsi="Arial Narrow"/>
                <w:sz w:val="21"/>
              </w:rPr>
              <w:t xml:space="preserve"> - </w:t>
            </w:r>
            <w:r>
              <w:rPr>
                <w:rFonts w:ascii="Arial Narrow" w:hAnsi="Arial Narrow"/>
                <w:i w:val="1"/>
                <w:sz w:val="21"/>
              </w:rPr>
              <w:t>Произведена у топланама, ТЕ-ТО, индустријским енерганама и термоелектранама. Носиоци топлоте: топла вода</w:t>
            </w:r>
            <w:r>
              <w:rPr>
                <w:rFonts w:ascii="Arial Narrow" w:hAnsi="Arial Narrow"/>
                <w:i w:val="1"/>
                <w:sz w:val="21"/>
                <w:vertAlign w:val="superscript"/>
              </w:rPr>
              <w:t>1</w:t>
            </w:r>
            <w:r>
              <w:rPr>
                <w:rFonts w:ascii="Arial Narrow" w:hAnsi="Arial Narrow"/>
                <w:i w:val="1"/>
                <w:sz w:val="21"/>
                <w:vertAlign w:val="superscript"/>
              </w:rPr>
              <w:t>)</w:t>
            </w:r>
            <w:r>
              <w:rPr>
                <w:rFonts w:ascii="Arial Narrow" w:hAnsi="Arial Narrow"/>
                <w:i w:val="1"/>
                <w:sz w:val="21"/>
              </w:rPr>
              <w:t xml:space="preserve"> до 110</w:t>
            </w:r>
            <w:r>
              <w:rPr>
                <w:rFonts w:ascii="Arial Narrow" w:hAnsi="Arial Narrow"/>
                <w:i w:val="1"/>
                <w:sz w:val="21"/>
                <w:vertAlign w:val="superscript"/>
              </w:rPr>
              <w:t>0</w:t>
            </w:r>
            <w:r>
              <w:rPr>
                <w:rFonts w:ascii="Arial Narrow" w:hAnsi="Arial Narrow"/>
                <w:i w:val="1"/>
                <w:sz w:val="21"/>
              </w:rPr>
              <w:t>С, врела вода</w:t>
            </w:r>
            <w:r>
              <w:rPr>
                <w:rFonts w:ascii="Arial Narrow" w:hAnsi="Arial Narrow"/>
                <w:i w:val="1"/>
                <w:sz w:val="21"/>
                <w:vertAlign w:val="superscript"/>
              </w:rPr>
              <w:t>2</w:t>
            </w:r>
            <w:r>
              <w:rPr>
                <w:rFonts w:ascii="Arial Narrow" w:hAnsi="Arial Narrow"/>
                <w:i w:val="1"/>
                <w:sz w:val="21"/>
                <w:vertAlign w:val="superscript"/>
              </w:rPr>
              <w:t>)</w:t>
            </w:r>
            <w:r>
              <w:rPr>
                <w:rFonts w:ascii="Arial Narrow" w:hAnsi="Arial Narrow"/>
                <w:i w:val="1"/>
                <w:sz w:val="21"/>
              </w:rPr>
              <w:t xml:space="preserve"> преко 110</w:t>
            </w:r>
            <w:r>
              <w:rPr>
                <w:rFonts w:ascii="Arial Narrow" w:hAnsi="Arial Narrow"/>
                <w:i w:val="1"/>
                <w:sz w:val="21"/>
                <w:vertAlign w:val="superscript"/>
              </w:rPr>
              <w:t>0</w:t>
            </w:r>
            <w:r>
              <w:rPr>
                <w:rFonts w:ascii="Arial Narrow" w:hAnsi="Arial Narrow"/>
                <w:i w:val="1"/>
                <w:sz w:val="21"/>
              </w:rPr>
              <w:t>С и пара.</w:t>
            </w:r>
          </w:p>
          <w:p>
            <w:pPr>
              <w:pStyle w:val="P24"/>
              <w:rPr>
                <w:rFonts w:ascii="Arial Narrow" w:hAnsi="Arial Narrow"/>
                <w:sz w:val="14"/>
                <w:vertAlign w:val="superscript"/>
              </w:rPr>
            </w:pPr>
          </w:p>
          <w:p>
            <w:pPr>
              <w:pStyle w:val="P24"/>
              <w:rPr>
                <w:rFonts w:ascii="Arial Narrow" w:hAnsi="Arial Narrow"/>
                <w:sz w:val="14"/>
                <w:vertAlign w:val="superscript"/>
              </w:rPr>
            </w:pPr>
            <w:r>
              <w:rPr>
                <w:rFonts w:ascii="Arial Narrow" w:hAnsi="Arial Narrow"/>
                <w:sz w:val="14"/>
                <w:vertAlign w:val="superscript"/>
              </w:rPr>
              <w:t>1)</w:t>
            </w:r>
            <w:r>
              <w:rPr>
                <w:rFonts w:ascii="Arial Narrow" w:hAnsi="Arial Narrow"/>
                <w:sz w:val="14"/>
              </w:rPr>
              <w:t xml:space="preserve"> Рекнагел: Грејање и климатизација, Грађевинска књига, 1987. година.</w:t>
            </w:r>
            <w:r>
              <w:rPr>
                <w:rFonts w:ascii="Arial Narrow" w:hAnsi="Arial Narrow"/>
                <w:sz w:val="14"/>
                <w:vertAlign w:val="superscript"/>
              </w:rPr>
              <w:t xml:space="preserve"> </w:t>
            </w:r>
          </w:p>
          <w:p>
            <w:pPr>
              <w:pStyle w:val="P24"/>
              <w:rPr>
                <w:rFonts w:ascii="Arial Narrow" w:hAnsi="Arial Narrow"/>
                <w:sz w:val="21"/>
              </w:rPr>
            </w:pPr>
            <w:r>
              <w:rPr>
                <w:rFonts w:ascii="Arial Narrow" w:hAnsi="Arial Narrow"/>
                <w:sz w:val="14"/>
                <w:vertAlign w:val="superscript"/>
              </w:rPr>
              <w:t>2)</w:t>
            </w:r>
            <w:r>
              <w:rPr>
                <w:rFonts w:ascii="Arial Narrow" w:hAnsi="Arial Narrow"/>
                <w:sz w:val="14"/>
              </w:rPr>
              <w:t xml:space="preserve"> Energy Statistics Manual, International Energy Agency.</w:t>
            </w:r>
          </w:p>
          <w:p>
            <w:pPr>
              <w:ind w:firstLine="227"/>
              <w:jc w:val="both"/>
              <w:rPr>
                <w:rFonts w:ascii="Arial Narrow" w:hAnsi="Arial Narrow"/>
                <w:sz w:val="21"/>
              </w:rPr>
            </w:pPr>
          </w:p>
        </w:tc>
        <w:tc>
          <w:tcPr>
            <w:tcW w:w="454" w:type="dxa"/>
          </w:tcPr>
          <w:p>
            <w:pPr>
              <w:pStyle w:val="P1"/>
              <w:spacing w:before="0" w:after="0"/>
              <w:jc w:val="both"/>
              <w:rPr>
                <w:rFonts w:ascii="Arial Narrow" w:hAnsi="Arial Narrow"/>
                <w:b w:val="1"/>
                <w:sz w:val="21"/>
              </w:rPr>
            </w:pPr>
          </w:p>
        </w:tc>
        <w:tc>
          <w:tcPr>
            <w:tcW w:w="4593" w:type="dxa"/>
          </w:tcPr>
          <w:p>
            <w:pPr>
              <w:spacing w:before="120"/>
              <w:rPr>
                <w:rFonts w:ascii="Arial Narrow" w:hAnsi="Arial Narrow"/>
                <w:sz w:val="21"/>
              </w:rPr>
            </w:pPr>
            <w:r>
              <w:rPr>
                <w:rFonts w:ascii="Arial Narrow" w:hAnsi="Arial Narrow"/>
                <w:b w:val="1"/>
                <w:i w:val="1"/>
                <w:sz w:val="21"/>
              </w:rPr>
              <w:t xml:space="preserve">Losses </w:t>
            </w:r>
            <w:r>
              <w:rPr>
                <w:rFonts w:ascii="Arial Narrow" w:hAnsi="Arial Narrow"/>
                <w:sz w:val="21"/>
              </w:rPr>
              <w:t>include losses occurred:</w:t>
            </w:r>
          </w:p>
          <w:p>
            <w:pPr>
              <w:pStyle w:val="P12"/>
              <w:numPr>
                <w:ilvl w:val="0"/>
                <w:numId w:val="28"/>
              </w:numPr>
              <w:tabs>
                <w:tab w:val="clear" w:pos="9923" w:leader="none"/>
              </w:tabs>
              <w:spacing w:before="120"/>
              <w:ind w:hanging="284" w:left="851"/>
              <w:jc w:val="left"/>
              <w:rPr>
                <w:rFonts w:ascii="Arial Narrow" w:hAnsi="Arial Narrow"/>
                <w:sz w:val="21"/>
              </w:rPr>
            </w:pPr>
            <w:r>
              <w:rPr>
                <w:rFonts w:ascii="Arial Narrow" w:hAnsi="Arial Narrow"/>
                <w:sz w:val="21"/>
              </w:rPr>
              <w:t>for electricity: at transfer and distribution;</w:t>
            </w:r>
          </w:p>
          <w:p>
            <w:pPr>
              <w:pStyle w:val="P12"/>
              <w:numPr>
                <w:ilvl w:val="0"/>
                <w:numId w:val="28"/>
              </w:numPr>
              <w:tabs>
                <w:tab w:val="clear" w:pos="9923" w:leader="none"/>
              </w:tabs>
              <w:spacing w:lineRule="auto" w:line="264" w:before="120"/>
              <w:ind w:hanging="284" w:left="851"/>
              <w:jc w:val="left"/>
              <w:rPr>
                <w:rFonts w:ascii="Arial Narrow" w:hAnsi="Arial Narrow"/>
                <w:sz w:val="21"/>
              </w:rPr>
            </w:pPr>
            <w:r>
              <w:rPr>
                <w:rFonts w:ascii="Arial Narrow" w:hAnsi="Arial Narrow"/>
                <w:sz w:val="21"/>
              </w:rPr>
              <w:t>for heat energy: at transfer and distribution;</w:t>
            </w:r>
          </w:p>
          <w:p>
            <w:pPr>
              <w:pStyle w:val="P12"/>
              <w:numPr>
                <w:ilvl w:val="0"/>
                <w:numId w:val="28"/>
              </w:numPr>
              <w:tabs>
                <w:tab w:val="clear" w:pos="9923" w:leader="none"/>
              </w:tabs>
              <w:spacing w:lineRule="auto" w:line="264" w:before="120"/>
              <w:ind w:hanging="284" w:left="851"/>
              <w:jc w:val="left"/>
              <w:rPr>
                <w:rFonts w:ascii="Arial Narrow" w:hAnsi="Arial Narrow"/>
                <w:sz w:val="21"/>
              </w:rPr>
            </w:pPr>
            <w:r>
              <w:rPr>
                <w:rFonts w:ascii="Arial Narrow" w:hAnsi="Arial Narrow"/>
                <w:sz w:val="21"/>
              </w:rPr>
              <w:t>for solid fossil fuels: at transport;</w:t>
            </w:r>
          </w:p>
          <w:p>
            <w:pPr>
              <w:pStyle w:val="P12"/>
              <w:numPr>
                <w:ilvl w:val="0"/>
                <w:numId w:val="28"/>
              </w:numPr>
              <w:tabs>
                <w:tab w:val="clear" w:pos="9923" w:leader="none"/>
              </w:tabs>
              <w:spacing w:lineRule="auto" w:line="264" w:before="120"/>
              <w:ind w:hanging="284" w:left="851"/>
              <w:jc w:val="left"/>
              <w:rPr>
                <w:rFonts w:ascii="Arial Narrow" w:hAnsi="Arial Narrow"/>
                <w:sz w:val="21"/>
              </w:rPr>
            </w:pPr>
            <w:r>
              <w:rPr>
                <w:rFonts w:ascii="Arial Narrow" w:hAnsi="Arial Narrow"/>
                <w:sz w:val="21"/>
              </w:rPr>
              <w:t>for liquid fuels: at production and distribution;</w:t>
            </w:r>
          </w:p>
          <w:p>
            <w:pPr>
              <w:pStyle w:val="P12"/>
              <w:numPr>
                <w:ilvl w:val="0"/>
                <w:numId w:val="28"/>
              </w:numPr>
              <w:tabs>
                <w:tab w:val="clear" w:pos="9923" w:leader="none"/>
              </w:tabs>
              <w:spacing w:lineRule="auto" w:line="264" w:before="120"/>
              <w:ind w:hanging="284" w:left="851"/>
              <w:jc w:val="left"/>
              <w:rPr>
                <w:rFonts w:ascii="Arial Narrow" w:hAnsi="Arial Narrow"/>
                <w:sz w:val="21"/>
              </w:rPr>
            </w:pPr>
            <w:r>
              <w:rPr>
                <w:rFonts w:ascii="Arial Narrow" w:hAnsi="Arial Narrow"/>
                <w:sz w:val="21"/>
              </w:rPr>
              <w:t>for natural gas: at distribution.</w:t>
            </w:r>
          </w:p>
          <w:p>
            <w:pPr>
              <w:spacing w:before="120"/>
              <w:rPr>
                <w:rFonts w:ascii="Arial Narrow" w:hAnsi="Arial Narrow"/>
                <w:sz w:val="21"/>
              </w:rPr>
            </w:pPr>
            <w:r>
              <w:rPr>
                <w:rFonts w:ascii="Arial Narrow" w:hAnsi="Arial Narrow"/>
                <w:b w:val="1"/>
                <w:i w:val="1"/>
                <w:sz w:val="21"/>
              </w:rPr>
              <w:t xml:space="preserve">Energy available for final consumption </w:t>
            </w:r>
            <w:r>
              <w:rPr>
                <w:rFonts w:ascii="Arial Narrow" w:hAnsi="Arial Narrow"/>
                <w:sz w:val="21"/>
              </w:rPr>
              <w:t xml:space="preserve">presents energy intended for end users. It is been calculated in the following way:              </w:t>
            </w:r>
          </w:p>
          <w:p>
            <w:pPr>
              <w:spacing w:lineRule="auto" w:line="264"/>
              <w:ind w:firstLine="567"/>
              <w:rPr>
                <w:rFonts w:ascii="Arial Narrow" w:hAnsi="Arial Narrow"/>
                <w:sz w:val="21"/>
              </w:rPr>
            </w:pPr>
            <w:r>
              <w:rPr>
                <w:rFonts w:ascii="Arial Narrow" w:hAnsi="Arial Narrow"/>
                <w:sz w:val="21"/>
              </w:rPr>
              <w:t xml:space="preserve">   Gross inland consumption</w:t>
            </w:r>
          </w:p>
          <w:p>
            <w:pPr>
              <w:spacing w:lineRule="auto" w:line="264"/>
              <w:ind w:firstLine="567"/>
              <w:rPr>
                <w:rFonts w:ascii="Arial Narrow" w:hAnsi="Arial Narrow"/>
                <w:sz w:val="21"/>
              </w:rPr>
            </w:pPr>
            <w:r>
              <w:rPr>
                <w:sz w:val="21"/>
              </w:rPr>
              <w:t>–</w:t>
            </w:r>
            <w:r>
              <w:rPr>
                <w:rFonts w:ascii="Arial Narrow" w:hAnsi="Arial Narrow"/>
                <w:sz w:val="21"/>
              </w:rPr>
              <w:t xml:space="preserve"> Transformation input</w:t>
            </w:r>
          </w:p>
          <w:p>
            <w:pPr>
              <w:spacing w:lineRule="auto" w:line="264"/>
              <w:ind w:firstLine="567"/>
              <w:rPr>
                <w:rFonts w:ascii="Arial Narrow" w:hAnsi="Arial Narrow"/>
                <w:sz w:val="21"/>
              </w:rPr>
            </w:pPr>
            <w:r>
              <w:rPr>
                <w:rFonts w:ascii="Arial Narrow" w:hAnsi="Arial Narrow"/>
                <w:sz w:val="21"/>
              </w:rPr>
              <w:t xml:space="preserve">+  Transformation output</w:t>
            </w:r>
          </w:p>
          <w:p>
            <w:pPr>
              <w:spacing w:lineRule="auto" w:line="264"/>
              <w:ind w:firstLine="567"/>
              <w:rPr>
                <w:rFonts w:ascii="Arial Narrow" w:hAnsi="Arial Narrow"/>
                <w:sz w:val="21"/>
              </w:rPr>
            </w:pPr>
            <w:r>
              <w:rPr>
                <w:rFonts w:ascii="Arial Narrow" w:hAnsi="Arial Narrow"/>
                <w:sz w:val="21"/>
              </w:rPr>
              <w:t xml:space="preserve">+  Exchanges and transfers, returns</w:t>
            </w:r>
          </w:p>
          <w:p>
            <w:pPr>
              <w:spacing w:lineRule="auto" w:line="264"/>
              <w:ind w:firstLine="567"/>
              <w:rPr>
                <w:rFonts w:ascii="Arial Narrow" w:hAnsi="Arial Narrow"/>
                <w:sz w:val="21"/>
              </w:rPr>
            </w:pPr>
            <w:r>
              <w:rPr>
                <w:sz w:val="21"/>
              </w:rPr>
              <w:t>–</w:t>
            </w:r>
            <w:r>
              <w:rPr>
                <w:rFonts w:ascii="Arial Narrow" w:hAnsi="Arial Narrow"/>
                <w:sz w:val="21"/>
              </w:rPr>
              <w:t xml:space="preserve"> Consumption in the energy sector</w:t>
            </w:r>
          </w:p>
          <w:p>
            <w:pPr>
              <w:spacing w:lineRule="auto" w:line="264"/>
              <w:ind w:firstLine="567"/>
              <w:rPr>
                <w:rFonts w:ascii="Arial Narrow" w:hAnsi="Arial Narrow"/>
                <w:sz w:val="21"/>
              </w:rPr>
            </w:pPr>
            <w:r>
              <w:rPr>
                <w:sz w:val="21"/>
              </w:rPr>
              <w:t>–</w:t>
            </w:r>
            <w:r>
              <w:rPr>
                <w:rFonts w:ascii="Arial Narrow" w:hAnsi="Arial Narrow"/>
                <w:sz w:val="21"/>
              </w:rPr>
              <w:t xml:space="preserve"> Losses.</w:t>
            </w:r>
          </w:p>
          <w:p>
            <w:pPr>
              <w:spacing w:lineRule="auto" w:line="264" w:before="120"/>
              <w:jc w:val="both"/>
              <w:rPr>
                <w:rFonts w:ascii="Arial Narrow" w:hAnsi="Arial Narrow"/>
                <w:sz w:val="21"/>
              </w:rPr>
            </w:pPr>
            <w:r>
              <w:rPr>
                <w:rFonts w:ascii="Arial Narrow" w:hAnsi="Arial Narrow"/>
                <w:b w:val="1"/>
                <w:i w:val="1"/>
                <w:sz w:val="21"/>
              </w:rPr>
              <w:t xml:space="preserve">Final consumption </w:t>
            </w:r>
            <w:r>
              <w:rPr>
                <w:rFonts w:ascii="Arial Narrow" w:hAnsi="Arial Narrow"/>
                <w:sz w:val="21"/>
              </w:rPr>
              <w:t>includes final consumption of available energy for final non-energy consumption and final energy consumption.</w:t>
            </w:r>
          </w:p>
          <w:p>
            <w:pPr>
              <w:spacing w:lineRule="auto" w:line="276" w:before="120"/>
              <w:jc w:val="both"/>
              <w:rPr>
                <w:rFonts w:ascii="Arial Narrow" w:hAnsi="Arial Narrow"/>
                <w:sz w:val="21"/>
              </w:rPr>
            </w:pPr>
            <w:r>
              <w:rPr>
                <w:rFonts w:ascii="Arial Narrow" w:hAnsi="Arial Narrow"/>
                <w:b w:val="1"/>
                <w:i w:val="1"/>
                <w:sz w:val="21"/>
              </w:rPr>
              <w:t>Final non-energy consumption</w:t>
            </w:r>
            <w:r>
              <w:rPr>
                <w:rFonts w:ascii="Arial Narrow" w:hAnsi="Arial Narrow"/>
                <w:sz w:val="21"/>
              </w:rPr>
              <w:t xml:space="preserve"> comprises final energy consumption as raw material in technological process, while consumption in chemical industry is separate illustrated from total consumption.</w:t>
            </w:r>
          </w:p>
          <w:p>
            <w:pPr>
              <w:spacing w:before="120"/>
              <w:jc w:val="both"/>
              <w:rPr>
                <w:rFonts w:ascii="Arial Narrow" w:hAnsi="Arial Narrow"/>
                <w:sz w:val="21"/>
              </w:rPr>
            </w:pPr>
            <w:r>
              <w:rPr>
                <w:rFonts w:ascii="Arial Narrow" w:hAnsi="Arial Narrow"/>
                <w:b w:val="1"/>
                <w:i w:val="1"/>
                <w:sz w:val="21"/>
              </w:rPr>
              <w:t>Final energy consumption</w:t>
            </w:r>
            <w:r>
              <w:rPr>
                <w:rFonts w:ascii="Arial Narrow" w:hAnsi="Arial Narrow"/>
                <w:b w:val="1"/>
                <w:i w:val="1"/>
                <w:sz w:val="21"/>
              </w:rPr>
              <w:t xml:space="preserve"> </w:t>
            </w:r>
            <w:r>
              <w:rPr>
                <w:rFonts w:ascii="Arial Narrow" w:hAnsi="Arial Narrow"/>
                <w:sz w:val="21"/>
              </w:rPr>
              <w:t>comprises final consumption of available energy in:</w:t>
            </w:r>
          </w:p>
          <w:p>
            <w:pPr>
              <w:jc w:val="both"/>
              <w:rPr>
                <w:rFonts w:ascii="Arial Narrow" w:hAnsi="Arial Narrow"/>
                <w:sz w:val="21"/>
              </w:rPr>
            </w:pPr>
          </w:p>
          <w:p>
            <w:pPr>
              <w:ind w:left="567"/>
              <w:jc w:val="both"/>
              <w:rPr>
                <w:rFonts w:ascii="Arial Narrow" w:hAnsi="Arial Narrow"/>
                <w:sz w:val="21"/>
              </w:rPr>
            </w:pPr>
            <w:r>
              <w:rPr>
                <w:rFonts w:ascii="Arial Narrow" w:hAnsi="Arial Narrow"/>
                <w:b w:val="1"/>
                <w:i w:val="1"/>
                <w:sz w:val="21"/>
              </w:rPr>
              <w:t>industry</w:t>
            </w:r>
            <w:r>
              <w:rPr>
                <w:rFonts w:ascii="Arial Narrow" w:hAnsi="Arial Narrow"/>
                <w:sz w:val="21"/>
              </w:rPr>
              <w:t xml:space="preserve"> (Division from 13 to 37, except the field 23 NACE), </w:t>
            </w:r>
          </w:p>
          <w:p>
            <w:pPr>
              <w:spacing w:before="200"/>
              <w:ind w:left="562"/>
              <w:jc w:val="both"/>
              <w:rPr>
                <w:rFonts w:ascii="Arial Narrow" w:hAnsi="Arial Narrow"/>
                <w:sz w:val="21"/>
              </w:rPr>
            </w:pPr>
            <w:r>
              <w:rPr>
                <w:rFonts w:ascii="Arial Narrow" w:hAnsi="Arial Narrow"/>
                <w:b w:val="1"/>
                <w:i w:val="1"/>
                <w:sz w:val="21"/>
              </w:rPr>
              <w:t>construction</w:t>
            </w:r>
            <w:r>
              <w:rPr>
                <w:rFonts w:ascii="Arial Narrow" w:hAnsi="Arial Narrow"/>
                <w:sz w:val="21"/>
              </w:rPr>
              <w:t xml:space="preserve"> (Division 45 NACE), </w:t>
            </w:r>
          </w:p>
          <w:p>
            <w:pPr>
              <w:spacing w:before="240"/>
              <w:ind w:left="562"/>
              <w:jc w:val="both"/>
              <w:rPr>
                <w:rFonts w:ascii="Arial Narrow" w:hAnsi="Arial Narrow"/>
                <w:sz w:val="21"/>
              </w:rPr>
            </w:pPr>
            <w:r>
              <w:rPr>
                <w:rFonts w:ascii="Arial Narrow" w:hAnsi="Arial Narrow"/>
                <w:b w:val="1"/>
                <w:i w:val="1"/>
                <w:sz w:val="21"/>
              </w:rPr>
              <w:t>transport</w:t>
            </w:r>
            <w:r>
              <w:rPr>
                <w:rFonts w:ascii="Arial Narrow" w:hAnsi="Arial Narrow"/>
                <w:b w:val="1"/>
                <w:i w:val="1"/>
                <w:sz w:val="21"/>
              </w:rPr>
              <w:t xml:space="preserve"> </w:t>
            </w:r>
            <w:r>
              <w:rPr>
                <w:rFonts w:ascii="Arial Narrow" w:hAnsi="Arial Narrow"/>
                <w:sz w:val="21"/>
              </w:rPr>
              <w:t xml:space="preserve"> (Division from 60 to 64 NACE), </w:t>
            </w:r>
          </w:p>
          <w:p>
            <w:pPr>
              <w:spacing w:before="240"/>
              <w:ind w:left="562"/>
              <w:jc w:val="both"/>
              <w:rPr>
                <w:rFonts w:ascii="Arial Narrow" w:hAnsi="Arial Narrow"/>
                <w:sz w:val="21"/>
              </w:rPr>
            </w:pPr>
            <w:r>
              <w:rPr>
                <w:rFonts w:ascii="Arial Narrow" w:hAnsi="Arial Narrow"/>
                <w:b w:val="1"/>
                <w:i w:val="1"/>
                <w:sz w:val="21"/>
              </w:rPr>
              <w:t xml:space="preserve">households </w:t>
            </w:r>
            <w:r>
              <w:rPr>
                <w:rFonts w:ascii="Arial Narrow" w:hAnsi="Arial Narrow"/>
                <w:sz w:val="21"/>
              </w:rPr>
              <w:t>(all households including ’’households with employed persons’’, Division 95 NACE),</w:t>
            </w:r>
          </w:p>
          <w:p>
            <w:pPr>
              <w:spacing w:lineRule="auto" w:line="360" w:before="240"/>
              <w:ind w:left="562"/>
              <w:jc w:val="both"/>
              <w:rPr>
                <w:rFonts w:ascii="Arial Narrow" w:hAnsi="Arial Narrow"/>
                <w:sz w:val="21"/>
              </w:rPr>
            </w:pPr>
            <w:r>
              <w:rPr>
                <w:rFonts w:ascii="Arial Narrow" w:hAnsi="Arial Narrow"/>
                <w:b w:val="1"/>
                <w:i w:val="1"/>
                <w:sz w:val="21"/>
              </w:rPr>
              <w:t>agriculture</w:t>
            </w:r>
            <w:r>
              <w:rPr>
                <w:rFonts w:ascii="Arial Narrow" w:hAnsi="Arial Narrow"/>
                <w:sz w:val="21"/>
              </w:rPr>
              <w:t xml:space="preserve">  (Division 01, 02 and 05 NACE), and at </w:t>
            </w:r>
          </w:p>
          <w:p>
            <w:pPr>
              <w:spacing w:before="120"/>
              <w:ind w:left="567"/>
              <w:jc w:val="both"/>
              <w:rPr>
                <w:rFonts w:ascii="Arial Narrow" w:hAnsi="Arial Narrow"/>
                <w:sz w:val="21"/>
              </w:rPr>
            </w:pPr>
            <w:r>
              <w:rPr>
                <w:rFonts w:ascii="Arial Narrow" w:hAnsi="Arial Narrow"/>
                <w:b w:val="1"/>
                <w:i w:val="1"/>
                <w:sz w:val="21"/>
              </w:rPr>
              <w:t>other users</w:t>
            </w:r>
            <w:r>
              <w:rPr>
                <w:rFonts w:ascii="Arial Narrow" w:hAnsi="Arial Narrow"/>
                <w:sz w:val="21"/>
              </w:rPr>
              <w:t xml:space="preserve"> (commercial and public services and activities which are not included elsewhere).</w:t>
            </w:r>
          </w:p>
          <w:p>
            <w:pPr>
              <w:pStyle w:val="P2"/>
              <w:spacing w:before="100" w:after="240" w:beforeAutospacing="1"/>
              <w:rPr>
                <w:rFonts w:ascii="Arial Narrow" w:hAnsi="Arial Narrow"/>
                <w:sz w:val="24"/>
              </w:rPr>
            </w:pPr>
            <w:r>
              <w:rPr>
                <w:rFonts w:ascii="Arial Narrow" w:hAnsi="Arial Narrow"/>
                <w:sz w:val="24"/>
              </w:rPr>
              <w:t>Explainations of energy commodities</w:t>
            </w:r>
          </w:p>
          <w:p>
            <w:pPr>
              <w:pStyle w:val="P1"/>
              <w:spacing w:lineRule="auto" w:line="264" w:before="120" w:after="120"/>
              <w:jc w:val="both"/>
              <w:rPr>
                <w:rFonts w:ascii="Arial Narrow" w:hAnsi="Arial Narrow"/>
                <w:b w:val="1"/>
                <w:i w:val="1"/>
                <w:sz w:val="21"/>
              </w:rPr>
            </w:pPr>
            <w:r>
              <w:rPr>
                <w:rFonts w:ascii="Arial Narrow" w:hAnsi="Arial Narrow"/>
                <w:i w:val="1"/>
                <w:sz w:val="21"/>
              </w:rPr>
              <w:t>Electricity</w:t>
            </w:r>
            <w:r>
              <w:rPr>
                <w:rFonts w:ascii="Arial Narrow" w:hAnsi="Arial Narrow"/>
                <w:b w:val="0"/>
                <w:sz w:val="21"/>
              </w:rPr>
              <w:t xml:space="preserve"> -</w:t>
            </w:r>
            <w:r>
              <w:rPr>
                <w:rFonts w:ascii="Arial Narrow" w:hAnsi="Arial Narrow"/>
                <w:sz w:val="21"/>
              </w:rPr>
              <w:t xml:space="preserve"> </w:t>
            </w:r>
            <w:r>
              <w:rPr>
                <w:rFonts w:ascii="Arial Narrow" w:hAnsi="Arial Narrow"/>
                <w:b w:val="0"/>
                <w:i w:val="1"/>
                <w:sz w:val="21"/>
              </w:rPr>
              <w:t>Generated in: hydro electric power stations, thermal power plan</w:t>
            </w:r>
            <w:r>
              <w:rPr>
                <w:rFonts w:ascii="Arial Narrow" w:hAnsi="Arial Narrow"/>
                <w:b w:val="0"/>
                <w:i w:val="1"/>
                <w:sz w:val="21"/>
              </w:rPr>
              <w:t>ts</w:t>
            </w:r>
            <w:r>
              <w:rPr>
                <w:rFonts w:ascii="Arial Narrow" w:hAnsi="Arial Narrow"/>
                <w:b w:val="0"/>
                <w:i w:val="1"/>
                <w:sz w:val="21"/>
              </w:rPr>
              <w:t>, CHP</w:t>
            </w:r>
            <w:r>
              <w:rPr>
                <w:rFonts w:ascii="Arial Narrow" w:hAnsi="Arial Narrow"/>
                <w:b w:val="0"/>
                <w:i w:val="1"/>
                <w:sz w:val="21"/>
              </w:rPr>
              <w:t>-</w:t>
            </w:r>
            <w:r>
              <w:rPr>
                <w:rFonts w:ascii="Arial Narrow" w:hAnsi="Arial Narrow"/>
                <w:b w:val="0"/>
                <w:i w:val="1"/>
                <w:sz w:val="21"/>
              </w:rPr>
              <w:t xml:space="preserve">other and autoproducers. </w:t>
            </w:r>
          </w:p>
          <w:p>
            <w:pPr>
              <w:pStyle w:val="P1"/>
              <w:spacing w:lineRule="auto" w:line="264" w:before="120" w:after="120"/>
              <w:jc w:val="both"/>
              <w:rPr>
                <w:rFonts w:ascii="Arial Narrow" w:hAnsi="Arial Narrow"/>
                <w:b w:val="1"/>
                <w:i w:val="1"/>
                <w:sz w:val="21"/>
              </w:rPr>
            </w:pPr>
            <w:r>
              <w:rPr>
                <w:rFonts w:ascii="Arial Narrow" w:hAnsi="Arial Narrow"/>
                <w:i w:val="1"/>
                <w:sz w:val="21"/>
              </w:rPr>
              <w:t>Heat energy</w:t>
            </w:r>
            <w:r>
              <w:rPr>
                <w:rFonts w:ascii="Arial Narrow" w:hAnsi="Arial Narrow"/>
                <w:sz w:val="21"/>
              </w:rPr>
              <w:t xml:space="preserve"> </w:t>
            </w:r>
            <w:r>
              <w:rPr>
                <w:rFonts w:ascii="Arial Narrow" w:hAnsi="Arial Narrow"/>
                <w:b w:val="0"/>
                <w:i w:val="1"/>
                <w:sz w:val="21"/>
              </w:rPr>
              <w:t>- Generated in district heating plants, CHP</w:t>
            </w:r>
            <w:r>
              <w:rPr>
                <w:rFonts w:ascii="Arial Narrow" w:hAnsi="Arial Narrow"/>
                <w:b w:val="0"/>
                <w:i w:val="1"/>
                <w:sz w:val="21"/>
              </w:rPr>
              <w:t>-</w:t>
            </w:r>
            <w:r>
              <w:rPr>
                <w:rFonts w:ascii="Arial Narrow" w:hAnsi="Arial Narrow"/>
                <w:b w:val="0"/>
                <w:i w:val="1"/>
                <w:sz w:val="21"/>
              </w:rPr>
              <w:t xml:space="preserve"> other, autoproducers and thermal power plants. Carriers of heat: hot water</w:t>
            </w:r>
            <w:r>
              <w:rPr>
                <w:rFonts w:ascii="Arial Narrow" w:hAnsi="Arial Narrow"/>
                <w:b w:val="0"/>
                <w:i w:val="1"/>
                <w:sz w:val="21"/>
                <w:vertAlign w:val="superscript"/>
              </w:rPr>
              <w:t>1</w:t>
            </w:r>
            <w:r>
              <w:rPr>
                <w:rFonts w:ascii="Arial Narrow" w:hAnsi="Arial Narrow"/>
                <w:b w:val="0"/>
                <w:i w:val="1"/>
                <w:sz w:val="21"/>
                <w:vertAlign w:val="superscript"/>
              </w:rPr>
              <w:t>)</w:t>
            </w:r>
            <w:r>
              <w:rPr>
                <w:rFonts w:ascii="Arial Narrow" w:hAnsi="Arial Narrow"/>
                <w:b w:val="0"/>
                <w:i w:val="1"/>
                <w:sz w:val="21"/>
              </w:rPr>
              <w:t xml:space="preserve"> to 110</w:t>
            </w:r>
            <w:r>
              <w:rPr>
                <w:rFonts w:ascii="Arial Narrow" w:hAnsi="Arial Narrow"/>
                <w:b w:val="0"/>
                <w:i w:val="1"/>
                <w:sz w:val="21"/>
                <w:vertAlign w:val="superscript"/>
              </w:rPr>
              <w:t>0</w:t>
            </w:r>
            <w:r>
              <w:rPr>
                <w:rFonts w:ascii="Arial Narrow" w:hAnsi="Arial Narrow"/>
                <w:b w:val="0"/>
                <w:i w:val="1"/>
                <w:sz w:val="21"/>
              </w:rPr>
              <w:t>C, boiling water</w:t>
            </w:r>
            <w:r>
              <w:rPr>
                <w:rFonts w:ascii="Arial Narrow" w:hAnsi="Arial Narrow"/>
                <w:b w:val="0"/>
                <w:i w:val="1"/>
                <w:sz w:val="21"/>
                <w:vertAlign w:val="superscript"/>
              </w:rPr>
              <w:t>2</w:t>
            </w:r>
            <w:r>
              <w:rPr>
                <w:rFonts w:ascii="Arial Narrow" w:hAnsi="Arial Narrow"/>
                <w:b w:val="0"/>
                <w:i w:val="1"/>
                <w:sz w:val="21"/>
                <w:vertAlign w:val="superscript"/>
              </w:rPr>
              <w:t xml:space="preserve">) </w:t>
            </w:r>
            <w:r>
              <w:rPr>
                <w:rFonts w:ascii="Arial Narrow" w:hAnsi="Arial Narrow"/>
                <w:b w:val="0"/>
                <w:i w:val="1"/>
                <w:sz w:val="21"/>
              </w:rPr>
              <w:t>over 110</w:t>
            </w:r>
            <w:r>
              <w:rPr>
                <w:rFonts w:ascii="Arial Narrow" w:hAnsi="Arial Narrow"/>
                <w:b w:val="0"/>
                <w:i w:val="1"/>
                <w:sz w:val="21"/>
                <w:vertAlign w:val="superscript"/>
              </w:rPr>
              <w:t>0</w:t>
            </w:r>
            <w:r>
              <w:rPr>
                <w:rFonts w:ascii="Arial Narrow" w:hAnsi="Arial Narrow"/>
                <w:b w:val="0"/>
                <w:i w:val="1"/>
                <w:sz w:val="21"/>
              </w:rPr>
              <w:t>C and steam.</w:t>
            </w:r>
          </w:p>
          <w:p>
            <w:pPr>
              <w:pStyle w:val="P24"/>
              <w:rPr>
                <w:rFonts w:ascii="Arial Narrow" w:hAnsi="Arial Narrow"/>
                <w:sz w:val="14"/>
                <w:vertAlign w:val="superscript"/>
              </w:rPr>
            </w:pPr>
            <w:r>
              <w:rPr>
                <w:rFonts w:ascii="Arial Narrow" w:hAnsi="Arial Narrow"/>
                <w:sz w:val="14"/>
                <w:vertAlign w:val="superscript"/>
              </w:rPr>
              <w:t xml:space="preserve"> </w:t>
            </w:r>
          </w:p>
          <w:p>
            <w:pPr>
              <w:pStyle w:val="P24"/>
              <w:rPr>
                <w:rFonts w:ascii="Arial Narrow" w:hAnsi="Arial Narrow"/>
                <w:sz w:val="14"/>
                <w:vertAlign w:val="superscript"/>
              </w:rPr>
            </w:pPr>
            <w:r>
              <w:rPr>
                <w:rFonts w:ascii="Arial Narrow" w:hAnsi="Arial Narrow"/>
                <w:sz w:val="14"/>
                <w:vertAlign w:val="superscript"/>
              </w:rPr>
              <w:t xml:space="preserve">1) </w:t>
            </w:r>
            <w:r>
              <w:rPr>
                <w:rFonts w:ascii="Arial Narrow" w:hAnsi="Arial Narrow"/>
                <w:sz w:val="14"/>
              </w:rPr>
              <w:t>Reknagel : Heating and air conditioning : Construction book, Year 1987.</w:t>
            </w:r>
            <w:r>
              <w:rPr>
                <w:rFonts w:ascii="Arial Narrow" w:hAnsi="Arial Narrow"/>
                <w:sz w:val="14"/>
                <w:vertAlign w:val="superscript"/>
              </w:rPr>
              <w:t xml:space="preserve"> </w:t>
            </w:r>
          </w:p>
          <w:p>
            <w:pPr>
              <w:pStyle w:val="P24"/>
              <w:rPr>
                <w:rFonts w:ascii="Arial Narrow" w:hAnsi="Arial Narrow"/>
                <w:sz w:val="14"/>
              </w:rPr>
            </w:pPr>
            <w:r>
              <w:rPr>
                <w:rFonts w:ascii="Arial Narrow" w:hAnsi="Arial Narrow"/>
                <w:sz w:val="14"/>
                <w:vertAlign w:val="superscript"/>
              </w:rPr>
              <w:t>2)</w:t>
            </w:r>
            <w:r>
              <w:rPr>
                <w:rFonts w:ascii="Arial Narrow" w:hAnsi="Arial Narrow"/>
                <w:sz w:val="14"/>
              </w:rPr>
              <w:t xml:space="preserve"> Energy Statistics Manual, International Energy Agency.</w:t>
            </w:r>
          </w:p>
          <w:p>
            <w:pPr>
              <w:pStyle w:val="P1"/>
              <w:spacing w:before="0" w:after="0"/>
              <w:ind w:firstLine="397"/>
              <w:jc w:val="both"/>
              <w:rPr>
                <w:rFonts w:ascii="Arial Narrow" w:hAnsi="Arial Narrow"/>
                <w:b w:val="1"/>
                <w:sz w:val="21"/>
              </w:rPr>
            </w:pPr>
          </w:p>
        </w:tc>
      </w:tr>
      <w:tr>
        <w:trPr>
          <w:wAfter w:w="0" w:type="dxa"/>
        </w:trPr>
        <w:tc>
          <w:tcPr>
            <w:tcW w:w="4593" w:type="dxa"/>
          </w:tcPr>
          <w:p>
            <w:pPr>
              <w:pStyle w:val="P24"/>
              <w:spacing w:lineRule="auto" w:line="228" w:before="120"/>
              <w:rPr>
                <w:rFonts w:ascii="Arial Narrow" w:hAnsi="Arial Narrow"/>
                <w:b w:val="1"/>
                <w:i w:val="1"/>
                <w:sz w:val="21"/>
              </w:rPr>
            </w:pPr>
            <w:r>
              <w:rPr>
                <w:rFonts w:ascii="Arial Narrow" w:hAnsi="Arial Narrow"/>
                <w:b w:val="1"/>
                <w:i w:val="1"/>
                <w:sz w:val="21"/>
              </w:rPr>
              <w:t>Угаљ:</w:t>
            </w:r>
          </w:p>
          <w:p>
            <w:pPr>
              <w:pStyle w:val="P12"/>
              <w:numPr>
                <w:ilvl w:val="0"/>
                <w:numId w:val="28"/>
              </w:numPr>
              <w:tabs>
                <w:tab w:val="clear" w:pos="9923" w:leader="none"/>
              </w:tabs>
              <w:spacing w:before="80"/>
              <w:ind w:hanging="284" w:left="851"/>
              <w:jc w:val="left"/>
              <w:rPr>
                <w:rFonts w:ascii="Arial Narrow" w:hAnsi="Arial Narrow"/>
                <w:sz w:val="21"/>
              </w:rPr>
            </w:pPr>
            <w:r>
              <w:rPr>
                <w:rFonts w:ascii="Arial Narrow" w:hAnsi="Arial Narrow"/>
                <w:sz w:val="21"/>
              </w:rPr>
              <w:t>Камени угаљ – неагломерисани угаљ чија је бруто калорична вредност (БКВ) већа од 23865 kЈ/kg; обухвата три подкатегорије: угаљ за коксовање, антрацит и остали битуменозни угаљ;</w:t>
            </w:r>
          </w:p>
          <w:p>
            <w:pPr>
              <w:pStyle w:val="P12"/>
              <w:numPr>
                <w:ilvl w:val="0"/>
                <w:numId w:val="28"/>
              </w:numPr>
              <w:tabs>
                <w:tab w:val="clear" w:pos="9923" w:leader="none"/>
              </w:tabs>
              <w:spacing w:before="80"/>
              <w:ind w:hanging="284" w:left="851"/>
              <w:jc w:val="left"/>
              <w:rPr>
                <w:rFonts w:ascii="Arial Narrow" w:hAnsi="Arial Narrow"/>
                <w:sz w:val="21"/>
              </w:rPr>
            </w:pPr>
            <w:r>
              <w:rPr>
                <w:rFonts w:ascii="Arial Narrow" w:hAnsi="Arial Narrow"/>
                <w:sz w:val="21"/>
              </w:rPr>
              <w:t>Суб-битуменозни угаљ – неагломерисани угаљ чија је БКВ у интервалу од 17435 kЈ/kg до 23865 kЈ/kg;</w:t>
            </w:r>
          </w:p>
          <w:p>
            <w:pPr>
              <w:pStyle w:val="P12"/>
              <w:numPr>
                <w:ilvl w:val="0"/>
                <w:numId w:val="28"/>
              </w:numPr>
              <w:tabs>
                <w:tab w:val="clear" w:pos="9923" w:leader="none"/>
              </w:tabs>
              <w:spacing w:before="80"/>
              <w:ind w:hanging="284" w:left="851"/>
              <w:jc w:val="left"/>
              <w:rPr>
                <w:rFonts w:ascii="Arial Narrow" w:hAnsi="Arial Narrow"/>
                <w:sz w:val="21"/>
              </w:rPr>
            </w:pPr>
            <w:r>
              <w:rPr>
                <w:rFonts w:ascii="Arial Narrow" w:hAnsi="Arial Narrow"/>
                <w:sz w:val="21"/>
              </w:rPr>
              <w:t>Мрки угаљ и лигнит – неагломерисани угаљ чија је БКВ мања од 17435 kЈ/kg.</w:t>
            </w:r>
          </w:p>
          <w:p>
            <w:pPr>
              <w:pStyle w:val="P24"/>
              <w:spacing w:before="120"/>
              <w:rPr>
                <w:rFonts w:ascii="Arial Narrow" w:hAnsi="Arial Narrow"/>
                <w:b w:val="1"/>
                <w:i w:val="1"/>
                <w:sz w:val="21"/>
              </w:rPr>
            </w:pPr>
            <w:r>
              <w:rPr>
                <w:rFonts w:ascii="Arial Narrow" w:hAnsi="Arial Narrow"/>
                <w:b w:val="1"/>
                <w:i w:val="1"/>
                <w:sz w:val="21"/>
              </w:rPr>
              <w:t xml:space="preserve">Прерада  угља:</w:t>
            </w:r>
          </w:p>
          <w:p>
            <w:pPr>
              <w:pStyle w:val="P12"/>
              <w:numPr>
                <w:ilvl w:val="0"/>
                <w:numId w:val="28"/>
              </w:numPr>
              <w:tabs>
                <w:tab w:val="clear" w:pos="9923" w:leader="none"/>
              </w:tabs>
              <w:spacing w:before="80"/>
              <w:ind w:hanging="284" w:left="851"/>
              <w:jc w:val="left"/>
              <w:rPr>
                <w:rFonts w:ascii="Arial Narrow" w:hAnsi="Arial Narrow"/>
                <w:sz w:val="21"/>
              </w:rPr>
            </w:pPr>
            <w:r>
              <w:rPr>
                <w:rFonts w:ascii="Arial Narrow" w:hAnsi="Arial Narrow"/>
                <w:sz w:val="21"/>
              </w:rPr>
              <w:t>Брикет каменог угља – гориво добијено од каменог угља са додатком средстава за везивање;</w:t>
            </w:r>
          </w:p>
          <w:p>
            <w:pPr>
              <w:pStyle w:val="P12"/>
              <w:numPr>
                <w:ilvl w:val="0"/>
                <w:numId w:val="28"/>
              </w:numPr>
              <w:tabs>
                <w:tab w:val="clear" w:pos="9923" w:leader="none"/>
              </w:tabs>
              <w:spacing w:before="80"/>
              <w:ind w:hanging="284" w:left="851"/>
              <w:jc w:val="left"/>
              <w:rPr>
                <w:rFonts w:ascii="Arial Narrow" w:hAnsi="Arial Narrow"/>
                <w:sz w:val="21"/>
              </w:rPr>
            </w:pPr>
            <w:r>
              <w:rPr>
                <w:rFonts w:ascii="Arial Narrow" w:hAnsi="Arial Narrow"/>
                <w:sz w:val="21"/>
              </w:rPr>
              <w:t xml:space="preserve">Брикет мрког угља  и лигнита – гориво добијено од мрког угља или лигнита без додатка средстава за везивање. У енергетском билансу ова категорија обухвата и сушени лигнит;</w:t>
            </w:r>
          </w:p>
          <w:p>
            <w:pPr>
              <w:pStyle w:val="P12"/>
              <w:numPr>
                <w:ilvl w:val="0"/>
                <w:numId w:val="28"/>
              </w:numPr>
              <w:tabs>
                <w:tab w:val="clear" w:pos="9923" w:leader="none"/>
              </w:tabs>
              <w:spacing w:before="80"/>
              <w:ind w:hanging="284" w:left="851"/>
              <w:jc w:val="left"/>
              <w:rPr>
                <w:rFonts w:ascii="Arial Narrow" w:hAnsi="Arial Narrow"/>
                <w:sz w:val="21"/>
              </w:rPr>
            </w:pPr>
            <w:r>
              <w:rPr>
                <w:rFonts w:ascii="Arial Narrow" w:hAnsi="Arial Narrow"/>
                <w:sz w:val="21"/>
              </w:rPr>
              <w:t>Катран од угља – катрани добијени и од битуменозног угља и од мрког угља;</w:t>
            </w:r>
          </w:p>
          <w:p>
            <w:pPr>
              <w:pStyle w:val="P12"/>
              <w:numPr>
                <w:ilvl w:val="0"/>
                <w:numId w:val="28"/>
              </w:numPr>
              <w:tabs>
                <w:tab w:val="clear" w:pos="9923" w:leader="none"/>
              </w:tabs>
              <w:spacing w:before="80"/>
              <w:ind w:hanging="284" w:left="851"/>
              <w:jc w:val="left"/>
              <w:rPr>
                <w:rFonts w:ascii="Arial Narrow" w:hAnsi="Arial Narrow"/>
                <w:sz w:val="21"/>
              </w:rPr>
            </w:pPr>
            <w:r>
              <w:rPr>
                <w:rFonts w:ascii="Arial Narrow" w:hAnsi="Arial Narrow"/>
                <w:sz w:val="21"/>
              </w:rPr>
              <w:t xml:space="preserve">Кокс –  обухвата кокс (чврст производ добијен карбонизацијом угља на високој температури) и полукокс (чврст производ добијен карбонизацијом угља на ниској температури);</w:t>
            </w:r>
          </w:p>
          <w:p>
            <w:pPr>
              <w:pStyle w:val="P12"/>
              <w:numPr>
                <w:ilvl w:val="0"/>
                <w:numId w:val="28"/>
              </w:numPr>
              <w:tabs>
                <w:tab w:val="clear" w:pos="9923" w:leader="none"/>
              </w:tabs>
              <w:spacing w:before="80"/>
              <w:ind w:hanging="284" w:left="851"/>
              <w:jc w:val="left"/>
              <w:rPr>
                <w:rFonts w:ascii="Arial Narrow" w:hAnsi="Arial Narrow"/>
                <w:sz w:val="21"/>
              </w:rPr>
            </w:pPr>
            <w:r>
              <w:rPr>
                <w:rFonts w:ascii="Arial Narrow" w:hAnsi="Arial Narrow"/>
                <w:sz w:val="21"/>
              </w:rPr>
              <w:t>Високо-пећни гас – производи се приликом сагоревања кокса у високим пећима у индустрији гвожђа и челика. Користи се делом као гориво, а делом у индустријском процесу;</w:t>
            </w:r>
          </w:p>
          <w:p>
            <w:pPr>
              <w:pStyle w:val="P12"/>
              <w:numPr>
                <w:ilvl w:val="0"/>
                <w:numId w:val="28"/>
              </w:numPr>
              <w:tabs>
                <w:tab w:val="clear" w:pos="9923" w:leader="none"/>
              </w:tabs>
              <w:spacing w:before="80"/>
              <w:ind w:hanging="284" w:left="851"/>
              <w:jc w:val="left"/>
              <w:rPr>
                <w:rFonts w:ascii="Arial Narrow" w:hAnsi="Arial Narrow"/>
                <w:sz w:val="21"/>
              </w:rPr>
            </w:pPr>
            <w:r>
              <w:rPr>
                <w:rFonts w:ascii="Arial Narrow" w:hAnsi="Arial Narrow"/>
                <w:sz w:val="21"/>
              </w:rPr>
              <w:t>Конверторски гас – нус-производ при производњи челика у оксидационим пећима.</w:t>
            </w:r>
          </w:p>
          <w:p>
            <w:pPr>
              <w:pStyle w:val="P24"/>
              <w:spacing w:before="360" w:after="240"/>
              <w:jc w:val="left"/>
              <w:rPr>
                <w:rFonts w:ascii="Arial Narrow" w:hAnsi="Arial Narrow"/>
                <w:sz w:val="24"/>
              </w:rPr>
            </w:pPr>
            <w:r>
              <w:rPr>
                <w:rFonts w:ascii="Arial Narrow" w:hAnsi="Arial Narrow"/>
                <w:b w:val="1"/>
                <w:sz w:val="24"/>
              </w:rPr>
              <w:t>Специфичности</w:t>
            </w:r>
            <w:r>
              <w:rPr>
                <w:rFonts w:ascii="Arial Narrow" w:hAnsi="Arial Narrow"/>
                <w:b w:val="1"/>
                <w:sz w:val="24"/>
              </w:rPr>
              <w:t xml:space="preserve"> </w:t>
            </w:r>
            <w:r>
              <w:rPr>
                <w:rFonts w:ascii="Arial Narrow" w:hAnsi="Arial Narrow"/>
                <w:b w:val="1"/>
                <w:sz w:val="24"/>
              </w:rPr>
              <w:t>појединих</w:t>
            </w:r>
            <w:r>
              <w:rPr>
                <w:rFonts w:ascii="Arial Narrow" w:hAnsi="Arial Narrow"/>
                <w:b w:val="1"/>
                <w:sz w:val="24"/>
              </w:rPr>
              <w:t xml:space="preserve"> </w:t>
            </w:r>
            <w:r>
              <w:rPr>
                <w:rFonts w:ascii="Arial Narrow" w:hAnsi="Arial Narrow"/>
                <w:b w:val="1"/>
                <w:sz w:val="24"/>
              </w:rPr>
              <w:t>енергетских</w:t>
            </w:r>
            <w:r>
              <w:rPr>
                <w:rFonts w:ascii="Arial Narrow" w:hAnsi="Arial Narrow"/>
                <w:b w:val="1"/>
                <w:sz w:val="24"/>
              </w:rPr>
              <w:t xml:space="preserve"> </w:t>
            </w:r>
            <w:r>
              <w:rPr>
                <w:rFonts w:ascii="Arial Narrow" w:hAnsi="Arial Narrow"/>
                <w:b w:val="1"/>
                <w:sz w:val="24"/>
              </w:rPr>
              <w:t>биланса</w:t>
            </w:r>
          </w:p>
          <w:p>
            <w:pPr>
              <w:pStyle w:val="P24"/>
              <w:spacing w:before="240" w:after="120"/>
              <w:rPr>
                <w:rFonts w:ascii="Arial Narrow" w:hAnsi="Arial Narrow"/>
                <w:b w:val="1"/>
                <w:sz w:val="21"/>
              </w:rPr>
            </w:pPr>
            <w:r>
              <w:rPr>
                <w:rFonts w:ascii="Arial Narrow" w:hAnsi="Arial Narrow"/>
                <w:b w:val="1"/>
                <w:sz w:val="21"/>
              </w:rPr>
              <w:t>Енергетски</w:t>
            </w:r>
            <w:r>
              <w:rPr>
                <w:rFonts w:ascii="Arial Narrow" w:hAnsi="Arial Narrow"/>
                <w:b w:val="1"/>
                <w:sz w:val="21"/>
              </w:rPr>
              <w:t xml:space="preserve"> </w:t>
            </w:r>
            <w:r>
              <w:rPr>
                <w:rFonts w:ascii="Arial Narrow" w:hAnsi="Arial Narrow"/>
                <w:b w:val="1"/>
                <w:sz w:val="21"/>
              </w:rPr>
              <w:t>биланс</w:t>
            </w:r>
            <w:r>
              <w:rPr>
                <w:rFonts w:ascii="Arial Narrow" w:hAnsi="Arial Narrow"/>
                <w:b w:val="1"/>
                <w:sz w:val="21"/>
              </w:rPr>
              <w:t xml:space="preserve"> </w:t>
            </w:r>
            <w:r>
              <w:rPr>
                <w:rFonts w:ascii="Arial Narrow" w:hAnsi="Arial Narrow"/>
                <w:b w:val="1"/>
                <w:sz w:val="21"/>
              </w:rPr>
              <w:t>електричне</w:t>
            </w:r>
            <w:r>
              <w:rPr>
                <w:rFonts w:ascii="Arial Narrow" w:hAnsi="Arial Narrow"/>
                <w:b w:val="1"/>
                <w:sz w:val="21"/>
              </w:rPr>
              <w:t xml:space="preserve"> </w:t>
            </w:r>
            <w:r>
              <w:rPr>
                <w:rFonts w:ascii="Arial Narrow" w:hAnsi="Arial Narrow"/>
                <w:b w:val="1"/>
                <w:sz w:val="21"/>
              </w:rPr>
              <w:t>енергије</w:t>
            </w:r>
          </w:p>
          <w:p>
            <w:pPr>
              <w:pStyle w:val="P24"/>
              <w:spacing w:before="120"/>
              <w:rPr>
                <w:rFonts w:ascii="Arial Narrow" w:hAnsi="Arial Narrow"/>
                <w:sz w:val="21"/>
              </w:rPr>
            </w:pPr>
            <w:r>
              <w:rPr>
                <w:rFonts w:ascii="Arial Narrow" w:hAnsi="Arial Narrow"/>
                <w:sz w:val="21"/>
              </w:rPr>
              <w:t>Производњом хидроелектричне енергије обухваћена је и производња у реверзибилним хидроелектранама.</w:t>
            </w:r>
          </w:p>
          <w:p>
            <w:pPr>
              <w:pStyle w:val="P24"/>
              <w:spacing w:before="120"/>
              <w:rPr>
                <w:rFonts w:ascii="Arial Narrow" w:hAnsi="Arial Narrow"/>
                <w:sz w:val="21"/>
              </w:rPr>
            </w:pPr>
            <w:r>
              <w:rPr>
                <w:rFonts w:ascii="Arial Narrow" w:hAnsi="Arial Narrow"/>
                <w:sz w:val="21"/>
              </w:rPr>
              <w:t>Подаци о електричној енергији која је прешла преко националне границе преузимају се од ЈП Електро-мрежа Србије.</w:t>
            </w:r>
          </w:p>
          <w:p>
            <w:pPr>
              <w:pStyle w:val="P24"/>
              <w:spacing w:before="120"/>
              <w:rPr>
                <w:rFonts w:ascii="Arial Narrow" w:hAnsi="Arial Narrow"/>
                <w:sz w:val="21"/>
              </w:rPr>
            </w:pPr>
            <w:r>
              <w:rPr>
                <w:rFonts w:ascii="Arial Narrow" w:hAnsi="Arial Narrow"/>
                <w:sz w:val="21"/>
              </w:rPr>
              <w:t>Сопствена потрошња обухвата и губитке електричне енергије до прага преноса.</w:t>
            </w:r>
          </w:p>
          <w:p>
            <w:pPr>
              <w:spacing w:before="120"/>
              <w:jc w:val="both"/>
              <w:rPr>
                <w:rFonts w:ascii="Arial Narrow" w:hAnsi="Arial Narrow"/>
                <w:sz w:val="21"/>
              </w:rPr>
            </w:pPr>
            <w:r>
              <w:rPr>
                <w:rFonts w:ascii="Arial Narrow" w:hAnsi="Arial Narrow"/>
                <w:sz w:val="21"/>
              </w:rPr>
              <w:t xml:space="preserve">Све позиције </w:t>
            </w:r>
            <w:r>
              <w:rPr>
                <w:rFonts w:ascii="Arial Narrow" w:hAnsi="Arial Narrow"/>
                <w:i w:val="1"/>
                <w:sz w:val="21"/>
              </w:rPr>
              <w:t>Финалне</w:t>
            </w:r>
            <w:r>
              <w:rPr>
                <w:rFonts w:ascii="Arial Narrow" w:hAnsi="Arial Narrow"/>
                <w:i w:val="1"/>
                <w:sz w:val="21"/>
              </w:rPr>
              <w:t xml:space="preserve"> </w:t>
            </w:r>
            <w:r>
              <w:rPr>
                <w:rFonts w:ascii="Arial Narrow" w:hAnsi="Arial Narrow"/>
                <w:i w:val="1"/>
                <w:sz w:val="21"/>
              </w:rPr>
              <w:t>потрошње</w:t>
            </w:r>
            <w:r>
              <w:rPr>
                <w:rFonts w:ascii="Arial Narrow" w:hAnsi="Arial Narrow"/>
                <w:i w:val="1"/>
                <w:sz w:val="21"/>
              </w:rPr>
              <w:t xml:space="preserve"> </w:t>
            </w:r>
            <w:r>
              <w:rPr>
                <w:rFonts w:ascii="Arial Narrow" w:hAnsi="Arial Narrow"/>
                <w:i w:val="1"/>
                <w:sz w:val="21"/>
              </w:rPr>
              <w:t>за</w:t>
            </w:r>
            <w:r>
              <w:rPr>
                <w:rFonts w:ascii="Arial Narrow" w:hAnsi="Arial Narrow"/>
                <w:i w:val="1"/>
                <w:sz w:val="21"/>
              </w:rPr>
              <w:t xml:space="preserve"> </w:t>
            </w:r>
            <w:r>
              <w:rPr>
                <w:rFonts w:ascii="Arial Narrow" w:hAnsi="Arial Narrow"/>
                <w:i w:val="1"/>
                <w:sz w:val="21"/>
              </w:rPr>
              <w:t>енергетске</w:t>
            </w:r>
            <w:r>
              <w:rPr>
                <w:rFonts w:ascii="Arial Narrow" w:hAnsi="Arial Narrow"/>
                <w:i w:val="1"/>
                <w:sz w:val="21"/>
              </w:rPr>
              <w:t xml:space="preserve"> </w:t>
            </w:r>
            <w:r>
              <w:rPr>
                <w:rFonts w:ascii="Arial Narrow" w:hAnsi="Arial Narrow"/>
                <w:i w:val="1"/>
                <w:sz w:val="21"/>
              </w:rPr>
              <w:t>сврхе</w:t>
            </w:r>
            <w:r>
              <w:rPr>
                <w:rFonts w:ascii="Arial Narrow" w:hAnsi="Arial Narrow"/>
                <w:sz w:val="21"/>
              </w:rPr>
              <w:t xml:space="preserve">  представљају процену ЈП Електропривреда Србије.</w:t>
            </w:r>
          </w:p>
        </w:tc>
        <w:tc>
          <w:tcPr>
            <w:tcW w:w="454" w:type="dxa"/>
          </w:tcPr>
          <w:p>
            <w:pPr>
              <w:pStyle w:val="P1"/>
              <w:spacing w:before="0" w:after="0"/>
              <w:jc w:val="both"/>
              <w:rPr>
                <w:rFonts w:ascii="Arial Narrow" w:hAnsi="Arial Narrow"/>
                <w:b w:val="1"/>
                <w:sz w:val="21"/>
              </w:rPr>
            </w:pPr>
          </w:p>
        </w:tc>
        <w:tc>
          <w:tcPr>
            <w:tcW w:w="4593" w:type="dxa"/>
          </w:tcPr>
          <w:p>
            <w:pPr>
              <w:pStyle w:val="P6"/>
              <w:spacing w:lineRule="auto" w:line="264" w:before="120" w:after="0"/>
              <w:rPr>
                <w:rFonts w:ascii="Arial Narrow" w:hAnsi="Arial Narrow"/>
                <w:i w:val="1"/>
                <w:sz w:val="21"/>
              </w:rPr>
            </w:pPr>
            <w:r>
              <w:rPr>
                <w:rFonts w:ascii="Arial Narrow" w:hAnsi="Arial Narrow"/>
                <w:i w:val="1"/>
                <w:sz w:val="21"/>
              </w:rPr>
              <w:t>Coal</w:t>
            </w:r>
            <w:r>
              <w:rPr>
                <w:rFonts w:ascii="Arial Narrow" w:hAnsi="Arial Narrow"/>
                <w:i w:val="1"/>
                <w:sz w:val="21"/>
              </w:rPr>
              <w:t>:</w:t>
            </w:r>
          </w:p>
          <w:p>
            <w:pPr>
              <w:pStyle w:val="P12"/>
              <w:numPr>
                <w:ilvl w:val="0"/>
                <w:numId w:val="28"/>
              </w:numPr>
              <w:tabs>
                <w:tab w:val="clear" w:pos="9923" w:leader="none"/>
              </w:tabs>
              <w:spacing w:lineRule="auto" w:line="264" w:before="80"/>
              <w:ind w:hanging="284" w:left="851"/>
              <w:jc w:val="left"/>
              <w:rPr>
                <w:rFonts w:ascii="Arial Narrow" w:hAnsi="Arial Narrow"/>
                <w:sz w:val="21"/>
              </w:rPr>
            </w:pPr>
            <w:r>
              <w:rPr>
                <w:rFonts w:ascii="Arial Narrow" w:hAnsi="Arial Narrow"/>
                <w:sz w:val="21"/>
              </w:rPr>
              <w:t>Hard Coal – refers to non-agglomeration coal of gross calorifical value (GCV) greater than 23865 kJ/kg; comprises: coking coal, anthracite and other bituminous coal;</w:t>
            </w:r>
          </w:p>
          <w:p>
            <w:pPr>
              <w:pStyle w:val="P12"/>
              <w:numPr>
                <w:ilvl w:val="0"/>
                <w:numId w:val="28"/>
              </w:numPr>
              <w:tabs>
                <w:tab w:val="clear" w:pos="9923" w:leader="none"/>
              </w:tabs>
              <w:spacing w:lineRule="auto" w:line="264" w:before="80"/>
              <w:ind w:hanging="284" w:left="851"/>
              <w:jc w:val="left"/>
              <w:rPr>
                <w:rFonts w:ascii="Arial Narrow" w:hAnsi="Arial Narrow"/>
                <w:sz w:val="21"/>
              </w:rPr>
            </w:pPr>
            <w:r>
              <w:rPr>
                <w:rFonts w:ascii="Arial Narrow" w:hAnsi="Arial Narrow"/>
                <w:sz w:val="21"/>
              </w:rPr>
              <w:t>Sub-Bituminous Coal – refers to non-agglomeration coal with a GCV between 17435 kJ/kg and 23865 kJ/kg;</w:t>
            </w:r>
          </w:p>
          <w:p>
            <w:pPr>
              <w:pStyle w:val="P12"/>
              <w:numPr>
                <w:ilvl w:val="0"/>
                <w:numId w:val="28"/>
              </w:numPr>
              <w:tabs>
                <w:tab w:val="clear" w:pos="9923" w:leader="none"/>
              </w:tabs>
              <w:spacing w:lineRule="auto" w:line="264" w:before="80"/>
              <w:ind w:hanging="284" w:left="851"/>
              <w:jc w:val="left"/>
              <w:rPr>
                <w:rFonts w:ascii="Arial Narrow" w:hAnsi="Arial Narrow"/>
                <w:sz w:val="21"/>
              </w:rPr>
            </w:pPr>
            <w:r>
              <w:rPr>
                <w:rFonts w:ascii="Arial Narrow" w:hAnsi="Arial Narrow"/>
                <w:sz w:val="21"/>
              </w:rPr>
              <w:t>Brown Coal/Lignite – non-agglomeration coal with a GCV less than 17435 kJ/kg.</w:t>
            </w:r>
          </w:p>
          <w:p>
            <w:pPr>
              <w:pStyle w:val="P12"/>
              <w:spacing w:before="120"/>
              <w:rPr>
                <w:rFonts w:ascii="Arial Narrow" w:hAnsi="Arial Narrow"/>
                <w:b w:val="1"/>
                <w:i w:val="1"/>
                <w:sz w:val="21"/>
              </w:rPr>
            </w:pPr>
            <w:r>
              <w:rPr>
                <w:rFonts w:ascii="Arial Narrow" w:hAnsi="Arial Narrow"/>
                <w:b w:val="1"/>
                <w:i w:val="1"/>
                <w:sz w:val="21"/>
              </w:rPr>
              <w:t>Processing of coal:</w:t>
            </w:r>
          </w:p>
          <w:p>
            <w:pPr>
              <w:pStyle w:val="P12"/>
              <w:numPr>
                <w:ilvl w:val="0"/>
                <w:numId w:val="28"/>
              </w:numPr>
              <w:tabs>
                <w:tab w:val="clear" w:pos="9923" w:leader="none"/>
              </w:tabs>
              <w:spacing w:lineRule="auto" w:line="288" w:before="80"/>
              <w:ind w:hanging="284" w:left="851"/>
              <w:jc w:val="left"/>
              <w:rPr>
                <w:rFonts w:ascii="Arial Narrow" w:hAnsi="Arial Narrow"/>
                <w:sz w:val="21"/>
              </w:rPr>
            </w:pPr>
            <w:r>
              <w:rPr>
                <w:rFonts w:ascii="Arial Narrow" w:hAnsi="Arial Narrow"/>
                <w:sz w:val="21"/>
              </w:rPr>
              <w:t>Patent Fuel – a composition fuel manufactured from hard coal with the addition of binding agents;</w:t>
            </w:r>
          </w:p>
          <w:p>
            <w:pPr>
              <w:pStyle w:val="P12"/>
              <w:numPr>
                <w:ilvl w:val="0"/>
                <w:numId w:val="28"/>
              </w:numPr>
              <w:tabs>
                <w:tab w:val="clear" w:pos="9923" w:leader="none"/>
              </w:tabs>
              <w:spacing w:lineRule="auto" w:line="288" w:before="80"/>
              <w:ind w:hanging="288" w:left="850"/>
              <w:jc w:val="left"/>
              <w:rPr>
                <w:rFonts w:ascii="Arial Narrow" w:hAnsi="Arial Narrow"/>
                <w:sz w:val="21"/>
              </w:rPr>
            </w:pPr>
            <w:r>
              <w:rPr>
                <w:rFonts w:ascii="Arial Narrow" w:hAnsi="Arial Narrow"/>
                <w:sz w:val="21"/>
              </w:rPr>
              <w:t>BKB – a composition fuel manufactured from lignite/brown coal without the addition of binding agents. This category include dried lignite;</w:t>
            </w:r>
          </w:p>
          <w:p>
            <w:pPr>
              <w:pStyle w:val="P12"/>
              <w:numPr>
                <w:ilvl w:val="0"/>
                <w:numId w:val="28"/>
              </w:numPr>
              <w:tabs>
                <w:tab w:val="clear" w:pos="9923" w:leader="none"/>
              </w:tabs>
              <w:spacing w:before="120"/>
              <w:ind w:hanging="288" w:left="850"/>
              <w:jc w:val="left"/>
              <w:rPr>
                <w:rFonts w:ascii="Arial Narrow" w:hAnsi="Arial Narrow"/>
                <w:sz w:val="21"/>
              </w:rPr>
            </w:pPr>
            <w:r>
              <w:rPr>
                <w:rFonts w:ascii="Arial Narrow" w:hAnsi="Arial Narrow"/>
                <w:sz w:val="21"/>
              </w:rPr>
              <w:t>Coal Tar – tar from bituminous and brown coal;</w:t>
            </w:r>
          </w:p>
          <w:p>
            <w:pPr>
              <w:pStyle w:val="P12"/>
              <w:numPr>
                <w:ilvl w:val="0"/>
                <w:numId w:val="28"/>
              </w:numPr>
              <w:tabs>
                <w:tab w:val="clear" w:pos="9923" w:leader="none"/>
              </w:tabs>
              <w:spacing w:lineRule="auto" w:line="288" w:before="120"/>
              <w:ind w:hanging="288" w:left="850"/>
              <w:jc w:val="left"/>
              <w:rPr>
                <w:rFonts w:ascii="Arial Narrow" w:hAnsi="Arial Narrow"/>
                <w:sz w:val="21"/>
              </w:rPr>
            </w:pPr>
            <w:r>
              <w:rPr>
                <w:rFonts w:ascii="Arial Narrow" w:hAnsi="Arial Narrow"/>
                <w:sz w:val="21"/>
              </w:rPr>
              <w:t xml:space="preserve">Coke – this fuel includes coke oven coke (solid product obtained from carbonization of coal at high temperature) and semi-coke (solid product obtained from carbonization of coal at low temperature); </w:t>
            </w:r>
          </w:p>
          <w:p>
            <w:pPr>
              <w:pStyle w:val="P12"/>
              <w:numPr>
                <w:ilvl w:val="0"/>
                <w:numId w:val="28"/>
              </w:numPr>
              <w:tabs>
                <w:tab w:val="clear" w:pos="9923" w:leader="none"/>
              </w:tabs>
              <w:spacing w:lineRule="auto" w:line="288" w:before="120"/>
              <w:ind w:hanging="288" w:left="850"/>
              <w:jc w:val="left"/>
              <w:rPr>
                <w:rFonts w:ascii="Arial Narrow" w:hAnsi="Arial Narrow"/>
                <w:sz w:val="21"/>
              </w:rPr>
            </w:pPr>
            <w:r>
              <w:rPr>
                <w:rFonts w:ascii="Arial Narrow" w:hAnsi="Arial Narrow"/>
                <w:sz w:val="21"/>
              </w:rPr>
              <w:t xml:space="preserve">Blast Furnace Gas – produced during the combustion of coke in blast furnace in the iron and steel industry.  It is used partly as a fuel or in steel industry process;</w:t>
            </w:r>
          </w:p>
          <w:p>
            <w:pPr>
              <w:pStyle w:val="P12"/>
              <w:numPr>
                <w:ilvl w:val="0"/>
                <w:numId w:val="28"/>
              </w:numPr>
              <w:tabs>
                <w:tab w:val="clear" w:pos="9923" w:leader="none"/>
              </w:tabs>
              <w:spacing w:lineRule="auto" w:line="288" w:before="80"/>
              <w:ind w:hanging="288" w:left="850"/>
              <w:jc w:val="left"/>
              <w:rPr>
                <w:rFonts w:ascii="Arial Narrow" w:hAnsi="Arial Narrow"/>
                <w:sz w:val="21"/>
              </w:rPr>
            </w:pPr>
            <w:r>
              <w:rPr>
                <w:rFonts w:ascii="Arial Narrow" w:hAnsi="Arial Narrow"/>
                <w:sz w:val="21"/>
              </w:rPr>
              <w:t xml:space="preserve">Oxygen Steel Furnace Gas – by-product of production of steel in oxygen furnaces. </w:t>
            </w:r>
          </w:p>
          <w:p>
            <w:pPr>
              <w:pStyle w:val="P2"/>
              <w:spacing w:before="360" w:after="240"/>
              <w:rPr>
                <w:rFonts w:ascii="Arial Narrow" w:hAnsi="Arial Narrow"/>
                <w:sz w:val="24"/>
              </w:rPr>
            </w:pPr>
            <w:r>
              <w:rPr>
                <w:rFonts w:ascii="Arial Narrow" w:hAnsi="Arial Narrow"/>
                <w:sz w:val="24"/>
              </w:rPr>
              <w:t xml:space="preserve">Special characteristics of certain energy balances </w:t>
            </w:r>
          </w:p>
          <w:p>
            <w:pPr>
              <w:pStyle w:val="P1"/>
              <w:spacing w:after="120"/>
              <w:rPr>
                <w:rFonts w:ascii="Arial Narrow" w:hAnsi="Arial Narrow"/>
                <w:sz w:val="21"/>
              </w:rPr>
            </w:pPr>
            <w:r>
              <w:rPr>
                <w:rFonts w:ascii="Arial Narrow" w:hAnsi="Arial Narrow"/>
                <w:sz w:val="21"/>
              </w:rPr>
              <w:t xml:space="preserve">Electricity balance </w:t>
            </w:r>
          </w:p>
          <w:p>
            <w:pPr>
              <w:spacing w:lineRule="auto" w:line="264" w:before="120"/>
              <w:jc w:val="both"/>
              <w:rPr>
                <w:rFonts w:ascii="Arial Narrow" w:hAnsi="Arial Narrow"/>
                <w:sz w:val="21"/>
              </w:rPr>
            </w:pPr>
            <w:r>
              <w:rPr>
                <w:rFonts w:ascii="Arial Narrow" w:hAnsi="Arial Narrow"/>
                <w:sz w:val="21"/>
              </w:rPr>
              <w:t>Production of hydroelectrical energy also includes production in reversible hydro power plants.</w:t>
            </w:r>
          </w:p>
          <w:p>
            <w:pPr>
              <w:spacing w:lineRule="auto" w:line="264" w:before="120"/>
              <w:jc w:val="both"/>
              <w:rPr>
                <w:rFonts w:ascii="Arial Narrow" w:hAnsi="Arial Narrow"/>
                <w:sz w:val="21"/>
              </w:rPr>
            </w:pPr>
            <w:r>
              <w:rPr>
                <w:rFonts w:ascii="Arial Narrow" w:hAnsi="Arial Narrow"/>
                <w:sz w:val="21"/>
              </w:rPr>
              <w:t>Quantities of electricity that crossed the national border are provided by Serbian Transmission System.</w:t>
            </w:r>
          </w:p>
          <w:p>
            <w:pPr>
              <w:spacing w:lineRule="auto" w:line="264" w:before="120"/>
              <w:jc w:val="both"/>
              <w:rPr>
                <w:rFonts w:ascii="Arial Narrow" w:hAnsi="Arial Narrow"/>
                <w:sz w:val="21"/>
              </w:rPr>
            </w:pPr>
            <w:r>
              <w:rPr>
                <w:rFonts w:ascii="Arial Narrow" w:hAnsi="Arial Narrow"/>
                <w:sz w:val="21"/>
              </w:rPr>
              <w:t>Own use of electricity contains losses in transformers which are considered as integral parts of the plants.</w:t>
            </w:r>
          </w:p>
          <w:p>
            <w:pPr>
              <w:pStyle w:val="P1"/>
              <w:spacing w:before="120" w:after="0"/>
              <w:jc w:val="both"/>
              <w:rPr>
                <w:rFonts w:ascii="Arial Narrow" w:hAnsi="Arial Narrow"/>
                <w:b w:val="1"/>
                <w:sz w:val="21"/>
              </w:rPr>
            </w:pPr>
            <w:r>
              <w:rPr>
                <w:rFonts w:ascii="Arial Narrow" w:hAnsi="Arial Narrow"/>
                <w:b w:val="0"/>
                <w:sz w:val="21"/>
              </w:rPr>
              <w:t xml:space="preserve">All positions </w:t>
            </w:r>
            <w:r>
              <w:rPr>
                <w:rFonts w:ascii="Arial Narrow" w:hAnsi="Arial Narrow"/>
                <w:b w:val="0"/>
                <w:sz w:val="21"/>
              </w:rPr>
              <w:t xml:space="preserve">of </w:t>
            </w:r>
            <w:r>
              <w:rPr>
                <w:rFonts w:ascii="Arial Narrow" w:hAnsi="Arial Narrow"/>
                <w:b w:val="0"/>
                <w:i w:val="1"/>
                <w:sz w:val="21"/>
              </w:rPr>
              <w:t>Final energy consumption</w:t>
            </w:r>
            <w:r>
              <w:rPr>
                <w:rFonts w:ascii="Arial Narrow" w:hAnsi="Arial Narrow"/>
                <w:b w:val="0"/>
                <w:i w:val="1"/>
                <w:sz w:val="21"/>
              </w:rPr>
              <w:t xml:space="preserve"> </w:t>
            </w:r>
            <w:r>
              <w:rPr>
                <w:rFonts w:ascii="Arial Narrow" w:hAnsi="Arial Narrow"/>
                <w:b w:val="0"/>
                <w:sz w:val="21"/>
              </w:rPr>
              <w:t>present</w:t>
            </w:r>
            <w:r>
              <w:rPr>
                <w:rFonts w:ascii="Arial Narrow" w:hAnsi="Arial Narrow"/>
                <w:b w:val="0"/>
                <w:sz w:val="21"/>
              </w:rPr>
              <w:t xml:space="preserve"> estimation of distributive organizations of Electric Power Industry of Serbia. </w:t>
            </w:r>
          </w:p>
        </w:tc>
      </w:tr>
    </w:tbl>
    <w:p/>
    <w:p/>
    <w:p/>
    <w:tbl>
      <w:tblPr>
        <w:tblStyle w:val="T2"/>
        <w:tblW w:w="0" w:type="auto"/>
        <w:jc w:val="center"/>
        <w:tblLayout w:type="autofit"/>
        <w:tblCellMar>
          <w:left w:w="28" w:type="dxa"/>
          <w:right w:w="28" w:type="dxa"/>
        </w:tblCellMar>
      </w:tblPr>
      <w:tblGrid/>
      <w:tr>
        <w:trPr>
          <w:wAfter w:w="0" w:type="dxa"/>
          <w:trHeight w:hRule="atLeast" w:val="14345"/>
        </w:trPr>
        <w:tc>
          <w:tcPr>
            <w:tcW w:w="4593" w:type="dxa"/>
          </w:tcPr>
          <w:p>
            <w:pPr>
              <w:spacing w:before="120"/>
              <w:jc w:val="both"/>
              <w:rPr>
                <w:rFonts w:ascii="Arial Narrow" w:hAnsi="Arial Narrow"/>
                <w:b w:val="1"/>
                <w:sz w:val="21"/>
              </w:rPr>
            </w:pPr>
            <w:r>
              <w:rPr>
                <w:rFonts w:ascii="Arial Narrow" w:hAnsi="Arial Narrow"/>
                <w:b w:val="1"/>
                <w:sz w:val="21"/>
              </w:rPr>
              <w:t>Енергетски</w:t>
            </w:r>
            <w:r>
              <w:rPr>
                <w:rFonts w:ascii="Arial Narrow" w:hAnsi="Arial Narrow"/>
                <w:b w:val="1"/>
                <w:sz w:val="21"/>
              </w:rPr>
              <w:t xml:space="preserve"> </w:t>
            </w:r>
            <w:r>
              <w:rPr>
                <w:rFonts w:ascii="Arial Narrow" w:hAnsi="Arial Narrow"/>
                <w:b w:val="1"/>
                <w:sz w:val="21"/>
              </w:rPr>
              <w:t>биланс</w:t>
            </w:r>
            <w:r>
              <w:rPr>
                <w:rFonts w:ascii="Arial Narrow" w:hAnsi="Arial Narrow"/>
                <w:b w:val="1"/>
                <w:sz w:val="21"/>
              </w:rPr>
              <w:t xml:space="preserve"> </w:t>
            </w:r>
            <w:r>
              <w:rPr>
                <w:rFonts w:ascii="Arial Narrow" w:hAnsi="Arial Narrow"/>
                <w:b w:val="1"/>
                <w:sz w:val="21"/>
              </w:rPr>
              <w:t>топлотне</w:t>
            </w:r>
            <w:r>
              <w:rPr>
                <w:rFonts w:ascii="Arial Narrow" w:hAnsi="Arial Narrow"/>
                <w:b w:val="1"/>
                <w:sz w:val="21"/>
              </w:rPr>
              <w:t xml:space="preserve"> </w:t>
            </w:r>
            <w:r>
              <w:rPr>
                <w:rFonts w:ascii="Arial Narrow" w:hAnsi="Arial Narrow"/>
                <w:b w:val="1"/>
                <w:sz w:val="21"/>
              </w:rPr>
              <w:t>енергије</w:t>
            </w:r>
            <w:r>
              <w:rPr>
                <w:rFonts w:ascii="Arial Narrow" w:hAnsi="Arial Narrow"/>
                <w:b w:val="1"/>
                <w:sz w:val="21"/>
              </w:rPr>
              <w:t xml:space="preserve">   </w:t>
            </w:r>
          </w:p>
          <w:p>
            <w:pPr>
              <w:pStyle w:val="P24"/>
              <w:spacing w:before="120"/>
              <w:rPr>
                <w:rFonts w:ascii="Arial Narrow" w:hAnsi="Arial Narrow"/>
                <w:sz w:val="21"/>
              </w:rPr>
            </w:pPr>
            <w:r>
              <w:rPr>
                <w:rFonts w:ascii="Arial Narrow" w:hAnsi="Arial Narrow"/>
                <w:sz w:val="21"/>
              </w:rPr>
              <w:t xml:space="preserve">Већина произвођача топлотне енергије, услед тога што не поседује уређаје за мерење произведене и предате топлотне енергије, уложили су напор и извршили стручну процену тражених података у нашим упитни-цима. </w:t>
            </w:r>
          </w:p>
          <w:p>
            <w:pPr>
              <w:pStyle w:val="P24"/>
              <w:spacing w:before="240" w:after="120"/>
              <w:rPr>
                <w:rFonts w:ascii="Arial Narrow" w:hAnsi="Arial Narrow"/>
                <w:b w:val="1"/>
                <w:sz w:val="21"/>
              </w:rPr>
            </w:pPr>
            <w:r>
              <w:rPr>
                <w:rFonts w:ascii="Arial Narrow" w:hAnsi="Arial Narrow"/>
                <w:b w:val="1"/>
                <w:sz w:val="21"/>
              </w:rPr>
              <w:t>Енергетски</w:t>
            </w:r>
            <w:r>
              <w:rPr>
                <w:rFonts w:ascii="Arial Narrow" w:hAnsi="Arial Narrow"/>
                <w:b w:val="1"/>
                <w:sz w:val="21"/>
              </w:rPr>
              <w:t xml:space="preserve"> </w:t>
            </w:r>
            <w:r>
              <w:rPr>
                <w:rFonts w:ascii="Arial Narrow" w:hAnsi="Arial Narrow"/>
                <w:b w:val="1"/>
                <w:sz w:val="21"/>
              </w:rPr>
              <w:t>биланс</w:t>
            </w:r>
            <w:r>
              <w:rPr>
                <w:rFonts w:ascii="Arial Narrow" w:hAnsi="Arial Narrow"/>
                <w:b w:val="1"/>
                <w:sz w:val="21"/>
              </w:rPr>
              <w:t xml:space="preserve"> </w:t>
            </w:r>
            <w:r>
              <w:rPr>
                <w:rFonts w:ascii="Arial Narrow" w:hAnsi="Arial Narrow"/>
                <w:b w:val="1"/>
                <w:sz w:val="21"/>
              </w:rPr>
              <w:t>угља</w:t>
            </w:r>
            <w:r>
              <w:rPr>
                <w:rFonts w:ascii="Arial Narrow" w:hAnsi="Arial Narrow"/>
                <w:b w:val="1"/>
                <w:sz w:val="21"/>
              </w:rPr>
              <w:t xml:space="preserve">   </w:t>
            </w:r>
          </w:p>
          <w:p>
            <w:pPr>
              <w:pStyle w:val="P24"/>
              <w:spacing w:before="120"/>
              <w:rPr>
                <w:rFonts w:ascii="Arial Narrow" w:hAnsi="Arial Narrow"/>
                <w:sz w:val="21"/>
              </w:rPr>
            </w:pPr>
            <w:r>
              <w:rPr>
                <w:rFonts w:ascii="Arial Narrow" w:hAnsi="Arial Narrow"/>
                <w:sz w:val="21"/>
              </w:rPr>
              <w:t xml:space="preserve">Позиције </w:t>
            </w:r>
            <w:r>
              <w:rPr>
                <w:rFonts w:ascii="Arial Narrow" w:hAnsi="Arial Narrow"/>
                <w:i w:val="1"/>
                <w:sz w:val="21"/>
              </w:rPr>
              <w:t>Финалне</w:t>
            </w:r>
            <w:r>
              <w:rPr>
                <w:rFonts w:ascii="Arial Narrow" w:hAnsi="Arial Narrow"/>
                <w:i w:val="1"/>
                <w:sz w:val="21"/>
              </w:rPr>
              <w:t xml:space="preserve"> </w:t>
            </w:r>
            <w:r>
              <w:rPr>
                <w:rFonts w:ascii="Arial Narrow" w:hAnsi="Arial Narrow"/>
                <w:i w:val="1"/>
                <w:sz w:val="21"/>
              </w:rPr>
              <w:t>потрошње</w:t>
            </w:r>
            <w:r>
              <w:rPr>
                <w:rFonts w:ascii="Arial Narrow" w:hAnsi="Arial Narrow"/>
                <w:i w:val="1"/>
                <w:sz w:val="21"/>
              </w:rPr>
              <w:t xml:space="preserve"> </w:t>
            </w:r>
            <w:r>
              <w:rPr>
                <w:rFonts w:ascii="Arial Narrow" w:hAnsi="Arial Narrow"/>
                <w:i w:val="1"/>
                <w:sz w:val="21"/>
              </w:rPr>
              <w:t>за</w:t>
            </w:r>
            <w:r>
              <w:rPr>
                <w:rFonts w:ascii="Arial Narrow" w:hAnsi="Arial Narrow"/>
                <w:i w:val="1"/>
                <w:sz w:val="21"/>
              </w:rPr>
              <w:t xml:space="preserve"> </w:t>
            </w:r>
            <w:r>
              <w:rPr>
                <w:rFonts w:ascii="Arial Narrow" w:hAnsi="Arial Narrow"/>
                <w:i w:val="1"/>
                <w:sz w:val="21"/>
              </w:rPr>
              <w:t>енергетске</w:t>
            </w:r>
            <w:r>
              <w:rPr>
                <w:rFonts w:ascii="Arial Narrow" w:hAnsi="Arial Narrow"/>
                <w:i w:val="1"/>
                <w:sz w:val="21"/>
              </w:rPr>
              <w:t xml:space="preserve"> </w:t>
            </w:r>
            <w:r>
              <w:rPr>
                <w:rFonts w:ascii="Arial Narrow" w:hAnsi="Arial Narrow"/>
                <w:i w:val="1"/>
                <w:sz w:val="21"/>
              </w:rPr>
              <w:t>сврхе</w:t>
            </w:r>
            <w:r>
              <w:rPr>
                <w:rFonts w:ascii="Arial Narrow" w:hAnsi="Arial Narrow"/>
                <w:i w:val="1"/>
                <w:sz w:val="21"/>
              </w:rPr>
              <w:t xml:space="preserve"> </w:t>
            </w:r>
            <w:r>
              <w:rPr>
                <w:rFonts w:ascii="Arial Narrow" w:hAnsi="Arial Narrow"/>
                <w:sz w:val="21"/>
              </w:rPr>
              <w:t xml:space="preserve"> представљају процену урађену на основу података који су добијени спровођењем статистичких истраживања статистике енергетике, спољне трговине, индустрије, грађевинарства, саобраћаја, пољопривреде, шумар-ства, и потрошње становништва.</w:t>
            </w:r>
          </w:p>
          <w:p>
            <w:pPr>
              <w:pStyle w:val="P24"/>
              <w:spacing w:before="360" w:after="240"/>
              <w:rPr>
                <w:rFonts w:ascii="Arial Narrow" w:hAnsi="Arial Narrow"/>
                <w:b w:val="1"/>
                <w:sz w:val="24"/>
              </w:rPr>
            </w:pPr>
            <w:r>
              <w:rPr>
                <w:rFonts w:ascii="Arial Narrow" w:hAnsi="Arial Narrow"/>
                <w:b w:val="1"/>
                <w:sz w:val="24"/>
              </w:rPr>
              <w:t>Изведени</w:t>
            </w:r>
            <w:r>
              <w:rPr>
                <w:rFonts w:ascii="Arial Narrow" w:hAnsi="Arial Narrow"/>
                <w:b w:val="1"/>
                <w:sz w:val="24"/>
              </w:rPr>
              <w:t xml:space="preserve"> </w:t>
            </w:r>
            <w:r>
              <w:rPr>
                <w:rFonts w:ascii="Arial Narrow" w:hAnsi="Arial Narrow"/>
                <w:b w:val="1"/>
                <w:sz w:val="24"/>
              </w:rPr>
              <w:t>показатељи</w:t>
            </w:r>
          </w:p>
          <w:p>
            <w:pPr>
              <w:pStyle w:val="P24"/>
              <w:spacing w:before="120"/>
              <w:rPr>
                <w:rFonts w:ascii="Arial Narrow" w:hAnsi="Arial Narrow"/>
                <w:sz w:val="21"/>
              </w:rPr>
            </w:pPr>
            <w:r>
              <w:rPr>
                <w:rFonts w:ascii="Arial Narrow" w:hAnsi="Arial Narrow"/>
                <w:b w:val="1"/>
                <w:i w:val="1"/>
                <w:sz w:val="21"/>
              </w:rPr>
              <w:t>Потрошња</w:t>
            </w:r>
            <w:r>
              <w:rPr>
                <w:rFonts w:ascii="Arial Narrow" w:hAnsi="Arial Narrow"/>
                <w:b w:val="1"/>
                <w:i w:val="1"/>
                <w:sz w:val="21"/>
              </w:rPr>
              <w:t xml:space="preserve"> </w:t>
            </w:r>
            <w:r>
              <w:rPr>
                <w:rFonts w:ascii="Arial Narrow" w:hAnsi="Arial Narrow"/>
                <w:b w:val="1"/>
                <w:i w:val="1"/>
                <w:sz w:val="21"/>
              </w:rPr>
              <w:t>електричне</w:t>
            </w:r>
            <w:r>
              <w:rPr>
                <w:rFonts w:ascii="Arial Narrow" w:hAnsi="Arial Narrow"/>
                <w:b w:val="1"/>
                <w:i w:val="1"/>
                <w:sz w:val="21"/>
              </w:rPr>
              <w:t xml:space="preserve"> </w:t>
            </w:r>
            <w:r>
              <w:rPr>
                <w:rFonts w:ascii="Arial Narrow" w:hAnsi="Arial Narrow"/>
                <w:b w:val="1"/>
                <w:i w:val="1"/>
                <w:sz w:val="21"/>
              </w:rPr>
              <w:t>енергије</w:t>
            </w:r>
            <w:r>
              <w:rPr>
                <w:rFonts w:ascii="Arial Narrow" w:hAnsi="Arial Narrow"/>
                <w:b w:val="1"/>
                <w:i w:val="1"/>
                <w:sz w:val="21"/>
              </w:rPr>
              <w:t xml:space="preserve"> </w:t>
            </w:r>
            <w:r>
              <w:rPr>
                <w:rFonts w:ascii="Arial Narrow" w:hAnsi="Arial Narrow"/>
                <w:b w:val="1"/>
                <w:i w:val="1"/>
                <w:sz w:val="21"/>
              </w:rPr>
              <w:t>по</w:t>
            </w:r>
            <w:r>
              <w:rPr>
                <w:rFonts w:ascii="Arial Narrow" w:hAnsi="Arial Narrow"/>
                <w:b w:val="1"/>
                <w:i w:val="1"/>
                <w:sz w:val="21"/>
              </w:rPr>
              <w:t xml:space="preserve"> </w:t>
            </w:r>
            <w:r>
              <w:rPr>
                <w:rFonts w:ascii="Arial Narrow" w:hAnsi="Arial Narrow"/>
                <w:b w:val="1"/>
                <w:i w:val="1"/>
                <w:sz w:val="21"/>
              </w:rPr>
              <w:t>становнику</w:t>
            </w:r>
            <w:r>
              <w:rPr>
                <w:rFonts w:ascii="Arial Narrow" w:hAnsi="Arial Narrow"/>
                <w:b w:val="1"/>
                <w:i w:val="1"/>
                <w:sz w:val="21"/>
              </w:rPr>
              <w:t xml:space="preserve"> </w:t>
            </w:r>
            <w:r>
              <w:rPr>
                <w:rFonts w:ascii="Arial Narrow" w:hAnsi="Arial Narrow"/>
                <w:sz w:val="21"/>
              </w:rPr>
              <w:t>израчуната је на следећи начин:</w:t>
            </w:r>
          </w:p>
          <w:p>
            <w:pPr>
              <w:pStyle w:val="P24"/>
              <w:spacing w:before="120"/>
              <w:rPr>
                <w:rFonts w:ascii="Arial Narrow" w:hAnsi="Arial Narrow"/>
                <w:sz w:val="21"/>
              </w:rPr>
            </w:pPr>
            <w:r>
              <w:rPr>
                <w:rFonts w:ascii="Arial Narrow" w:hAnsi="Arial Narrow"/>
                <w:sz w:val="21"/>
              </w:rPr>
              <w:t>(Енергија расположива за финалну потрошњу + Сопствена потрошња у енергетском сектору) / Број становника</w:t>
            </w:r>
            <w:r>
              <w:rPr>
                <w:rFonts w:ascii="Arial Narrow" w:hAnsi="Arial Narrow"/>
                <w:sz w:val="21"/>
                <w:vertAlign w:val="superscript"/>
              </w:rPr>
              <w:t>3)</w:t>
            </w:r>
          </w:p>
          <w:p>
            <w:pPr>
              <w:pStyle w:val="P24"/>
              <w:spacing w:before="120"/>
              <w:rPr>
                <w:rFonts w:ascii="Arial Narrow" w:hAnsi="Arial Narrow"/>
                <w:sz w:val="21"/>
              </w:rPr>
            </w:pPr>
            <w:r>
              <w:rPr>
                <w:rFonts w:ascii="Arial Narrow" w:hAnsi="Arial Narrow"/>
                <w:b w:val="1"/>
                <w:i w:val="1"/>
                <w:sz w:val="21"/>
              </w:rPr>
              <w:t>Енергетска</w:t>
            </w:r>
            <w:r>
              <w:rPr>
                <w:rFonts w:ascii="Arial Narrow" w:hAnsi="Arial Narrow"/>
                <w:b w:val="1"/>
                <w:i w:val="1"/>
                <w:sz w:val="21"/>
              </w:rPr>
              <w:t xml:space="preserve"> </w:t>
            </w:r>
            <w:r>
              <w:rPr>
                <w:rFonts w:ascii="Arial Narrow" w:hAnsi="Arial Narrow"/>
                <w:b w:val="1"/>
                <w:i w:val="1"/>
                <w:sz w:val="21"/>
              </w:rPr>
              <w:t>ефикасност</w:t>
            </w:r>
            <w:r>
              <w:rPr>
                <w:rFonts w:ascii="Arial Narrow" w:hAnsi="Arial Narrow"/>
                <w:b w:val="1"/>
                <w:i w:val="1"/>
                <w:sz w:val="21"/>
              </w:rPr>
              <w:t xml:space="preserve"> </w:t>
            </w:r>
            <w:r>
              <w:rPr>
                <w:rFonts w:ascii="Arial Narrow" w:hAnsi="Arial Narrow"/>
                <w:b w:val="1"/>
                <w:i w:val="1"/>
                <w:sz w:val="21"/>
              </w:rPr>
              <w:t>у</w:t>
            </w:r>
            <w:r>
              <w:rPr>
                <w:rFonts w:ascii="Arial Narrow" w:hAnsi="Arial Narrow"/>
                <w:b w:val="1"/>
                <w:i w:val="1"/>
                <w:sz w:val="21"/>
              </w:rPr>
              <w:t xml:space="preserve"> </w:t>
            </w:r>
            <w:r>
              <w:rPr>
                <w:rFonts w:ascii="Arial Narrow" w:hAnsi="Arial Narrow"/>
                <w:b w:val="1"/>
                <w:i w:val="1"/>
                <w:sz w:val="21"/>
              </w:rPr>
              <w:t>производњи</w:t>
            </w:r>
            <w:r>
              <w:rPr>
                <w:rFonts w:ascii="Arial Narrow" w:hAnsi="Arial Narrow"/>
                <w:b w:val="1"/>
                <w:i w:val="1"/>
                <w:sz w:val="21"/>
              </w:rPr>
              <w:t xml:space="preserve"> </w:t>
            </w:r>
            <w:r>
              <w:rPr>
                <w:rFonts w:ascii="Arial Narrow" w:hAnsi="Arial Narrow"/>
                <w:b w:val="1"/>
                <w:i w:val="1"/>
                <w:sz w:val="21"/>
              </w:rPr>
              <w:t>термо</w:t>
            </w:r>
            <w:r>
              <w:rPr>
                <w:rFonts w:ascii="Arial Narrow" w:hAnsi="Arial Narrow"/>
                <w:b w:val="1"/>
                <w:i w:val="1"/>
                <w:sz w:val="21"/>
              </w:rPr>
              <w:t>-</w:t>
            </w:r>
            <w:r>
              <w:rPr>
                <w:rFonts w:ascii="Arial Narrow" w:hAnsi="Arial Narrow"/>
                <w:b w:val="1"/>
                <w:i w:val="1"/>
                <w:sz w:val="21"/>
              </w:rPr>
              <w:t>еле</w:t>
            </w:r>
            <w:r>
              <w:rPr>
                <w:rFonts w:ascii="Arial Narrow" w:hAnsi="Arial Narrow"/>
                <w:b w:val="1"/>
                <w:i w:val="1"/>
                <w:sz w:val="21"/>
              </w:rPr>
              <w:t>ктричне</w:t>
            </w:r>
            <w:r>
              <w:rPr>
                <w:rFonts w:ascii="Arial Narrow" w:hAnsi="Arial Narrow"/>
                <w:b w:val="1"/>
                <w:i w:val="1"/>
                <w:sz w:val="21"/>
              </w:rPr>
              <w:t xml:space="preserve"> </w:t>
            </w:r>
            <w:r>
              <w:rPr>
                <w:rFonts w:ascii="Arial Narrow" w:hAnsi="Arial Narrow"/>
                <w:b w:val="1"/>
                <w:i w:val="1"/>
                <w:sz w:val="21"/>
              </w:rPr>
              <w:t>и</w:t>
            </w:r>
            <w:r>
              <w:rPr>
                <w:rFonts w:ascii="Arial Narrow" w:hAnsi="Arial Narrow"/>
                <w:b w:val="1"/>
                <w:i w:val="1"/>
                <w:sz w:val="21"/>
              </w:rPr>
              <w:t xml:space="preserve"> </w:t>
            </w:r>
            <w:r>
              <w:rPr>
                <w:rFonts w:ascii="Arial Narrow" w:hAnsi="Arial Narrow"/>
                <w:b w:val="1"/>
                <w:i w:val="1"/>
                <w:sz w:val="21"/>
              </w:rPr>
              <w:t>топлотне</w:t>
            </w:r>
            <w:r>
              <w:rPr>
                <w:rFonts w:ascii="Arial Narrow" w:hAnsi="Arial Narrow"/>
                <w:sz w:val="21"/>
              </w:rPr>
              <w:t xml:space="preserve"> </w:t>
            </w:r>
            <w:r>
              <w:rPr>
                <w:rFonts w:ascii="Arial Narrow" w:hAnsi="Arial Narrow"/>
                <w:b w:val="1"/>
                <w:i w:val="1"/>
                <w:sz w:val="21"/>
              </w:rPr>
              <w:t>енергије</w:t>
            </w:r>
            <w:r>
              <w:rPr>
                <w:rFonts w:ascii="Arial Narrow" w:hAnsi="Arial Narrow"/>
                <w:sz w:val="21"/>
              </w:rPr>
              <w:t xml:space="preserve"> израчуната је на следећи начин: </w:t>
            </w:r>
            <w:r>
              <w:rPr>
                <w:rFonts w:ascii="Symbol" w:hAnsi="Symbol"/>
                <w:sz w:val="21"/>
              </w:rPr>
              <w:t>[</w:t>
            </w:r>
            <w:r>
              <w:rPr>
                <w:rFonts w:ascii="Arial Narrow" w:hAnsi="Arial Narrow"/>
                <w:sz w:val="21"/>
              </w:rPr>
              <w:t>(Произведена термоелектрична енергија и топлотна енергија у ТЈ) / Утрошено гориво за производњу термоелектричне и топлотне енергије у ТЈ</w:t>
            </w:r>
            <w:r>
              <w:rPr>
                <w:rFonts w:ascii="Symbol" w:hAnsi="Symbol"/>
                <w:sz w:val="21"/>
              </w:rPr>
              <w:t>]</w:t>
            </w:r>
            <w:r>
              <w:rPr>
                <w:rFonts w:ascii="Arial Narrow" w:hAnsi="Arial Narrow"/>
                <w:sz w:val="21"/>
              </w:rPr>
              <w:t xml:space="preserve"> х 100.</w:t>
            </w:r>
          </w:p>
          <w:p>
            <w:pPr>
              <w:pStyle w:val="P24"/>
              <w:spacing w:before="120"/>
              <w:rPr>
                <w:rFonts w:ascii="Arial Narrow" w:hAnsi="Arial Narrow"/>
                <w:sz w:val="21"/>
              </w:rPr>
            </w:pPr>
          </w:p>
          <w:p>
            <w:pPr>
              <w:pStyle w:val="P24"/>
              <w:spacing w:before="120"/>
              <w:rPr>
                <w:rFonts w:ascii="Arial Narrow" w:hAnsi="Arial Narrow"/>
                <w:sz w:val="21"/>
              </w:rPr>
            </w:pPr>
          </w:p>
          <w:p>
            <w:pPr>
              <w:pStyle w:val="P24"/>
              <w:spacing w:before="120"/>
              <w:rPr>
                <w:rFonts w:ascii="Arial Narrow" w:hAnsi="Arial Narrow"/>
                <w:b w:val="1"/>
                <w:i w:val="1"/>
                <w:sz w:val="21"/>
              </w:rPr>
            </w:pPr>
            <w:r>
              <w:rPr>
                <w:rFonts w:ascii="Arial Narrow" w:hAnsi="Arial Narrow"/>
                <w:b w:val="1"/>
                <w:i w:val="1"/>
                <w:sz w:val="21"/>
              </w:rPr>
              <w:t xml:space="preserve">Захваљујемо </w:t>
            </w:r>
            <w:r>
              <w:rPr>
                <w:rFonts w:ascii="Arial Narrow" w:hAnsi="Arial Narrow"/>
                <w:b w:val="1"/>
                <w:i w:val="1"/>
                <w:sz w:val="21"/>
              </w:rPr>
              <w:t xml:space="preserve">се </w:t>
            </w:r>
            <w:r>
              <w:rPr>
                <w:rFonts w:ascii="Arial Narrow" w:hAnsi="Arial Narrow"/>
                <w:b w:val="1"/>
                <w:i w:val="1"/>
                <w:sz w:val="21"/>
              </w:rPr>
              <w:t>свима који су с</w:t>
            </w:r>
            <w:r>
              <w:rPr>
                <w:rFonts w:ascii="Arial Narrow" w:hAnsi="Arial Narrow"/>
                <w:b w:val="1"/>
                <w:i w:val="1"/>
                <w:sz w:val="21"/>
              </w:rPr>
              <w:t>а</w:t>
            </w:r>
            <w:r>
              <w:rPr>
                <w:rFonts w:ascii="Arial Narrow" w:hAnsi="Arial Narrow"/>
                <w:b w:val="1"/>
                <w:i w:val="1"/>
                <w:sz w:val="21"/>
              </w:rPr>
              <w:t xml:space="preserve"> пуно добре </w:t>
            </w:r>
            <w:r>
              <w:rPr>
                <w:rFonts w:ascii="Arial Narrow" w:hAnsi="Arial Narrow"/>
                <w:b w:val="1"/>
                <w:i w:val="1"/>
                <w:sz w:val="21"/>
              </w:rPr>
              <w:t xml:space="preserve">    </w:t>
            </w:r>
            <w:r>
              <w:rPr>
                <w:rFonts w:ascii="Arial Narrow" w:hAnsi="Arial Narrow"/>
                <w:b w:val="1"/>
                <w:i w:val="1"/>
                <w:sz w:val="21"/>
              </w:rPr>
              <w:t>воље</w:t>
            </w:r>
            <w:r>
              <w:rPr>
                <w:rFonts w:ascii="Arial Narrow" w:hAnsi="Arial Narrow"/>
                <w:b w:val="1"/>
                <w:i w:val="1"/>
                <w:sz w:val="21"/>
              </w:rPr>
              <w:t xml:space="preserve"> </w:t>
            </w:r>
            <w:r>
              <w:rPr>
                <w:rFonts w:ascii="Arial Narrow" w:hAnsi="Arial Narrow"/>
                <w:b w:val="1"/>
                <w:i w:val="1"/>
                <w:sz w:val="21"/>
              </w:rPr>
              <w:t>и</w:t>
            </w:r>
            <w:r>
              <w:rPr>
                <w:rFonts w:ascii="Arial Narrow" w:hAnsi="Arial Narrow"/>
                <w:b w:val="1"/>
                <w:i w:val="1"/>
                <w:sz w:val="21"/>
              </w:rPr>
              <w:t xml:space="preserve"> </w:t>
            </w:r>
            <w:r>
              <w:rPr>
                <w:rFonts w:ascii="Arial Narrow" w:hAnsi="Arial Narrow"/>
                <w:b w:val="1"/>
                <w:i w:val="1"/>
                <w:sz w:val="21"/>
              </w:rPr>
              <w:t>ентузијазма помогли у изради енергетских биланса.</w:t>
            </w:r>
          </w:p>
          <w:p>
            <w:pPr>
              <w:pStyle w:val="P2"/>
              <w:jc w:val="both"/>
              <w:rPr>
                <w:rFonts w:ascii="Arial Narrow" w:hAnsi="Arial Narrow"/>
                <w:b w:val="1"/>
                <w:vertAlign w:val="superscript"/>
              </w:rPr>
            </w:pPr>
          </w:p>
          <w:p/>
          <w:p/>
          <w:p/>
          <w:p/>
          <w:p/>
          <w:p/>
          <w:p/>
          <w:p/>
          <w:p/>
          <w:p/>
          <w:p/>
          <w:p/>
          <w:p/>
          <w:p/>
          <w:p/>
          <w:p/>
          <w:p/>
          <w:p/>
          <w:p/>
          <w:p/>
          <w:p>
            <w:pPr>
              <w:jc w:val="both"/>
            </w:pPr>
          </w:p>
          <w:p>
            <w:pPr>
              <w:jc w:val="both"/>
              <w:rPr>
                <w:rFonts w:ascii="Arial Narrow" w:hAnsi="Arial Narrow"/>
                <w:sz w:val="14"/>
              </w:rPr>
            </w:pPr>
            <w:r>
              <w:rPr>
                <w:rFonts w:ascii="Arial Narrow" w:hAnsi="Arial Narrow"/>
                <w:sz w:val="14"/>
                <w:vertAlign w:val="superscript"/>
              </w:rPr>
              <w:t xml:space="preserve">3) </w:t>
            </w:r>
            <w:r>
              <w:rPr>
                <w:rFonts w:ascii="Arial Narrow" w:hAnsi="Arial Narrow"/>
                <w:sz w:val="14"/>
              </w:rPr>
              <w:t>Процењен број становника (средином године).</w:t>
            </w:r>
            <w:r>
              <w:t xml:space="preserve">                 </w:t>
            </w:r>
            <w:r>
              <w:rPr>
                <w:rFonts w:ascii="Arial Narrow" w:hAnsi="Arial Narrow"/>
                <w:b w:val="1"/>
                <w:vertAlign w:val="superscript"/>
              </w:rPr>
              <w:tab/>
            </w:r>
            <w:r>
              <w:rPr>
                <w:rFonts w:ascii="Arial Narrow" w:hAnsi="Arial Narrow"/>
                <w:b w:val="1"/>
                <w:vertAlign w:val="superscript"/>
              </w:rPr>
              <w:t xml:space="preserve">                                                                                   </w:t>
            </w:r>
            <w:r>
              <w:rPr>
                <w:rFonts w:ascii="Arial Narrow" w:hAnsi="Arial Narrow"/>
                <w:b w:val="1"/>
                <w:vertAlign w:val="superscript"/>
              </w:rPr>
              <w:t xml:space="preserve">                                         </w:t>
            </w:r>
          </w:p>
        </w:tc>
        <w:tc>
          <w:tcPr>
            <w:tcW w:w="454" w:type="dxa"/>
          </w:tcPr>
          <w:p>
            <w:pPr>
              <w:pStyle w:val="P1"/>
              <w:spacing w:before="0" w:after="0"/>
              <w:jc w:val="both"/>
              <w:rPr>
                <w:rFonts w:ascii="Arial Narrow" w:hAnsi="Arial Narrow"/>
                <w:b w:val="1"/>
                <w:sz w:val="21"/>
              </w:rPr>
            </w:pPr>
          </w:p>
        </w:tc>
        <w:tc>
          <w:tcPr>
            <w:tcW w:w="4593" w:type="dxa"/>
          </w:tcPr>
          <w:p>
            <w:pPr>
              <w:pStyle w:val="P1"/>
              <w:spacing w:lineRule="auto" w:line="288" w:before="120" w:after="0"/>
              <w:rPr>
                <w:rFonts w:ascii="Arial Narrow" w:hAnsi="Arial Narrow"/>
                <w:sz w:val="21"/>
              </w:rPr>
            </w:pPr>
            <w:r>
              <w:rPr>
                <w:rFonts w:ascii="Arial Narrow" w:hAnsi="Arial Narrow"/>
                <w:sz w:val="21"/>
              </w:rPr>
              <w:t xml:space="preserve">Heat energy balance </w:t>
            </w:r>
          </w:p>
          <w:p>
            <w:pPr>
              <w:pStyle w:val="P1"/>
              <w:spacing w:lineRule="auto" w:line="288" w:before="120" w:after="0"/>
              <w:jc w:val="both"/>
              <w:rPr>
                <w:rFonts w:ascii="Arial Narrow" w:hAnsi="Arial Narrow"/>
                <w:b w:val="1"/>
                <w:sz w:val="21"/>
              </w:rPr>
            </w:pPr>
            <w:r>
              <w:rPr>
                <w:rFonts w:ascii="Arial Narrow" w:hAnsi="Arial Narrow"/>
                <w:b w:val="0"/>
                <w:sz w:val="21"/>
              </w:rPr>
              <w:t>Most of the heat producers, because they don’t posse</w:t>
            </w:r>
            <w:r>
              <w:rPr>
                <w:rFonts w:ascii="Arial Narrow" w:hAnsi="Arial Narrow"/>
                <w:b w:val="0"/>
                <w:sz w:val="21"/>
              </w:rPr>
              <w:t>s</w:t>
            </w:r>
            <w:r>
              <w:rPr>
                <w:rFonts w:ascii="Arial Narrow" w:hAnsi="Arial Narrow"/>
                <w:b w:val="0"/>
                <w:sz w:val="21"/>
              </w:rPr>
              <w:t xml:space="preserve">s devices for metering of generated and delivered heat energy, put lot of effort and they made an expert estimation of data required in our questionnaires. </w:t>
            </w:r>
          </w:p>
          <w:p>
            <w:pPr>
              <w:pStyle w:val="P6"/>
              <w:spacing w:lineRule="auto" w:line="288" w:after="120"/>
              <w:jc w:val="both"/>
              <w:rPr>
                <w:rFonts w:ascii="Arial Narrow" w:hAnsi="Arial Narrow"/>
                <w:sz w:val="21"/>
              </w:rPr>
            </w:pPr>
            <w:r>
              <w:rPr>
                <w:rFonts w:ascii="Arial Narrow" w:hAnsi="Arial Narrow"/>
                <w:sz w:val="21"/>
              </w:rPr>
              <w:t xml:space="preserve">Coal energy balance </w:t>
            </w:r>
          </w:p>
          <w:p>
            <w:pPr>
              <w:spacing w:lineRule="auto" w:line="288" w:before="120"/>
              <w:jc w:val="both"/>
              <w:rPr>
                <w:rFonts w:ascii="Arial Narrow" w:hAnsi="Arial Narrow"/>
                <w:sz w:val="21"/>
              </w:rPr>
            </w:pPr>
            <w:r>
              <w:rPr>
                <w:rFonts w:ascii="Arial Narrow" w:hAnsi="Arial Narrow"/>
                <w:sz w:val="21"/>
              </w:rPr>
              <w:t xml:space="preserve">All positions of </w:t>
            </w:r>
            <w:r>
              <w:rPr>
                <w:rFonts w:ascii="Arial Narrow" w:hAnsi="Arial Narrow"/>
                <w:i w:val="1"/>
                <w:sz w:val="21"/>
              </w:rPr>
              <w:t xml:space="preserve">Final energy consumption </w:t>
            </w:r>
            <w:r>
              <w:rPr>
                <w:rFonts w:ascii="Arial Narrow" w:hAnsi="Arial Narrow"/>
                <w:sz w:val="21"/>
              </w:rPr>
              <w:t>are estimations maded by data received from statistical researches for energy, foreign trade, industry, construction, transport, agriculture, foresty, and household survey.</w:t>
            </w:r>
          </w:p>
          <w:p>
            <w:pPr>
              <w:pStyle w:val="P2"/>
              <w:spacing w:before="600" w:after="240"/>
              <w:jc w:val="both"/>
              <w:rPr>
                <w:rFonts w:ascii="Arial Narrow" w:hAnsi="Arial Narrow"/>
                <w:sz w:val="24"/>
              </w:rPr>
            </w:pPr>
            <w:r>
              <w:rPr>
                <w:rFonts w:ascii="Arial Narrow" w:hAnsi="Arial Narrow"/>
                <w:sz w:val="24"/>
              </w:rPr>
              <w:t>Derived indicators</w:t>
            </w:r>
          </w:p>
          <w:p>
            <w:pPr>
              <w:spacing w:before="240"/>
              <w:jc w:val="both"/>
              <w:rPr>
                <w:rFonts w:ascii="Arial Narrow" w:hAnsi="Arial Narrow"/>
                <w:sz w:val="21"/>
              </w:rPr>
            </w:pPr>
            <w:r>
              <w:rPr>
                <w:rFonts w:ascii="Arial Narrow" w:hAnsi="Arial Narrow"/>
                <w:b w:val="1"/>
                <w:i w:val="1"/>
                <w:sz w:val="21"/>
              </w:rPr>
              <w:t>Electricity consumption per capita</w:t>
            </w:r>
            <w:r>
              <w:rPr>
                <w:rFonts w:ascii="Arial Narrow" w:hAnsi="Arial Narrow"/>
                <w:sz w:val="21"/>
              </w:rPr>
              <w:t xml:space="preserve"> is calculated in the following way:</w:t>
            </w:r>
          </w:p>
          <w:p>
            <w:pPr>
              <w:spacing w:before="240"/>
              <w:jc w:val="both"/>
              <w:rPr>
                <w:rFonts w:ascii="Arial Narrow" w:hAnsi="Arial Narrow"/>
                <w:sz w:val="21"/>
              </w:rPr>
            </w:pPr>
            <w:r>
              <w:rPr>
                <w:rFonts w:ascii="Arial Narrow" w:hAnsi="Arial Narrow"/>
                <w:sz w:val="21"/>
              </w:rPr>
              <w:t>(Energy available for final consumption + Consumption in the energy sector) / Population</w:t>
            </w:r>
            <w:r>
              <w:rPr>
                <w:rFonts w:ascii="Arial Narrow" w:hAnsi="Arial Narrow"/>
                <w:sz w:val="21"/>
                <w:vertAlign w:val="superscript"/>
              </w:rPr>
              <w:t>3)</w:t>
            </w:r>
          </w:p>
          <w:p>
            <w:pPr>
              <w:spacing w:before="240"/>
              <w:jc w:val="both"/>
              <w:rPr>
                <w:rFonts w:ascii="Arial Narrow" w:hAnsi="Arial Narrow"/>
                <w:sz w:val="21"/>
              </w:rPr>
            </w:pPr>
            <w:r>
              <w:rPr>
                <w:rFonts w:ascii="Arial Narrow" w:hAnsi="Arial Narrow"/>
                <w:b w:val="1"/>
                <w:i w:val="1"/>
                <w:sz w:val="21"/>
              </w:rPr>
              <w:t>Energy efficiency in thermal-electrical and heat energy</w:t>
            </w:r>
            <w:r>
              <w:rPr>
                <w:rFonts w:ascii="Arial Narrow" w:hAnsi="Arial Narrow"/>
                <w:i w:val="1"/>
                <w:sz w:val="21"/>
              </w:rPr>
              <w:t xml:space="preserve"> </w:t>
            </w:r>
            <w:r>
              <w:rPr>
                <w:rFonts w:ascii="Arial Narrow" w:hAnsi="Arial Narrow"/>
                <w:sz w:val="21"/>
              </w:rPr>
              <w:t xml:space="preserve">is calculated in the following way:  </w:t>
            </w:r>
            <w:r>
              <w:rPr>
                <w:rFonts w:ascii="Symbol" w:hAnsi="Symbol"/>
                <w:sz w:val="21"/>
              </w:rPr>
              <w:t>[</w:t>
            </w:r>
            <w:r>
              <w:rPr>
                <w:rFonts w:ascii="Arial Narrow" w:hAnsi="Arial Narrow"/>
                <w:sz w:val="21"/>
              </w:rPr>
              <w:t>(Generated thermal-electrical and heat energy in TJ) / Thermal-electrical and heat energy generation in TJ</w:t>
            </w:r>
            <w:r>
              <w:rPr>
                <w:rFonts w:ascii="Symbol" w:hAnsi="Symbol"/>
                <w:sz w:val="21"/>
              </w:rPr>
              <w:t>]</w:t>
            </w:r>
            <w:r>
              <w:rPr>
                <w:rFonts w:ascii="Arial Narrow" w:hAnsi="Arial Narrow"/>
                <w:sz w:val="21"/>
              </w:rPr>
              <w:t xml:space="preserve">  х 100.</w:t>
            </w:r>
          </w:p>
          <w:p>
            <w:pPr>
              <w:spacing w:before="180"/>
              <w:jc w:val="both"/>
              <w:rPr>
                <w:rFonts w:ascii="Arial Narrow" w:hAnsi="Arial Narrow"/>
                <w:b w:val="1"/>
                <w:i w:val="1"/>
                <w:sz w:val="21"/>
              </w:rPr>
            </w:pPr>
          </w:p>
          <w:p>
            <w:pPr>
              <w:spacing w:before="180"/>
              <w:jc w:val="both"/>
              <w:rPr>
                <w:rFonts w:ascii="Arial Narrow" w:hAnsi="Arial Narrow"/>
                <w:b w:val="1"/>
                <w:i w:val="1"/>
                <w:sz w:val="21"/>
              </w:rPr>
            </w:pPr>
          </w:p>
          <w:p>
            <w:pPr>
              <w:spacing w:before="120"/>
              <w:jc w:val="both"/>
              <w:rPr>
                <w:rFonts w:ascii="Arial Narrow" w:hAnsi="Arial Narrow"/>
                <w:b w:val="1"/>
                <w:i w:val="1"/>
                <w:sz w:val="21"/>
              </w:rPr>
            </w:pPr>
          </w:p>
          <w:p>
            <w:pPr>
              <w:spacing w:before="120"/>
              <w:jc w:val="both"/>
              <w:rPr>
                <w:rFonts w:ascii="Arial Narrow" w:hAnsi="Arial Narrow"/>
                <w:b w:val="1"/>
                <w:i w:val="1"/>
                <w:sz w:val="21"/>
              </w:rPr>
            </w:pPr>
            <w:r>
              <w:rPr>
                <w:rFonts w:ascii="Arial Narrow" w:hAnsi="Arial Narrow"/>
                <w:b w:val="1"/>
                <w:i w:val="1"/>
                <w:sz w:val="21"/>
              </w:rPr>
              <w:t xml:space="preserve">We thank to all </w:t>
            </w:r>
            <w:r>
              <w:rPr>
                <w:rFonts w:ascii="Arial Narrow" w:hAnsi="Arial Narrow"/>
                <w:b w:val="1"/>
                <w:i w:val="1"/>
                <w:sz w:val="21"/>
              </w:rPr>
              <w:t>who</w:t>
            </w:r>
            <w:r>
              <w:rPr>
                <w:rFonts w:ascii="Arial Narrow" w:hAnsi="Arial Narrow"/>
                <w:b w:val="1"/>
                <w:i w:val="1"/>
                <w:sz w:val="21"/>
              </w:rPr>
              <w:t xml:space="preserve"> with pl</w:t>
            </w:r>
            <w:r>
              <w:rPr>
                <w:rFonts w:ascii="Arial Narrow" w:hAnsi="Arial Narrow"/>
                <w:b w:val="1"/>
                <w:i w:val="1"/>
                <w:sz w:val="21"/>
              </w:rPr>
              <w:t>e</w:t>
            </w:r>
            <w:r>
              <w:rPr>
                <w:rFonts w:ascii="Arial Narrow" w:hAnsi="Arial Narrow"/>
                <w:b w:val="1"/>
                <w:i w:val="1"/>
                <w:sz w:val="21"/>
              </w:rPr>
              <w:t>nty of good will and enthus</w:t>
            </w:r>
            <w:r>
              <w:rPr>
                <w:rFonts w:ascii="Arial Narrow" w:hAnsi="Arial Narrow"/>
                <w:b w:val="1"/>
                <w:i w:val="1"/>
                <w:sz w:val="21"/>
              </w:rPr>
              <w:t>i</w:t>
            </w:r>
            <w:r>
              <w:rPr>
                <w:rFonts w:ascii="Arial Narrow" w:hAnsi="Arial Narrow"/>
                <w:b w:val="1"/>
                <w:i w:val="1"/>
                <w:sz w:val="21"/>
              </w:rPr>
              <w:t xml:space="preserve">asm have helped in making of energy </w:t>
            </w:r>
            <w:r>
              <w:rPr>
                <w:rFonts w:ascii="Arial Narrow" w:hAnsi="Arial Narrow"/>
                <w:b w:val="1"/>
                <w:i w:val="1"/>
                <w:sz w:val="21"/>
              </w:rPr>
              <w:t>balan</w:t>
            </w:r>
            <w:r>
              <w:rPr>
                <w:rFonts w:ascii="Arial Narrow" w:hAnsi="Arial Narrow"/>
                <w:b w:val="1"/>
                <w:i w:val="1"/>
                <w:sz w:val="21"/>
              </w:rPr>
              <w:t>c</w:t>
            </w:r>
            <w:r>
              <w:rPr>
                <w:rFonts w:ascii="Arial Narrow" w:hAnsi="Arial Narrow"/>
                <w:b w:val="1"/>
                <w:i w:val="1"/>
                <w:sz w:val="21"/>
              </w:rPr>
              <w:t>es.</w:t>
            </w: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r>
              <w:rPr>
                <w:rFonts w:ascii="Arial Narrow" w:hAnsi="Arial Narrow"/>
                <w:sz w:val="21"/>
              </w:rPr>
              <w:t xml:space="preserve">                                                           </w:t>
            </w:r>
          </w:p>
          <w:p>
            <w:pPr>
              <w:pStyle w:val="P1"/>
              <w:spacing w:before="0" w:after="0"/>
              <w:jc w:val="both"/>
              <w:rPr>
                <w:rFonts w:ascii="Arial Narrow" w:hAnsi="Arial Narrow"/>
                <w:b w:val="1"/>
                <w:sz w:val="14"/>
                <w:vertAlign w:val="superscript"/>
              </w:rPr>
            </w:pPr>
          </w:p>
          <w:p>
            <w:pPr>
              <w:pStyle w:val="P1"/>
              <w:spacing w:before="0" w:after="0"/>
              <w:jc w:val="both"/>
              <w:rPr>
                <w:rFonts w:ascii="Arial Narrow" w:hAnsi="Arial Narrow"/>
                <w:b w:val="1"/>
                <w:sz w:val="21"/>
              </w:rPr>
            </w:pPr>
            <w:r>
              <w:rPr>
                <w:rFonts w:ascii="Arial Narrow" w:hAnsi="Arial Narrow"/>
                <w:b w:val="0"/>
                <w:sz w:val="14"/>
                <w:vertAlign w:val="superscript"/>
              </w:rPr>
              <w:t>3)</w:t>
            </w:r>
            <w:r>
              <w:rPr>
                <w:rFonts w:ascii="Arial Narrow" w:hAnsi="Arial Narrow"/>
                <w:b w:val="0"/>
                <w:sz w:val="14"/>
              </w:rPr>
              <w:t xml:space="preserve"> Estimation was made in middle of year at the Statistical Of</w:t>
            </w:r>
            <w:r>
              <w:rPr>
                <w:rFonts w:ascii="Arial Narrow" w:hAnsi="Arial Narrow"/>
                <w:b w:val="0"/>
                <w:sz w:val="14"/>
              </w:rPr>
              <w:t xml:space="preserve">fice of the Republic of </w:t>
            </w:r>
            <w:r>
              <w:rPr>
                <w:rFonts w:ascii="Arial Narrow" w:hAnsi="Arial Narrow"/>
                <w:b w:val="0"/>
                <w:sz w:val="14"/>
              </w:rPr>
              <w:t xml:space="preserve">   </w:t>
            </w:r>
            <w:r>
              <w:rPr>
                <w:rFonts w:ascii="Arial Narrow" w:hAnsi="Arial Narrow"/>
                <w:b w:val="0"/>
                <w:sz w:val="14"/>
              </w:rPr>
              <w:t>Serbia.</w:t>
            </w:r>
          </w:p>
        </w:tc>
      </w:tr>
    </w:tbl>
    <w:p>
      <w:pPr>
        <w:pStyle w:val="P12"/>
        <w:jc w:val="center"/>
        <w:rPr>
          <w:rFonts w:ascii="Arial Narrow" w:hAnsi="Arial Narrow"/>
          <w:b w:val="1"/>
          <w:sz w:val="24"/>
        </w:rPr>
      </w:pPr>
    </w:p>
    <w:p>
      <w:pPr>
        <w:pStyle w:val="P12"/>
        <w:jc w:val="center"/>
        <w:rPr>
          <w:rFonts w:ascii="Arial Narrow" w:hAnsi="Arial Narrow"/>
          <w:b w:val="1"/>
          <w:sz w:val="24"/>
        </w:rPr>
      </w:pPr>
      <w:r>
        <w:rPr>
          <w:rFonts w:ascii="Arial Narrow" w:hAnsi="Arial Narrow"/>
          <w:b w:val="1"/>
          <w:sz w:val="24"/>
        </w:rPr>
        <w:t>Фактори за конверзију јединица мере енергије</w:t>
      </w:r>
      <w:r>
        <w:rPr>
          <w:rFonts w:ascii="Arial Narrow" w:hAnsi="Arial Narrow"/>
          <w:b w:val="1"/>
          <w:sz w:val="24"/>
          <w:vertAlign w:val="superscript"/>
        </w:rPr>
        <w:t>1)</w:t>
      </w:r>
    </w:p>
    <w:p>
      <w:pPr>
        <w:jc w:val="center"/>
        <w:rPr>
          <w:b w:val="1"/>
          <w:sz w:val="24"/>
        </w:rPr>
      </w:pPr>
      <w:r>
        <w:rPr>
          <w:rFonts w:ascii="Arial Narrow" w:hAnsi="Arial Narrow"/>
          <w:b w:val="1"/>
          <w:sz w:val="24"/>
        </w:rPr>
        <w:t>Conversion Equivalents between Units of Energy</w:t>
      </w:r>
      <w:r>
        <w:rPr>
          <w:rFonts w:ascii="Arial Narrow" w:hAnsi="Arial Narrow"/>
          <w:b w:val="1"/>
          <w:sz w:val="24"/>
          <w:vertAlign w:val="superscript"/>
        </w:rPr>
        <w:t>1)</w:t>
      </w:r>
    </w:p>
    <w:p/>
    <w:tbl>
      <w:tblPr>
        <w:tblStyle w:val="T3"/>
        <w:tblW w:w="0" w:type="auto"/>
        <w:jc w:val="center"/>
        <w:tblLayout w:type="autofit"/>
      </w:tblPr>
      <w:tblGrid/>
      <w:tr>
        <w:trPr>
          <w:wAfter w:w="0" w:type="dxa"/>
        </w:trPr>
        <w:tc>
          <w:tcPr>
            <w:tcW w:w="1642" w:type="dxa"/>
          </w:tcPr>
          <w:p>
            <w:pPr>
              <w:rPr>
                <w:rFonts w:ascii="Arial Narrow" w:hAnsi="Arial Narrow"/>
                <w:sz w:val="21"/>
              </w:rPr>
            </w:pPr>
          </w:p>
        </w:tc>
        <w:tc>
          <w:tcPr>
            <w:tcW w:w="1642" w:type="dxa"/>
          </w:tcPr>
          <w:p>
            <w:pPr>
              <w:jc w:val="center"/>
              <w:rPr>
                <w:rFonts w:ascii="Arial Narrow" w:hAnsi="Arial Narrow"/>
                <w:sz w:val="21"/>
              </w:rPr>
            </w:pPr>
            <w:r>
              <w:rPr>
                <w:rFonts w:ascii="Arial Narrow" w:hAnsi="Arial Narrow"/>
                <w:sz w:val="21"/>
              </w:rPr>
              <w:t>TJ</w:t>
            </w:r>
          </w:p>
        </w:tc>
        <w:tc>
          <w:tcPr>
            <w:tcW w:w="1642" w:type="dxa"/>
          </w:tcPr>
          <w:p>
            <w:pPr>
              <w:jc w:val="center"/>
              <w:rPr>
                <w:rFonts w:ascii="Arial Narrow" w:hAnsi="Arial Narrow"/>
                <w:sz w:val="21"/>
              </w:rPr>
            </w:pPr>
            <w:r>
              <w:rPr>
                <w:rFonts w:ascii="Arial Narrow" w:hAnsi="Arial Narrow"/>
                <w:sz w:val="21"/>
              </w:rPr>
              <w:t>Gcal</w:t>
            </w:r>
          </w:p>
        </w:tc>
        <w:tc>
          <w:tcPr>
            <w:tcW w:w="1643" w:type="dxa"/>
          </w:tcPr>
          <w:p>
            <w:pPr>
              <w:jc w:val="center"/>
              <w:rPr>
                <w:rFonts w:ascii="Arial Narrow" w:hAnsi="Arial Narrow"/>
                <w:sz w:val="21"/>
              </w:rPr>
            </w:pPr>
            <w:r>
              <w:rPr>
                <w:rFonts w:ascii="Arial Narrow" w:hAnsi="Arial Narrow"/>
                <w:sz w:val="21"/>
              </w:rPr>
              <w:t>Mtoe</w:t>
            </w:r>
          </w:p>
        </w:tc>
        <w:tc>
          <w:tcPr>
            <w:tcW w:w="1643" w:type="dxa"/>
          </w:tcPr>
          <w:p>
            <w:pPr>
              <w:jc w:val="center"/>
              <w:rPr>
                <w:rFonts w:ascii="Arial Narrow" w:hAnsi="Arial Narrow"/>
                <w:sz w:val="21"/>
              </w:rPr>
            </w:pPr>
            <w:r>
              <w:rPr>
                <w:rFonts w:ascii="Arial Narrow" w:hAnsi="Arial Narrow"/>
                <w:sz w:val="21"/>
              </w:rPr>
              <w:t>Gwh</w:t>
            </w:r>
          </w:p>
        </w:tc>
      </w:tr>
      <w:tr>
        <w:trPr>
          <w:wAfter w:w="0" w:type="dxa"/>
        </w:trPr>
        <w:tc>
          <w:tcPr>
            <w:tcW w:w="1642" w:type="dxa"/>
          </w:tcPr>
          <w:p>
            <w:pPr>
              <w:rPr>
                <w:rFonts w:ascii="Arial Narrow" w:hAnsi="Arial Narrow"/>
                <w:sz w:val="21"/>
              </w:rPr>
            </w:pPr>
            <w:r>
              <w:rPr>
                <w:rFonts w:ascii="Arial Narrow" w:hAnsi="Arial Narrow"/>
                <w:sz w:val="21"/>
              </w:rPr>
              <w:t>TJ</w:t>
            </w:r>
          </w:p>
        </w:tc>
        <w:tc>
          <w:tcPr>
            <w:tcW w:w="1642" w:type="dxa"/>
          </w:tcPr>
          <w:p>
            <w:pPr>
              <w:jc w:val="center"/>
              <w:rPr>
                <w:rFonts w:ascii="Arial Narrow" w:hAnsi="Arial Narrow"/>
                <w:sz w:val="21"/>
              </w:rPr>
            </w:pPr>
            <w:r>
              <w:rPr>
                <w:rFonts w:ascii="Arial Narrow" w:hAnsi="Arial Narrow"/>
                <w:sz w:val="21"/>
              </w:rPr>
              <w:t>1</w:t>
            </w:r>
          </w:p>
        </w:tc>
        <w:tc>
          <w:tcPr>
            <w:tcW w:w="1642" w:type="dxa"/>
          </w:tcPr>
          <w:p>
            <w:pPr>
              <w:jc w:val="center"/>
              <w:rPr>
                <w:rFonts w:ascii="Arial Narrow" w:hAnsi="Arial Narrow"/>
                <w:sz w:val="21"/>
              </w:rPr>
            </w:pPr>
            <w:r>
              <w:rPr>
                <w:rFonts w:ascii="Arial Narrow" w:hAnsi="Arial Narrow"/>
                <w:sz w:val="21"/>
              </w:rPr>
              <w:t>238.8</w:t>
            </w:r>
          </w:p>
        </w:tc>
        <w:tc>
          <w:tcPr>
            <w:tcW w:w="1643" w:type="dxa"/>
          </w:tcPr>
          <w:p>
            <w:pPr>
              <w:jc w:val="center"/>
              <w:rPr>
                <w:rFonts w:ascii="Arial Narrow" w:hAnsi="Arial Narrow"/>
                <w:sz w:val="21"/>
              </w:rPr>
            </w:pPr>
            <w:r>
              <w:rPr>
                <w:rFonts w:ascii="Arial Narrow" w:hAnsi="Arial Narrow"/>
                <w:sz w:val="21"/>
              </w:rPr>
              <w:t>2.388 x 10</w:t>
            </w:r>
            <w:r>
              <w:rPr>
                <w:rFonts w:ascii="Arial Narrow" w:hAnsi="Arial Narrow"/>
                <w:sz w:val="21"/>
                <w:vertAlign w:val="superscript"/>
              </w:rPr>
              <w:t>-5</w:t>
            </w:r>
          </w:p>
        </w:tc>
        <w:tc>
          <w:tcPr>
            <w:tcW w:w="1643" w:type="dxa"/>
          </w:tcPr>
          <w:p>
            <w:pPr>
              <w:jc w:val="center"/>
              <w:rPr>
                <w:rFonts w:ascii="Arial Narrow" w:hAnsi="Arial Narrow"/>
                <w:sz w:val="21"/>
              </w:rPr>
            </w:pPr>
            <w:r>
              <w:rPr>
                <w:rFonts w:ascii="Arial Narrow" w:hAnsi="Arial Narrow"/>
                <w:sz w:val="21"/>
              </w:rPr>
              <w:t>0.2778</w:t>
            </w:r>
          </w:p>
        </w:tc>
      </w:tr>
      <w:tr>
        <w:trPr>
          <w:wAfter w:w="0" w:type="dxa"/>
        </w:trPr>
        <w:tc>
          <w:tcPr>
            <w:tcW w:w="1642" w:type="dxa"/>
          </w:tcPr>
          <w:p>
            <w:pPr>
              <w:rPr>
                <w:rFonts w:ascii="Arial Narrow" w:hAnsi="Arial Narrow"/>
                <w:sz w:val="21"/>
              </w:rPr>
            </w:pPr>
            <w:r>
              <w:rPr>
                <w:rFonts w:ascii="Arial Narrow" w:hAnsi="Arial Narrow"/>
                <w:sz w:val="21"/>
              </w:rPr>
              <w:t>Gcal</w:t>
            </w:r>
          </w:p>
        </w:tc>
        <w:tc>
          <w:tcPr>
            <w:tcW w:w="1642" w:type="dxa"/>
          </w:tcPr>
          <w:p>
            <w:pPr>
              <w:jc w:val="center"/>
              <w:rPr>
                <w:rFonts w:ascii="Arial Narrow" w:hAnsi="Arial Narrow"/>
                <w:sz w:val="21"/>
                <w:vertAlign w:val="superscript"/>
              </w:rPr>
            </w:pPr>
            <w:r>
              <w:rPr>
                <w:rFonts w:ascii="Arial Narrow" w:hAnsi="Arial Narrow"/>
                <w:sz w:val="21"/>
              </w:rPr>
              <w:t>4.1868 x 10</w:t>
            </w:r>
            <w:r>
              <w:rPr>
                <w:rFonts w:ascii="Arial Narrow" w:hAnsi="Arial Narrow"/>
                <w:sz w:val="21"/>
                <w:vertAlign w:val="superscript"/>
              </w:rPr>
              <w:t>-3</w:t>
            </w:r>
          </w:p>
        </w:tc>
        <w:tc>
          <w:tcPr>
            <w:tcW w:w="1642" w:type="dxa"/>
          </w:tcPr>
          <w:p>
            <w:pPr>
              <w:jc w:val="center"/>
              <w:rPr>
                <w:rFonts w:ascii="Arial Narrow" w:hAnsi="Arial Narrow"/>
                <w:sz w:val="21"/>
              </w:rPr>
            </w:pPr>
            <w:r>
              <w:rPr>
                <w:rFonts w:ascii="Arial Narrow" w:hAnsi="Arial Narrow"/>
                <w:sz w:val="21"/>
              </w:rPr>
              <w:t>1</w:t>
            </w:r>
          </w:p>
        </w:tc>
        <w:tc>
          <w:tcPr>
            <w:tcW w:w="1643" w:type="dxa"/>
          </w:tcPr>
          <w:p>
            <w:pPr>
              <w:jc w:val="center"/>
              <w:rPr>
                <w:rFonts w:ascii="Arial Narrow" w:hAnsi="Arial Narrow"/>
                <w:sz w:val="21"/>
                <w:vertAlign w:val="superscript"/>
              </w:rPr>
            </w:pPr>
            <w:r>
              <w:rPr>
                <w:rFonts w:ascii="Arial Narrow" w:hAnsi="Arial Narrow"/>
                <w:sz w:val="21"/>
              </w:rPr>
              <w:t>10</w:t>
            </w:r>
            <w:r>
              <w:rPr>
                <w:rFonts w:ascii="Arial Narrow" w:hAnsi="Arial Narrow"/>
                <w:sz w:val="21"/>
                <w:vertAlign w:val="superscript"/>
              </w:rPr>
              <w:t>-7</w:t>
            </w:r>
          </w:p>
        </w:tc>
        <w:tc>
          <w:tcPr>
            <w:tcW w:w="1643" w:type="dxa"/>
          </w:tcPr>
          <w:p>
            <w:pPr>
              <w:jc w:val="center"/>
              <w:rPr>
                <w:rFonts w:ascii="Arial Narrow" w:hAnsi="Arial Narrow"/>
                <w:sz w:val="21"/>
                <w:vertAlign w:val="superscript"/>
              </w:rPr>
            </w:pPr>
            <w:r>
              <w:rPr>
                <w:rFonts w:ascii="Arial Narrow" w:hAnsi="Arial Narrow"/>
                <w:sz w:val="21"/>
              </w:rPr>
              <w:t>1.163 x 10</w:t>
            </w:r>
            <w:r>
              <w:rPr>
                <w:rFonts w:ascii="Arial Narrow" w:hAnsi="Arial Narrow"/>
                <w:sz w:val="21"/>
                <w:vertAlign w:val="superscript"/>
              </w:rPr>
              <w:t>-3</w:t>
            </w:r>
          </w:p>
        </w:tc>
      </w:tr>
      <w:tr>
        <w:trPr>
          <w:wAfter w:w="0" w:type="dxa"/>
        </w:trPr>
        <w:tc>
          <w:tcPr>
            <w:tcW w:w="1642" w:type="dxa"/>
          </w:tcPr>
          <w:p>
            <w:pPr>
              <w:rPr>
                <w:rFonts w:ascii="Arial Narrow" w:hAnsi="Arial Narrow"/>
                <w:sz w:val="21"/>
              </w:rPr>
            </w:pPr>
            <w:r>
              <w:rPr>
                <w:rFonts w:ascii="Arial Narrow" w:hAnsi="Arial Narrow"/>
                <w:sz w:val="21"/>
              </w:rPr>
              <w:t>Mtoe</w:t>
            </w:r>
          </w:p>
        </w:tc>
        <w:tc>
          <w:tcPr>
            <w:tcW w:w="1642" w:type="dxa"/>
          </w:tcPr>
          <w:p>
            <w:pPr>
              <w:jc w:val="center"/>
              <w:rPr>
                <w:rFonts w:ascii="Arial Narrow" w:hAnsi="Arial Narrow"/>
                <w:sz w:val="21"/>
              </w:rPr>
            </w:pPr>
            <w:r>
              <w:rPr>
                <w:rFonts w:ascii="Arial Narrow" w:hAnsi="Arial Narrow"/>
                <w:sz w:val="21"/>
              </w:rPr>
              <w:t>4.1868 x 10</w:t>
            </w:r>
            <w:r>
              <w:rPr>
                <w:rFonts w:ascii="Arial Narrow" w:hAnsi="Arial Narrow"/>
                <w:sz w:val="21"/>
                <w:vertAlign w:val="superscript"/>
              </w:rPr>
              <w:t>4</w:t>
            </w:r>
          </w:p>
        </w:tc>
        <w:tc>
          <w:tcPr>
            <w:tcW w:w="1642" w:type="dxa"/>
          </w:tcPr>
          <w:p>
            <w:pPr>
              <w:jc w:val="center"/>
              <w:rPr>
                <w:rFonts w:ascii="Arial Narrow" w:hAnsi="Arial Narrow"/>
                <w:sz w:val="21"/>
              </w:rPr>
            </w:pPr>
            <w:r>
              <w:rPr>
                <w:rFonts w:ascii="Arial Narrow" w:hAnsi="Arial Narrow"/>
                <w:sz w:val="21"/>
              </w:rPr>
              <w:t>10</w:t>
            </w:r>
            <w:r>
              <w:rPr>
                <w:rFonts w:ascii="Arial Narrow" w:hAnsi="Arial Narrow"/>
                <w:sz w:val="21"/>
                <w:vertAlign w:val="superscript"/>
              </w:rPr>
              <w:t>7</w:t>
            </w:r>
          </w:p>
        </w:tc>
        <w:tc>
          <w:tcPr>
            <w:tcW w:w="1643" w:type="dxa"/>
          </w:tcPr>
          <w:p>
            <w:pPr>
              <w:jc w:val="center"/>
              <w:rPr>
                <w:rFonts w:ascii="Arial Narrow" w:hAnsi="Arial Narrow"/>
                <w:sz w:val="21"/>
              </w:rPr>
            </w:pPr>
            <w:r>
              <w:rPr>
                <w:rFonts w:ascii="Arial Narrow" w:hAnsi="Arial Narrow"/>
                <w:sz w:val="21"/>
              </w:rPr>
              <w:t>1</w:t>
            </w:r>
          </w:p>
        </w:tc>
        <w:tc>
          <w:tcPr>
            <w:tcW w:w="1643" w:type="dxa"/>
          </w:tcPr>
          <w:p>
            <w:pPr>
              <w:jc w:val="center"/>
              <w:rPr>
                <w:rFonts w:ascii="Arial Narrow" w:hAnsi="Arial Narrow"/>
                <w:sz w:val="21"/>
              </w:rPr>
            </w:pPr>
            <w:r>
              <w:rPr>
                <w:rFonts w:ascii="Arial Narrow" w:hAnsi="Arial Narrow"/>
                <w:sz w:val="21"/>
              </w:rPr>
              <w:t>11630</w:t>
            </w:r>
          </w:p>
        </w:tc>
      </w:tr>
      <w:tr>
        <w:trPr>
          <w:wAfter w:w="0" w:type="dxa"/>
        </w:trPr>
        <w:tc>
          <w:tcPr>
            <w:tcW w:w="1642" w:type="dxa"/>
          </w:tcPr>
          <w:p>
            <w:pPr>
              <w:rPr>
                <w:rFonts w:ascii="Arial Narrow" w:hAnsi="Arial Narrow"/>
                <w:sz w:val="21"/>
              </w:rPr>
            </w:pPr>
            <w:r>
              <w:rPr>
                <w:rFonts w:ascii="Arial Narrow" w:hAnsi="Arial Narrow"/>
                <w:sz w:val="21"/>
              </w:rPr>
              <w:t>GWh</w:t>
            </w:r>
          </w:p>
        </w:tc>
        <w:tc>
          <w:tcPr>
            <w:tcW w:w="1642" w:type="dxa"/>
          </w:tcPr>
          <w:p>
            <w:pPr>
              <w:jc w:val="center"/>
              <w:rPr>
                <w:rFonts w:ascii="Arial Narrow" w:hAnsi="Arial Narrow"/>
                <w:sz w:val="21"/>
              </w:rPr>
            </w:pPr>
            <w:r>
              <w:rPr>
                <w:rFonts w:ascii="Arial Narrow" w:hAnsi="Arial Narrow"/>
                <w:sz w:val="21"/>
              </w:rPr>
              <w:t>3.6</w:t>
            </w:r>
          </w:p>
        </w:tc>
        <w:tc>
          <w:tcPr>
            <w:tcW w:w="1642" w:type="dxa"/>
          </w:tcPr>
          <w:p>
            <w:pPr>
              <w:jc w:val="center"/>
              <w:rPr>
                <w:rFonts w:ascii="Arial Narrow" w:hAnsi="Arial Narrow"/>
                <w:sz w:val="21"/>
              </w:rPr>
            </w:pPr>
            <w:r>
              <w:rPr>
                <w:rFonts w:ascii="Arial Narrow" w:hAnsi="Arial Narrow"/>
                <w:sz w:val="21"/>
              </w:rPr>
              <w:t>860</w:t>
            </w:r>
          </w:p>
        </w:tc>
        <w:tc>
          <w:tcPr>
            <w:tcW w:w="1643" w:type="dxa"/>
          </w:tcPr>
          <w:p>
            <w:pPr>
              <w:jc w:val="center"/>
              <w:rPr>
                <w:rFonts w:ascii="Arial Narrow" w:hAnsi="Arial Narrow"/>
                <w:sz w:val="21"/>
                <w:vertAlign w:val="superscript"/>
              </w:rPr>
            </w:pPr>
            <w:r>
              <w:rPr>
                <w:rFonts w:ascii="Arial Narrow" w:hAnsi="Arial Narrow"/>
                <w:sz w:val="21"/>
              </w:rPr>
              <w:t>8.6 x 10</w:t>
            </w:r>
            <w:r>
              <w:rPr>
                <w:rFonts w:ascii="Arial Narrow" w:hAnsi="Arial Narrow"/>
                <w:sz w:val="21"/>
                <w:vertAlign w:val="superscript"/>
              </w:rPr>
              <w:t>-5</w:t>
            </w:r>
          </w:p>
        </w:tc>
        <w:tc>
          <w:tcPr>
            <w:tcW w:w="1643" w:type="dxa"/>
          </w:tcPr>
          <w:p>
            <w:pPr>
              <w:jc w:val="center"/>
              <w:rPr>
                <w:rFonts w:ascii="Arial Narrow" w:hAnsi="Arial Narrow"/>
                <w:sz w:val="21"/>
              </w:rPr>
            </w:pPr>
            <w:r>
              <w:rPr>
                <w:rFonts w:ascii="Arial Narrow" w:hAnsi="Arial Narrow"/>
                <w:sz w:val="21"/>
              </w:rPr>
              <w:t>1</w:t>
            </w:r>
          </w:p>
        </w:tc>
      </w:tr>
    </w:tbl>
    <w:p/>
    <w:p>
      <w:pPr>
        <w:pStyle w:val="P12"/>
        <w:rPr>
          <w:rFonts w:ascii="Arial Narrow" w:hAnsi="Arial Narrow"/>
          <w:sz w:val="16"/>
        </w:rPr>
      </w:pPr>
      <w:r>
        <w:rPr>
          <w:rFonts w:ascii="Arial Narrow" w:hAnsi="Arial Narrow"/>
          <w:sz w:val="16"/>
          <w:vertAlign w:val="superscript"/>
        </w:rPr>
        <w:t xml:space="preserve">1) </w:t>
      </w:r>
      <w:r>
        <w:rPr>
          <w:rFonts w:ascii="Arial Narrow" w:hAnsi="Arial Narrow"/>
          <w:sz w:val="16"/>
        </w:rPr>
        <w:t>IEA: Кey World Energy Statistics, 2006.</w:t>
      </w:r>
    </w:p>
    <w:p/>
    <w:p/>
    <w:p/>
    <w:p/>
    <w:p/>
    <w:p/>
    <w:tbl>
      <w:tblPr>
        <w:tblStyle w:val="T3"/>
        <w:tblW w:w="0" w:type="auto"/>
        <w:jc w:val="center"/>
        <w:tblBorders>
          <w:top w:val="single" w:sz="8" w:space="0" w:shadow="0" w:frame="0"/>
          <w:left w:val="single" w:sz="8" w:space="0" w:shadow="0" w:frame="0"/>
          <w:bottom w:val="single" w:sz="8" w:space="0" w:shadow="0" w:frame="0"/>
          <w:right w:val="single" w:sz="8"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3572" w:type="dxa"/>
            <w:gridSpan w:val="2"/>
            <w:tcBorders>
              <w:right w:val="single" w:sz="8" w:space="0" w:shadow="0" w:frame="0"/>
            </w:tcBorders>
          </w:tcPr>
          <w:p>
            <w:pPr>
              <w:pStyle w:val="P12"/>
              <w:spacing w:lineRule="auto" w:line="288" w:before="120"/>
              <w:jc w:val="center"/>
              <w:rPr>
                <w:rFonts w:ascii="Arial Narrow" w:hAnsi="Arial Narrow"/>
              </w:rPr>
            </w:pPr>
            <w:r>
              <w:rPr>
                <w:rFonts w:ascii="Arial Narrow" w:hAnsi="Arial Narrow"/>
                <w:b w:val="1"/>
              </w:rPr>
              <w:t>Јединице мере</w:t>
            </w:r>
          </w:p>
        </w:tc>
        <w:tc>
          <w:tcPr>
            <w:tcW w:w="567" w:type="dxa"/>
            <w:tcBorders>
              <w:top w:val="none" w:sz="0" w:space="0" w:shadow="0" w:frame="0"/>
              <w:left w:val="single" w:sz="8" w:space="0" w:shadow="0" w:frame="0"/>
              <w:bottom w:val="none" w:sz="0" w:space="0" w:shadow="0" w:frame="0"/>
              <w:right w:val="single" w:sz="8" w:space="0" w:shadow="0" w:frame="0"/>
            </w:tcBorders>
          </w:tcPr>
          <w:p>
            <w:pPr>
              <w:pStyle w:val="P12"/>
              <w:spacing w:lineRule="auto" w:line="288" w:before="120"/>
              <w:rPr>
                <w:rFonts w:ascii="Arial Narrow" w:hAnsi="Arial Narrow"/>
              </w:rPr>
            </w:pPr>
          </w:p>
        </w:tc>
        <w:tc>
          <w:tcPr>
            <w:tcW w:w="3969" w:type="dxa"/>
            <w:gridSpan w:val="2"/>
            <w:tcBorders>
              <w:left w:val="single" w:sz="8" w:space="0" w:shadow="0" w:frame="0"/>
            </w:tcBorders>
          </w:tcPr>
          <w:p>
            <w:pPr>
              <w:pStyle w:val="P12"/>
              <w:tabs>
                <w:tab w:val="left" w:pos="1495" w:leader="none"/>
                <w:tab w:val="center" w:pos="1956" w:leader="none"/>
              </w:tabs>
              <w:spacing w:lineRule="auto" w:line="288" w:before="120"/>
              <w:jc w:val="left"/>
              <w:rPr>
                <w:rFonts w:ascii="Arial Narrow" w:hAnsi="Arial Narrow"/>
                <w:b w:val="1"/>
              </w:rPr>
            </w:pPr>
            <w:r>
              <w:rPr>
                <w:rFonts w:ascii="Arial Narrow" w:hAnsi="Arial Narrow"/>
                <w:b w:val="1"/>
              </w:rPr>
              <w:tab/>
            </w:r>
            <w:r>
              <w:rPr>
                <w:rFonts w:ascii="Arial Narrow" w:hAnsi="Arial Narrow"/>
                <w:b w:val="1"/>
              </w:rPr>
              <w:t>Units of measure</w:t>
            </w:r>
          </w:p>
        </w:tc>
      </w:tr>
      <w:tr>
        <w:trPr>
          <w:wAfter w:w="0" w:type="dxa"/>
        </w:trPr>
        <w:tc>
          <w:tcPr>
            <w:tcW w:w="607" w:type="dxa"/>
          </w:tcPr>
          <w:p>
            <w:pPr>
              <w:pStyle w:val="P12"/>
              <w:spacing w:lineRule="auto" w:line="288"/>
              <w:jc w:val="center"/>
              <w:rPr>
                <w:rFonts w:ascii="Arial Narrow" w:hAnsi="Arial Narrow"/>
              </w:rPr>
            </w:pPr>
            <w:r>
              <w:rPr>
                <w:rFonts w:ascii="Arial Narrow" w:hAnsi="Arial Narrow"/>
              </w:rPr>
              <w:t>TJ</w:t>
            </w:r>
          </w:p>
        </w:tc>
        <w:tc>
          <w:tcPr>
            <w:tcW w:w="2965" w:type="dxa"/>
            <w:tcBorders>
              <w:right w:val="single" w:sz="8" w:space="0" w:shadow="0" w:frame="0"/>
            </w:tcBorders>
          </w:tcPr>
          <w:p>
            <w:pPr>
              <w:pStyle w:val="P12"/>
              <w:spacing w:lineRule="auto" w:line="288"/>
              <w:jc w:val="left"/>
              <w:rPr>
                <w:rFonts w:ascii="Arial Narrow" w:hAnsi="Arial Narrow"/>
              </w:rPr>
            </w:pPr>
            <w:r>
              <w:rPr>
                <w:rFonts w:ascii="Arial Narrow" w:hAnsi="Arial Narrow"/>
              </w:rPr>
              <w:t xml:space="preserve">=   Tераџул</w:t>
            </w:r>
          </w:p>
        </w:tc>
        <w:tc>
          <w:tcPr>
            <w:tcW w:w="567" w:type="dxa"/>
            <w:tcBorders>
              <w:top w:val="none" w:sz="0" w:space="0" w:shadow="0" w:frame="0"/>
              <w:left w:val="single" w:sz="8" w:space="0" w:shadow="0" w:frame="0"/>
              <w:bottom w:val="none" w:sz="0" w:space="0" w:shadow="0" w:frame="0"/>
              <w:right w:val="single" w:sz="8" w:space="0" w:shadow="0" w:frame="0"/>
            </w:tcBorders>
          </w:tcPr>
          <w:p>
            <w:pPr>
              <w:pStyle w:val="P12"/>
              <w:spacing w:lineRule="auto" w:line="288"/>
              <w:jc w:val="center"/>
              <w:rPr>
                <w:rFonts w:ascii="Arial Narrow" w:hAnsi="Arial Narrow"/>
              </w:rPr>
            </w:pPr>
          </w:p>
        </w:tc>
        <w:tc>
          <w:tcPr>
            <w:tcW w:w="567" w:type="dxa"/>
            <w:tcBorders>
              <w:left w:val="single" w:sz="8" w:space="0" w:shadow="0" w:frame="0"/>
            </w:tcBorders>
          </w:tcPr>
          <w:p>
            <w:pPr>
              <w:pStyle w:val="P12"/>
              <w:spacing w:lineRule="auto" w:line="288"/>
              <w:jc w:val="center"/>
              <w:rPr>
                <w:rFonts w:ascii="Arial Narrow" w:hAnsi="Arial Narrow"/>
              </w:rPr>
            </w:pPr>
            <w:r>
              <w:rPr>
                <w:rFonts w:ascii="Arial Narrow" w:hAnsi="Arial Narrow"/>
              </w:rPr>
              <w:t>TJ</w:t>
            </w:r>
          </w:p>
        </w:tc>
        <w:tc>
          <w:tcPr>
            <w:tcW w:w="3402" w:type="dxa"/>
          </w:tcPr>
          <w:p>
            <w:pPr>
              <w:pStyle w:val="P12"/>
              <w:spacing w:lineRule="auto" w:line="288"/>
              <w:jc w:val="left"/>
              <w:rPr>
                <w:rFonts w:ascii="Arial Narrow" w:hAnsi="Arial Narrow"/>
              </w:rPr>
            </w:pPr>
            <w:r>
              <w:rPr>
                <w:rFonts w:ascii="Arial Narrow" w:hAnsi="Arial Narrow"/>
              </w:rPr>
              <w:t xml:space="preserve">=   Тerajoule</w:t>
            </w:r>
          </w:p>
        </w:tc>
      </w:tr>
      <w:tr>
        <w:trPr>
          <w:wAfter w:w="0" w:type="dxa"/>
        </w:trPr>
        <w:tc>
          <w:tcPr>
            <w:tcW w:w="607" w:type="dxa"/>
          </w:tcPr>
          <w:p>
            <w:pPr>
              <w:pStyle w:val="P12"/>
              <w:spacing w:lineRule="auto" w:line="288"/>
              <w:jc w:val="center"/>
              <w:rPr>
                <w:rFonts w:ascii="Arial Narrow" w:hAnsi="Arial Narrow"/>
              </w:rPr>
            </w:pPr>
            <w:r>
              <w:rPr>
                <w:rFonts w:ascii="Arial Narrow" w:hAnsi="Arial Narrow"/>
              </w:rPr>
              <w:t>Gcal</w:t>
            </w:r>
          </w:p>
        </w:tc>
        <w:tc>
          <w:tcPr>
            <w:tcW w:w="2965" w:type="dxa"/>
            <w:tcBorders>
              <w:right w:val="single" w:sz="8" w:space="0" w:shadow="0" w:frame="0"/>
            </w:tcBorders>
          </w:tcPr>
          <w:p>
            <w:pPr>
              <w:pStyle w:val="P12"/>
              <w:spacing w:lineRule="auto" w:line="288"/>
              <w:jc w:val="left"/>
              <w:rPr>
                <w:rFonts w:ascii="Arial Narrow" w:hAnsi="Arial Narrow"/>
              </w:rPr>
            </w:pPr>
            <w:r>
              <w:rPr>
                <w:rFonts w:ascii="Arial Narrow" w:hAnsi="Arial Narrow"/>
              </w:rPr>
              <w:t xml:space="preserve">=   Гигакалорија</w:t>
            </w:r>
          </w:p>
        </w:tc>
        <w:tc>
          <w:tcPr>
            <w:tcW w:w="567" w:type="dxa"/>
            <w:tcBorders>
              <w:top w:val="none" w:sz="0" w:space="0" w:shadow="0" w:frame="0"/>
              <w:left w:val="single" w:sz="8" w:space="0" w:shadow="0" w:frame="0"/>
              <w:bottom w:val="none" w:sz="0" w:space="0" w:shadow="0" w:frame="0"/>
              <w:right w:val="single" w:sz="8" w:space="0" w:shadow="0" w:frame="0"/>
            </w:tcBorders>
          </w:tcPr>
          <w:p>
            <w:pPr>
              <w:pStyle w:val="P12"/>
              <w:spacing w:lineRule="auto" w:line="288"/>
              <w:jc w:val="center"/>
              <w:rPr>
                <w:rFonts w:ascii="Arial Narrow" w:hAnsi="Arial Narrow"/>
              </w:rPr>
            </w:pPr>
          </w:p>
        </w:tc>
        <w:tc>
          <w:tcPr>
            <w:tcW w:w="567" w:type="dxa"/>
            <w:tcBorders>
              <w:left w:val="single" w:sz="8" w:space="0" w:shadow="0" w:frame="0"/>
            </w:tcBorders>
          </w:tcPr>
          <w:p>
            <w:pPr>
              <w:pStyle w:val="P12"/>
              <w:spacing w:lineRule="auto" w:line="288"/>
              <w:jc w:val="center"/>
              <w:rPr>
                <w:rFonts w:ascii="Arial Narrow" w:hAnsi="Arial Narrow"/>
              </w:rPr>
            </w:pPr>
            <w:r>
              <w:rPr>
                <w:rFonts w:ascii="Arial Narrow" w:hAnsi="Arial Narrow"/>
              </w:rPr>
              <w:t>Gcal</w:t>
            </w:r>
          </w:p>
        </w:tc>
        <w:tc>
          <w:tcPr>
            <w:tcW w:w="3402" w:type="dxa"/>
          </w:tcPr>
          <w:p>
            <w:pPr>
              <w:pStyle w:val="P12"/>
              <w:spacing w:lineRule="auto" w:line="288"/>
              <w:jc w:val="left"/>
              <w:rPr>
                <w:rFonts w:ascii="Arial Narrow" w:hAnsi="Arial Narrow"/>
              </w:rPr>
            </w:pPr>
            <w:r>
              <w:rPr>
                <w:rFonts w:ascii="Arial Narrow" w:hAnsi="Arial Narrow"/>
              </w:rPr>
              <w:t xml:space="preserve">=   Gigacalorie</w:t>
            </w:r>
          </w:p>
        </w:tc>
      </w:tr>
      <w:tr>
        <w:trPr>
          <w:wAfter w:w="0" w:type="dxa"/>
        </w:trPr>
        <w:tc>
          <w:tcPr>
            <w:tcW w:w="607" w:type="dxa"/>
          </w:tcPr>
          <w:p>
            <w:pPr>
              <w:pStyle w:val="P12"/>
              <w:spacing w:lineRule="auto" w:line="288"/>
              <w:jc w:val="center"/>
              <w:rPr>
                <w:rFonts w:ascii="Arial Narrow" w:hAnsi="Arial Narrow"/>
              </w:rPr>
            </w:pPr>
            <w:r>
              <w:rPr>
                <w:rFonts w:ascii="Arial Narrow" w:hAnsi="Arial Narrow"/>
              </w:rPr>
              <w:t>Mtoe</w:t>
            </w:r>
          </w:p>
        </w:tc>
        <w:tc>
          <w:tcPr>
            <w:tcW w:w="2965" w:type="dxa"/>
            <w:tcBorders>
              <w:right w:val="single" w:sz="8" w:space="0" w:shadow="0" w:frame="0"/>
            </w:tcBorders>
          </w:tcPr>
          <w:p>
            <w:pPr>
              <w:pStyle w:val="P12"/>
              <w:spacing w:lineRule="auto" w:line="288"/>
              <w:jc w:val="left"/>
              <w:rPr>
                <w:rFonts w:ascii="Arial Narrow" w:hAnsi="Arial Narrow"/>
              </w:rPr>
            </w:pPr>
            <w:r>
              <w:rPr>
                <w:rFonts w:ascii="Arial Narrow" w:hAnsi="Arial Narrow"/>
              </w:rPr>
              <w:t xml:space="preserve">=   Милион тона еквивалентне нафте</w:t>
            </w:r>
          </w:p>
        </w:tc>
        <w:tc>
          <w:tcPr>
            <w:tcW w:w="567" w:type="dxa"/>
            <w:tcBorders>
              <w:top w:val="none" w:sz="0" w:space="0" w:shadow="0" w:frame="0"/>
              <w:left w:val="single" w:sz="8" w:space="0" w:shadow="0" w:frame="0"/>
              <w:bottom w:val="none" w:sz="0" w:space="0" w:shadow="0" w:frame="0"/>
              <w:right w:val="single" w:sz="8" w:space="0" w:shadow="0" w:frame="0"/>
            </w:tcBorders>
          </w:tcPr>
          <w:p>
            <w:pPr>
              <w:pStyle w:val="P12"/>
              <w:spacing w:lineRule="auto" w:line="288"/>
              <w:jc w:val="center"/>
              <w:rPr>
                <w:rFonts w:ascii="Arial Narrow" w:hAnsi="Arial Narrow"/>
              </w:rPr>
            </w:pPr>
          </w:p>
        </w:tc>
        <w:tc>
          <w:tcPr>
            <w:tcW w:w="567" w:type="dxa"/>
            <w:tcBorders>
              <w:left w:val="single" w:sz="8" w:space="0" w:shadow="0" w:frame="0"/>
            </w:tcBorders>
          </w:tcPr>
          <w:p>
            <w:pPr>
              <w:pStyle w:val="P12"/>
              <w:spacing w:lineRule="auto" w:line="288"/>
              <w:jc w:val="center"/>
              <w:rPr>
                <w:rFonts w:ascii="Arial Narrow" w:hAnsi="Arial Narrow"/>
              </w:rPr>
            </w:pPr>
            <w:r>
              <w:rPr>
                <w:rFonts w:ascii="Arial Narrow" w:hAnsi="Arial Narrow"/>
              </w:rPr>
              <w:t>Mtoe</w:t>
            </w:r>
          </w:p>
        </w:tc>
        <w:tc>
          <w:tcPr>
            <w:tcW w:w="3402" w:type="dxa"/>
          </w:tcPr>
          <w:p>
            <w:pPr>
              <w:pStyle w:val="P12"/>
              <w:spacing w:lineRule="auto" w:line="288"/>
              <w:jc w:val="left"/>
              <w:rPr>
                <w:rFonts w:ascii="Arial Narrow" w:hAnsi="Arial Narrow"/>
              </w:rPr>
            </w:pPr>
            <w:r>
              <w:rPr>
                <w:rFonts w:ascii="Arial Narrow" w:hAnsi="Arial Narrow"/>
              </w:rPr>
              <w:t xml:space="preserve">=   Million tonnes of oil equivalent</w:t>
            </w:r>
          </w:p>
        </w:tc>
      </w:tr>
      <w:tr>
        <w:trPr>
          <w:wAfter w:w="0" w:type="dxa"/>
        </w:trPr>
        <w:tc>
          <w:tcPr>
            <w:tcW w:w="607" w:type="dxa"/>
          </w:tcPr>
          <w:p>
            <w:pPr>
              <w:pStyle w:val="P12"/>
              <w:spacing w:lineRule="auto" w:line="288"/>
              <w:jc w:val="center"/>
              <w:rPr>
                <w:rFonts w:ascii="Arial Narrow" w:hAnsi="Arial Narrow"/>
              </w:rPr>
            </w:pPr>
            <w:r>
              <w:rPr>
                <w:rFonts w:ascii="Arial Narrow" w:hAnsi="Arial Narrow"/>
              </w:rPr>
              <w:t>GWh</w:t>
            </w:r>
          </w:p>
        </w:tc>
        <w:tc>
          <w:tcPr>
            <w:tcW w:w="2965" w:type="dxa"/>
            <w:tcBorders>
              <w:right w:val="single" w:sz="8" w:space="0" w:shadow="0" w:frame="0"/>
            </w:tcBorders>
          </w:tcPr>
          <w:p>
            <w:pPr>
              <w:pStyle w:val="P12"/>
              <w:spacing w:lineRule="auto" w:line="288"/>
              <w:jc w:val="left"/>
              <w:rPr>
                <w:rFonts w:ascii="Arial Narrow" w:hAnsi="Arial Narrow"/>
              </w:rPr>
            </w:pPr>
            <w:r>
              <w:rPr>
                <w:rFonts w:ascii="Arial Narrow" w:hAnsi="Arial Narrow"/>
              </w:rPr>
              <w:t xml:space="preserve">=   Гигават час</w:t>
            </w:r>
          </w:p>
        </w:tc>
        <w:tc>
          <w:tcPr>
            <w:tcW w:w="567" w:type="dxa"/>
            <w:tcBorders>
              <w:top w:val="none" w:sz="0" w:space="0" w:shadow="0" w:frame="0"/>
              <w:left w:val="single" w:sz="8" w:space="0" w:shadow="0" w:frame="0"/>
              <w:bottom w:val="none" w:sz="0" w:space="0" w:shadow="0" w:frame="0"/>
              <w:right w:val="single" w:sz="8" w:space="0" w:shadow="0" w:frame="0"/>
            </w:tcBorders>
          </w:tcPr>
          <w:p>
            <w:pPr>
              <w:pStyle w:val="P12"/>
              <w:spacing w:lineRule="auto" w:line="288"/>
              <w:rPr>
                <w:rFonts w:ascii="Arial Narrow" w:hAnsi="Arial Narrow"/>
              </w:rPr>
            </w:pPr>
          </w:p>
        </w:tc>
        <w:tc>
          <w:tcPr>
            <w:tcW w:w="567" w:type="dxa"/>
            <w:tcBorders>
              <w:left w:val="single" w:sz="8" w:space="0" w:shadow="0" w:frame="0"/>
            </w:tcBorders>
          </w:tcPr>
          <w:p>
            <w:pPr>
              <w:pStyle w:val="P12"/>
              <w:spacing w:lineRule="auto" w:line="288"/>
              <w:jc w:val="center"/>
              <w:rPr>
                <w:rFonts w:ascii="Arial Narrow" w:hAnsi="Arial Narrow"/>
              </w:rPr>
            </w:pPr>
            <w:r>
              <w:rPr>
                <w:rFonts w:ascii="Arial Narrow" w:hAnsi="Arial Narrow"/>
              </w:rPr>
              <w:t>GWh</w:t>
            </w:r>
          </w:p>
        </w:tc>
        <w:tc>
          <w:tcPr>
            <w:tcW w:w="3402" w:type="dxa"/>
          </w:tcPr>
          <w:p>
            <w:pPr>
              <w:pStyle w:val="P12"/>
              <w:spacing w:lineRule="auto" w:line="288"/>
              <w:jc w:val="left"/>
              <w:rPr>
                <w:rFonts w:ascii="Arial Narrow" w:hAnsi="Arial Narrow"/>
              </w:rPr>
            </w:pPr>
            <w:r>
              <w:rPr>
                <w:rFonts w:ascii="Arial Narrow" w:hAnsi="Arial Narrow"/>
              </w:rPr>
              <w:t xml:space="preserve">=   Gigawatt-hour</w:t>
            </w:r>
          </w:p>
        </w:tc>
      </w:tr>
      <w:tr>
        <w:trPr>
          <w:wAfter w:w="0" w:type="dxa"/>
        </w:trPr>
        <w:tc>
          <w:tcPr>
            <w:tcW w:w="607" w:type="dxa"/>
          </w:tcPr>
          <w:p>
            <w:pPr>
              <w:pStyle w:val="P12"/>
              <w:spacing w:lineRule="auto" w:line="288"/>
              <w:jc w:val="center"/>
              <w:rPr>
                <w:rFonts w:ascii="Arial Narrow" w:hAnsi="Arial Narrow"/>
              </w:rPr>
            </w:pPr>
            <w:r>
              <w:rPr>
                <w:rFonts w:ascii="Arial Narrow" w:hAnsi="Arial Narrow"/>
              </w:rPr>
              <w:t>t</w:t>
            </w:r>
          </w:p>
        </w:tc>
        <w:tc>
          <w:tcPr>
            <w:tcW w:w="2965" w:type="dxa"/>
            <w:tcBorders>
              <w:right w:val="single" w:sz="8" w:space="0" w:shadow="0" w:frame="0"/>
            </w:tcBorders>
          </w:tcPr>
          <w:p>
            <w:pPr>
              <w:pStyle w:val="P12"/>
              <w:spacing w:lineRule="auto" w:line="288"/>
              <w:jc w:val="left"/>
              <w:rPr>
                <w:rFonts w:ascii="Arial Narrow" w:hAnsi="Arial Narrow"/>
              </w:rPr>
            </w:pPr>
            <w:r>
              <w:rPr>
                <w:rFonts w:ascii="Arial Narrow" w:hAnsi="Arial Narrow"/>
              </w:rPr>
              <w:t xml:space="preserve">=   Тона  </w:t>
            </w:r>
          </w:p>
        </w:tc>
        <w:tc>
          <w:tcPr>
            <w:tcW w:w="567" w:type="dxa"/>
            <w:tcBorders>
              <w:top w:val="none" w:sz="0" w:space="0" w:shadow="0" w:frame="0"/>
              <w:left w:val="single" w:sz="8" w:space="0" w:shadow="0" w:frame="0"/>
              <w:bottom w:val="none" w:sz="0" w:space="0" w:shadow="0" w:frame="0"/>
              <w:right w:val="single" w:sz="8" w:space="0" w:shadow="0" w:frame="0"/>
            </w:tcBorders>
          </w:tcPr>
          <w:p>
            <w:pPr>
              <w:pStyle w:val="P12"/>
              <w:spacing w:lineRule="auto" w:line="288"/>
              <w:rPr>
                <w:rFonts w:ascii="Arial Narrow" w:hAnsi="Arial Narrow"/>
              </w:rPr>
            </w:pPr>
          </w:p>
        </w:tc>
        <w:tc>
          <w:tcPr>
            <w:tcW w:w="567" w:type="dxa"/>
            <w:tcBorders>
              <w:left w:val="single" w:sz="8" w:space="0" w:shadow="0" w:frame="0"/>
            </w:tcBorders>
          </w:tcPr>
          <w:p>
            <w:pPr>
              <w:pStyle w:val="P12"/>
              <w:spacing w:lineRule="auto" w:line="288"/>
              <w:jc w:val="center"/>
              <w:rPr>
                <w:rFonts w:ascii="Arial Narrow" w:hAnsi="Arial Narrow"/>
              </w:rPr>
            </w:pPr>
            <w:r>
              <w:rPr>
                <w:rFonts w:ascii="Arial Narrow" w:hAnsi="Arial Narrow"/>
              </w:rPr>
              <w:t>t</w:t>
            </w:r>
          </w:p>
        </w:tc>
        <w:tc>
          <w:tcPr>
            <w:tcW w:w="3402" w:type="dxa"/>
          </w:tcPr>
          <w:p>
            <w:pPr>
              <w:pStyle w:val="P12"/>
              <w:spacing w:lineRule="auto" w:line="288"/>
              <w:jc w:val="left"/>
              <w:rPr>
                <w:rFonts w:ascii="Arial Narrow" w:hAnsi="Arial Narrow"/>
              </w:rPr>
            </w:pPr>
            <w:r>
              <w:rPr>
                <w:rFonts w:ascii="Arial Narrow" w:hAnsi="Arial Narrow"/>
              </w:rPr>
              <w:t xml:space="preserve">=   Tonne </w:t>
            </w:r>
          </w:p>
        </w:tc>
      </w:tr>
    </w:tbl>
    <w:p/>
    <w:p/>
    <w:p/>
    <w:p/>
    <w:p/>
    <w:tbl>
      <w:tblPr>
        <w:tblStyle w:val="T3"/>
        <w:tblW w:w="0" w:type="auto"/>
        <w:jc w:val="center"/>
        <w:tblBorders>
          <w:top w:val="single" w:sz="8" w:space="0" w:shadow="0" w:frame="0"/>
          <w:left w:val="single" w:sz="8" w:space="0" w:shadow="0" w:frame="0"/>
          <w:bottom w:val="single" w:sz="8" w:space="0" w:shadow="0" w:frame="0"/>
          <w:right w:val="single" w:sz="8"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3572" w:type="dxa"/>
            <w:gridSpan w:val="2"/>
            <w:tcBorders>
              <w:right w:val="single" w:sz="8" w:space="0" w:shadow="0" w:frame="0"/>
            </w:tcBorders>
          </w:tcPr>
          <w:p>
            <w:pPr>
              <w:pStyle w:val="P12"/>
              <w:spacing w:lineRule="auto" w:line="288" w:before="120"/>
              <w:jc w:val="center"/>
              <w:rPr>
                <w:rFonts w:ascii="Arial Narrow" w:hAnsi="Arial Narrow"/>
              </w:rPr>
            </w:pPr>
            <w:r>
              <w:rPr>
                <w:rFonts w:ascii="Arial Narrow" w:hAnsi="Arial Narrow"/>
                <w:b w:val="1"/>
              </w:rPr>
              <w:t>Знаци</w:t>
            </w:r>
          </w:p>
        </w:tc>
        <w:tc>
          <w:tcPr>
            <w:tcW w:w="567" w:type="dxa"/>
            <w:tcBorders>
              <w:top w:val="none" w:sz="0" w:space="0" w:shadow="0" w:frame="0"/>
              <w:left w:val="single" w:sz="8" w:space="0" w:shadow="0" w:frame="0"/>
              <w:bottom w:val="none" w:sz="0" w:space="0" w:shadow="0" w:frame="0"/>
              <w:right w:val="single" w:sz="8" w:space="0" w:shadow="0" w:frame="0"/>
            </w:tcBorders>
          </w:tcPr>
          <w:p>
            <w:pPr>
              <w:pStyle w:val="P12"/>
              <w:spacing w:lineRule="auto" w:line="288" w:before="120"/>
              <w:rPr>
                <w:rFonts w:ascii="Arial Narrow" w:hAnsi="Arial Narrow"/>
              </w:rPr>
            </w:pPr>
          </w:p>
        </w:tc>
        <w:tc>
          <w:tcPr>
            <w:tcW w:w="3969" w:type="dxa"/>
            <w:gridSpan w:val="2"/>
            <w:tcBorders>
              <w:left w:val="single" w:sz="8" w:space="0" w:shadow="0" w:frame="0"/>
            </w:tcBorders>
          </w:tcPr>
          <w:p>
            <w:pPr>
              <w:pStyle w:val="P12"/>
              <w:tabs>
                <w:tab w:val="left" w:pos="1495" w:leader="none"/>
                <w:tab w:val="center" w:pos="1956" w:leader="none"/>
              </w:tabs>
              <w:spacing w:lineRule="auto" w:line="288" w:before="120"/>
              <w:jc w:val="center"/>
              <w:rPr>
                <w:rFonts w:ascii="Arial Narrow" w:hAnsi="Arial Narrow"/>
                <w:b w:val="1"/>
              </w:rPr>
            </w:pPr>
            <w:r>
              <w:rPr>
                <w:rFonts w:ascii="Arial Narrow" w:hAnsi="Arial Narrow"/>
                <w:b w:val="1"/>
              </w:rPr>
              <w:t>Signs</w:t>
            </w:r>
          </w:p>
        </w:tc>
      </w:tr>
      <w:tr>
        <w:trPr>
          <w:wAfter w:w="0" w:type="dxa"/>
        </w:trPr>
        <w:tc>
          <w:tcPr>
            <w:tcW w:w="737" w:type="dxa"/>
          </w:tcPr>
          <w:p>
            <w:pPr>
              <w:pStyle w:val="P12"/>
              <w:spacing w:lineRule="auto" w:line="288"/>
              <w:jc w:val="center"/>
              <w:rPr>
                <w:rFonts w:ascii="Arial Narrow" w:hAnsi="Arial Narrow"/>
              </w:rPr>
            </w:pPr>
            <w:r>
              <w:rPr>
                <w:rFonts w:ascii="Arial Narrow" w:hAnsi="Arial Narrow"/>
              </w:rPr>
              <w:t>-</w:t>
            </w:r>
          </w:p>
        </w:tc>
        <w:tc>
          <w:tcPr>
            <w:tcW w:w="2835" w:type="dxa"/>
            <w:tcBorders>
              <w:right w:val="single" w:sz="8" w:space="0" w:shadow="0" w:frame="0"/>
            </w:tcBorders>
          </w:tcPr>
          <w:p>
            <w:pPr>
              <w:pStyle w:val="P12"/>
              <w:spacing w:lineRule="auto" w:line="288"/>
              <w:jc w:val="left"/>
              <w:rPr>
                <w:rFonts w:ascii="Arial Narrow" w:hAnsi="Arial Narrow"/>
              </w:rPr>
            </w:pPr>
            <w:r>
              <w:rPr>
                <w:rFonts w:ascii="Arial Narrow" w:hAnsi="Arial Narrow"/>
              </w:rPr>
              <w:t>нема појаве</w:t>
            </w:r>
          </w:p>
        </w:tc>
        <w:tc>
          <w:tcPr>
            <w:tcW w:w="567" w:type="dxa"/>
            <w:tcBorders>
              <w:top w:val="none" w:sz="0" w:space="0" w:shadow="0" w:frame="0"/>
              <w:left w:val="single" w:sz="8" w:space="0" w:shadow="0" w:frame="0"/>
              <w:bottom w:val="none" w:sz="0" w:space="0" w:shadow="0" w:frame="0"/>
              <w:right w:val="single" w:sz="8" w:space="0" w:shadow="0" w:frame="0"/>
            </w:tcBorders>
          </w:tcPr>
          <w:p>
            <w:pPr>
              <w:pStyle w:val="P12"/>
              <w:spacing w:lineRule="auto" w:line="288"/>
              <w:jc w:val="center"/>
              <w:rPr>
                <w:rFonts w:ascii="Arial Narrow" w:hAnsi="Arial Narrow"/>
              </w:rPr>
            </w:pPr>
          </w:p>
        </w:tc>
        <w:tc>
          <w:tcPr>
            <w:tcW w:w="567" w:type="dxa"/>
            <w:tcBorders>
              <w:left w:val="single" w:sz="8" w:space="0" w:shadow="0" w:frame="0"/>
            </w:tcBorders>
          </w:tcPr>
          <w:p>
            <w:pPr>
              <w:pStyle w:val="P12"/>
              <w:spacing w:lineRule="auto" w:line="288"/>
              <w:jc w:val="center"/>
              <w:rPr>
                <w:rFonts w:ascii="Arial Narrow" w:hAnsi="Arial Narrow"/>
              </w:rPr>
            </w:pPr>
            <w:r>
              <w:rPr>
                <w:rFonts w:ascii="Arial Narrow" w:hAnsi="Arial Narrow"/>
              </w:rPr>
              <w:t>-</w:t>
            </w:r>
          </w:p>
        </w:tc>
        <w:tc>
          <w:tcPr>
            <w:tcW w:w="3402" w:type="dxa"/>
          </w:tcPr>
          <w:p>
            <w:pPr>
              <w:pStyle w:val="P12"/>
              <w:spacing w:lineRule="auto" w:line="288"/>
              <w:jc w:val="left"/>
              <w:rPr>
                <w:rFonts w:ascii="Arial Narrow" w:hAnsi="Arial Narrow"/>
              </w:rPr>
            </w:pPr>
            <w:r>
              <w:rPr>
                <w:rFonts w:ascii="Arial Narrow" w:hAnsi="Arial Narrow"/>
              </w:rPr>
              <w:t>no occurence of event</w:t>
            </w:r>
          </w:p>
        </w:tc>
      </w:tr>
      <w:tr>
        <w:trPr>
          <w:wAfter w:w="0" w:type="dxa"/>
        </w:trPr>
        <w:tc>
          <w:tcPr>
            <w:tcW w:w="737" w:type="dxa"/>
          </w:tcPr>
          <w:p>
            <w:pPr>
              <w:pStyle w:val="P12"/>
              <w:spacing w:lineRule="auto" w:line="288"/>
              <w:jc w:val="center"/>
              <w:rPr>
                <w:rFonts w:ascii="Arial Narrow" w:hAnsi="Arial Narrow"/>
              </w:rPr>
            </w:pPr>
            <w:r>
              <w:rPr>
                <w:rFonts w:ascii="Arial Narrow" w:hAnsi="Arial Narrow"/>
              </w:rPr>
              <w:t>...</w:t>
            </w:r>
          </w:p>
        </w:tc>
        <w:tc>
          <w:tcPr>
            <w:tcW w:w="2835" w:type="dxa"/>
            <w:tcBorders>
              <w:right w:val="single" w:sz="8" w:space="0" w:shadow="0" w:frame="0"/>
            </w:tcBorders>
          </w:tcPr>
          <w:p>
            <w:pPr>
              <w:pStyle w:val="P12"/>
              <w:spacing w:lineRule="auto" w:line="288"/>
              <w:jc w:val="left"/>
              <w:rPr>
                <w:rFonts w:ascii="Arial Narrow" w:hAnsi="Arial Narrow"/>
              </w:rPr>
            </w:pPr>
            <w:r>
              <w:rPr>
                <w:rFonts w:ascii="Arial Narrow" w:hAnsi="Arial Narrow"/>
              </w:rPr>
              <w:t>не располаже се податком</w:t>
            </w:r>
          </w:p>
        </w:tc>
        <w:tc>
          <w:tcPr>
            <w:tcW w:w="567" w:type="dxa"/>
            <w:tcBorders>
              <w:top w:val="none" w:sz="0" w:space="0" w:shadow="0" w:frame="0"/>
              <w:left w:val="single" w:sz="8" w:space="0" w:shadow="0" w:frame="0"/>
              <w:bottom w:val="none" w:sz="0" w:space="0" w:shadow="0" w:frame="0"/>
              <w:right w:val="single" w:sz="8" w:space="0" w:shadow="0" w:frame="0"/>
            </w:tcBorders>
          </w:tcPr>
          <w:p>
            <w:pPr>
              <w:pStyle w:val="P12"/>
              <w:spacing w:lineRule="auto" w:line="288"/>
              <w:jc w:val="center"/>
              <w:rPr>
                <w:rFonts w:ascii="Arial Narrow" w:hAnsi="Arial Narrow"/>
              </w:rPr>
            </w:pPr>
          </w:p>
        </w:tc>
        <w:tc>
          <w:tcPr>
            <w:tcW w:w="567" w:type="dxa"/>
            <w:tcBorders>
              <w:left w:val="single" w:sz="8" w:space="0" w:shadow="0" w:frame="0"/>
            </w:tcBorders>
          </w:tcPr>
          <w:p>
            <w:pPr>
              <w:pStyle w:val="P12"/>
              <w:spacing w:lineRule="auto" w:line="288"/>
              <w:jc w:val="center"/>
              <w:rPr>
                <w:rFonts w:ascii="Arial Narrow" w:hAnsi="Arial Narrow"/>
              </w:rPr>
            </w:pPr>
            <w:r>
              <w:rPr>
                <w:rFonts w:ascii="Arial Narrow" w:hAnsi="Arial Narrow"/>
              </w:rPr>
              <w:t>...</w:t>
            </w:r>
          </w:p>
        </w:tc>
        <w:tc>
          <w:tcPr>
            <w:tcW w:w="3402" w:type="dxa"/>
          </w:tcPr>
          <w:p>
            <w:pPr>
              <w:pStyle w:val="P12"/>
              <w:spacing w:lineRule="auto" w:line="288"/>
              <w:jc w:val="left"/>
              <w:rPr>
                <w:rFonts w:ascii="Arial Narrow" w:hAnsi="Arial Narrow"/>
              </w:rPr>
            </w:pPr>
            <w:r>
              <w:rPr>
                <w:rFonts w:ascii="Arial Narrow" w:hAnsi="Arial Narrow"/>
              </w:rPr>
              <w:t>data not available</w:t>
            </w:r>
          </w:p>
        </w:tc>
      </w:tr>
      <w:tr>
        <w:trPr>
          <w:wAfter w:w="0" w:type="dxa"/>
        </w:trPr>
        <w:tc>
          <w:tcPr>
            <w:tcW w:w="737" w:type="dxa"/>
          </w:tcPr>
          <w:p>
            <w:pPr>
              <w:pStyle w:val="P12"/>
              <w:spacing w:lineRule="auto" w:line="288"/>
              <w:jc w:val="center"/>
              <w:rPr>
                <w:rFonts w:ascii="Arial Narrow" w:hAnsi="Arial Narrow"/>
              </w:rPr>
            </w:pPr>
            <w:r>
              <w:rPr>
                <w:rFonts w:ascii="Arial Narrow" w:hAnsi="Arial Narrow"/>
              </w:rPr>
              <w:t>0</w:t>
            </w:r>
          </w:p>
        </w:tc>
        <w:tc>
          <w:tcPr>
            <w:tcW w:w="2835" w:type="dxa"/>
            <w:tcBorders>
              <w:right w:val="single" w:sz="8" w:space="0" w:shadow="0" w:frame="0"/>
            </w:tcBorders>
          </w:tcPr>
          <w:p>
            <w:pPr>
              <w:pStyle w:val="P12"/>
              <w:spacing w:lineRule="auto" w:line="288"/>
              <w:jc w:val="left"/>
              <w:rPr>
                <w:rFonts w:ascii="Arial Narrow" w:hAnsi="Arial Narrow"/>
              </w:rPr>
            </w:pPr>
            <w:r>
              <w:rPr>
                <w:rFonts w:ascii="Arial Narrow" w:hAnsi="Arial Narrow"/>
              </w:rPr>
              <w:t>податак је мањи од 0,5 дате јединице мере</w:t>
            </w:r>
          </w:p>
        </w:tc>
        <w:tc>
          <w:tcPr>
            <w:tcW w:w="567" w:type="dxa"/>
            <w:tcBorders>
              <w:top w:val="none" w:sz="0" w:space="0" w:shadow="0" w:frame="0"/>
              <w:left w:val="single" w:sz="8" w:space="0" w:shadow="0" w:frame="0"/>
              <w:bottom w:val="none" w:sz="0" w:space="0" w:shadow="0" w:frame="0"/>
              <w:right w:val="single" w:sz="8" w:space="0" w:shadow="0" w:frame="0"/>
            </w:tcBorders>
          </w:tcPr>
          <w:p>
            <w:pPr>
              <w:pStyle w:val="P12"/>
              <w:spacing w:lineRule="auto" w:line="288"/>
              <w:jc w:val="center"/>
              <w:rPr>
                <w:rFonts w:ascii="Arial Narrow" w:hAnsi="Arial Narrow"/>
              </w:rPr>
            </w:pPr>
          </w:p>
        </w:tc>
        <w:tc>
          <w:tcPr>
            <w:tcW w:w="567" w:type="dxa"/>
            <w:tcBorders>
              <w:left w:val="single" w:sz="8" w:space="0" w:shadow="0" w:frame="0"/>
            </w:tcBorders>
          </w:tcPr>
          <w:p>
            <w:pPr>
              <w:pStyle w:val="P12"/>
              <w:spacing w:lineRule="auto" w:line="288"/>
              <w:jc w:val="center"/>
              <w:rPr>
                <w:rFonts w:ascii="Arial Narrow" w:hAnsi="Arial Narrow"/>
              </w:rPr>
            </w:pPr>
            <w:r>
              <w:rPr>
                <w:rFonts w:ascii="Arial Narrow" w:hAnsi="Arial Narrow"/>
              </w:rPr>
              <w:t>0</w:t>
            </w:r>
          </w:p>
        </w:tc>
        <w:tc>
          <w:tcPr>
            <w:tcW w:w="3402" w:type="dxa"/>
          </w:tcPr>
          <w:p>
            <w:pPr>
              <w:pStyle w:val="P12"/>
              <w:spacing w:lineRule="auto" w:line="288"/>
              <w:jc w:val="left"/>
              <w:rPr>
                <w:rFonts w:ascii="Arial Narrow" w:hAnsi="Arial Narrow"/>
              </w:rPr>
            </w:pPr>
            <w:r>
              <w:rPr>
                <w:rFonts w:ascii="Arial Narrow" w:hAnsi="Arial Narrow"/>
              </w:rPr>
              <w:t>value less than 0,5 of the unit</w:t>
            </w:r>
          </w:p>
          <w:p>
            <w:pPr>
              <w:pStyle w:val="P12"/>
              <w:spacing w:lineRule="auto" w:line="288"/>
              <w:jc w:val="left"/>
              <w:rPr>
                <w:rFonts w:ascii="Arial Narrow" w:hAnsi="Arial Narrow"/>
              </w:rPr>
            </w:pPr>
            <w:r>
              <w:rPr>
                <w:rFonts w:ascii="Arial Narrow" w:hAnsi="Arial Narrow"/>
              </w:rPr>
              <w:t>of measure</w:t>
            </w:r>
          </w:p>
        </w:tc>
      </w:tr>
      <w:tr>
        <w:trPr>
          <w:wAfter w:w="0" w:type="dxa"/>
        </w:trPr>
        <w:tc>
          <w:tcPr>
            <w:tcW w:w="737" w:type="dxa"/>
          </w:tcPr>
          <w:p>
            <w:pPr>
              <w:pStyle w:val="P12"/>
              <w:spacing w:lineRule="auto" w:line="288"/>
              <w:jc w:val="center"/>
              <w:rPr>
                <w:rFonts w:ascii="Arial Narrow" w:hAnsi="Arial Narrow"/>
                <w:vertAlign w:val="superscript"/>
              </w:rPr>
            </w:pPr>
            <w:r>
              <w:rPr>
                <w:rFonts w:ascii="Arial Narrow" w:hAnsi="Arial Narrow"/>
                <w:vertAlign w:val="superscript"/>
              </w:rPr>
              <w:t>1)</w:t>
            </w:r>
          </w:p>
        </w:tc>
        <w:tc>
          <w:tcPr>
            <w:tcW w:w="2835" w:type="dxa"/>
            <w:tcBorders>
              <w:right w:val="single" w:sz="8" w:space="0" w:shadow="0" w:frame="0"/>
            </w:tcBorders>
          </w:tcPr>
          <w:p>
            <w:pPr>
              <w:pStyle w:val="P12"/>
              <w:spacing w:lineRule="auto" w:line="288"/>
              <w:jc w:val="left"/>
              <w:rPr>
                <w:rFonts w:ascii="Arial Narrow" w:hAnsi="Arial Narrow"/>
              </w:rPr>
            </w:pPr>
            <w:r>
              <w:rPr>
                <w:rFonts w:ascii="Arial Narrow" w:hAnsi="Arial Narrow"/>
              </w:rPr>
              <w:t>напомена</w:t>
            </w:r>
          </w:p>
        </w:tc>
        <w:tc>
          <w:tcPr>
            <w:tcW w:w="567" w:type="dxa"/>
            <w:tcBorders>
              <w:top w:val="none" w:sz="0" w:space="0" w:shadow="0" w:frame="0"/>
              <w:left w:val="single" w:sz="8" w:space="0" w:shadow="0" w:frame="0"/>
              <w:bottom w:val="none" w:sz="0" w:space="0" w:shadow="0" w:frame="0"/>
              <w:right w:val="single" w:sz="8" w:space="0" w:shadow="0" w:frame="0"/>
            </w:tcBorders>
          </w:tcPr>
          <w:p>
            <w:pPr>
              <w:pStyle w:val="P12"/>
              <w:spacing w:lineRule="auto" w:line="288"/>
              <w:rPr>
                <w:rFonts w:ascii="Arial Narrow" w:hAnsi="Arial Narrow"/>
              </w:rPr>
            </w:pPr>
          </w:p>
        </w:tc>
        <w:tc>
          <w:tcPr>
            <w:tcW w:w="567" w:type="dxa"/>
            <w:tcBorders>
              <w:left w:val="single" w:sz="8" w:space="0" w:shadow="0" w:frame="0"/>
            </w:tcBorders>
          </w:tcPr>
          <w:p>
            <w:pPr>
              <w:pStyle w:val="P12"/>
              <w:spacing w:lineRule="auto" w:line="288"/>
              <w:jc w:val="center"/>
              <w:rPr>
                <w:rFonts w:ascii="Arial Narrow" w:hAnsi="Arial Narrow"/>
                <w:vertAlign w:val="superscript"/>
              </w:rPr>
            </w:pPr>
            <w:r>
              <w:rPr>
                <w:rFonts w:ascii="Arial Narrow" w:hAnsi="Arial Narrow"/>
                <w:vertAlign w:val="superscript"/>
              </w:rPr>
              <w:t>1)</w:t>
            </w:r>
          </w:p>
        </w:tc>
        <w:tc>
          <w:tcPr>
            <w:tcW w:w="3402" w:type="dxa"/>
          </w:tcPr>
          <w:p>
            <w:pPr>
              <w:pStyle w:val="P12"/>
              <w:spacing w:lineRule="auto" w:line="288"/>
              <w:jc w:val="left"/>
              <w:rPr>
                <w:rFonts w:ascii="Arial Narrow" w:hAnsi="Arial Narrow"/>
              </w:rPr>
            </w:pPr>
            <w:r>
              <w:rPr>
                <w:rFonts w:ascii="Arial Narrow" w:hAnsi="Arial Narrow"/>
              </w:rPr>
              <w:t>footnote</w:t>
            </w:r>
          </w:p>
        </w:tc>
      </w:tr>
    </w:tbl>
    <w:p/>
    <w:p/>
    <w:p>
      <w:pPr>
        <w:rPr>
          <w:sz w:val="2"/>
        </w:rPr>
      </w:pPr>
      <w:r>
        <w:br w:type="page"/>
      </w:r>
    </w:p>
    <w:tbl>
      <w:tblPr>
        <w:tblStyle w:val="T2"/>
        <w:tblW w:w="0" w:type="auto"/>
        <w:jc w:val="center"/>
        <w:tblLayout w:type="autofit"/>
        <w:tblCellMar>
          <w:left w:w="28" w:type="dxa"/>
          <w:right w:w="28" w:type="dxa"/>
        </w:tblCellMar>
      </w:tblPr>
      <w:tblGrid/>
      <w:tr>
        <w:trPr>
          <w:wAfter w:w="0" w:type="dxa"/>
        </w:trPr>
        <w:tc>
          <w:tcPr>
            <w:tcW w:w="9470" w:type="dxa"/>
            <w:gridSpan w:val="5"/>
            <w:tcBorders>
              <w:bottom w:val="single" w:sz="6" w:space="0" w:shadow="0" w:frame="0"/>
            </w:tcBorders>
            <w:tcMar>
              <w:top w:w="11" w:type="dxa"/>
              <w:left w:w="11" w:type="dxa"/>
              <w:bottom w:w="0" w:type="dxa"/>
              <w:right w:w="11" w:type="dxa"/>
            </w:tcMar>
            <w:vAlign w:val="bottom"/>
          </w:tcPr>
          <w:p>
            <w:pPr>
              <w:jc w:val="center"/>
              <w:rPr>
                <w:rFonts w:ascii="Arial Narrow" w:hAnsi="Arial Narrow"/>
              </w:rPr>
            </w:pPr>
            <w:r>
              <w:rPr>
                <w:rFonts w:ascii="Arial Narrow" w:hAnsi="Arial Narrow"/>
                <w:b w:val="1"/>
              </w:rPr>
              <w:t>Биланс електричне енергије, 2007</w:t>
            </w:r>
            <w:r>
              <w:rPr>
                <w:rFonts w:ascii="Arial Narrow" w:hAnsi="Arial Narrow"/>
                <w:b w:val="1"/>
              </w:rPr>
              <w:t>. године</w:t>
            </w:r>
          </w:p>
          <w:p>
            <w:pPr>
              <w:jc w:val="center"/>
              <w:rPr>
                <w:rFonts w:ascii="Arial Narrow" w:hAnsi="Arial Narrow"/>
                <w:sz w:val="18"/>
              </w:rPr>
            </w:pPr>
            <w:r>
              <w:rPr>
                <w:rFonts w:ascii="Arial Narrow" w:hAnsi="Arial Narrow"/>
                <w:b w:val="1"/>
              </w:rPr>
              <w:t>Balance of Electricity in 2007</w:t>
            </w:r>
          </w:p>
        </w:tc>
      </w:tr>
      <w:tr>
        <w:trPr>
          <w:wAfter w:w="0" w:type="dxa"/>
        </w:trPr>
        <w:tc>
          <w:tcPr>
            <w:tcW w:w="4706" w:type="dxa"/>
            <w:tcBorders>
              <w:top w:val="single" w:sz="6" w:space="0" w:shadow="0" w:frame="0"/>
              <w:left w:val="single" w:sz="6" w:space="0" w:shadow="0" w:frame="0"/>
              <w:right w:val="single" w:sz="6" w:space="0" w:shadow="0" w:frame="0"/>
            </w:tcBorders>
            <w:shd w:val="clear" w:color="auto" w:fill="CCFFFF"/>
            <w:tcMar>
              <w:top w:w="11" w:type="dxa"/>
              <w:left w:w="11" w:type="dxa"/>
              <w:bottom w:w="0" w:type="dxa"/>
              <w:right w:w="11" w:type="dxa"/>
            </w:tcMar>
            <w:vAlign w:val="bottom"/>
          </w:tcPr>
          <w:p>
            <w:pPr>
              <w:rPr>
                <w:rFonts w:ascii="Arial Narrow" w:hAnsi="Arial Narrow"/>
                <w:sz w:val="18"/>
              </w:rPr>
            </w:pPr>
            <w:r>
              <w:rPr>
                <w:rFonts w:ascii="Arial Narrow" w:hAnsi="Arial Narrow"/>
                <w:sz w:val="18"/>
              </w:rPr>
              <w:t> </w:t>
            </w:r>
          </w:p>
          <w:p>
            <w:pPr>
              <w:rPr>
                <w:rFonts w:ascii="Arial Narrow" w:hAnsi="Arial Narrow"/>
                <w:sz w:val="18"/>
              </w:rPr>
            </w:pPr>
            <w:r>
              <w:rPr>
                <w:rFonts w:ascii="Arial Narrow" w:hAnsi="Arial Narrow"/>
                <w:sz w:val="18"/>
              </w:rPr>
              <w:t> </w:t>
            </w:r>
          </w:p>
        </w:tc>
        <w:tc>
          <w:tcPr>
            <w:tcW w:w="1191" w:type="dxa"/>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center"/>
          </w:tcPr>
          <w:p>
            <w:pPr>
              <w:jc w:val="center"/>
              <w:rPr>
                <w:rFonts w:ascii="Arial Narrow" w:hAnsi="Arial Narrow"/>
                <w:sz w:val="18"/>
              </w:rPr>
            </w:pPr>
            <w:r>
              <w:rPr>
                <w:rFonts w:ascii="Arial Narrow" w:hAnsi="Arial Narrow"/>
                <w:sz w:val="18"/>
              </w:rPr>
              <w:t xml:space="preserve">Хидро-електрична енергија        </w:t>
            </w:r>
            <w:r>
              <w:rPr>
                <w:rFonts w:ascii="Arial Narrow" w:hAnsi="Arial Narrow"/>
                <w:i w:val="1"/>
                <w:sz w:val="18"/>
              </w:rPr>
              <w:t>Hydro energy</w:t>
            </w:r>
          </w:p>
        </w:tc>
        <w:tc>
          <w:tcPr>
            <w:tcW w:w="1191" w:type="dxa"/>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center"/>
          </w:tcPr>
          <w:p>
            <w:pPr>
              <w:jc w:val="center"/>
              <w:rPr>
                <w:rFonts w:ascii="Arial Narrow" w:hAnsi="Arial Narrow"/>
                <w:sz w:val="18"/>
              </w:rPr>
            </w:pPr>
            <w:r>
              <w:rPr>
                <w:rFonts w:ascii="Arial Narrow" w:hAnsi="Arial Narrow"/>
                <w:sz w:val="18"/>
              </w:rPr>
              <w:t xml:space="preserve">Укупна електрична енергија  </w:t>
            </w:r>
            <w:r>
              <w:rPr>
                <w:rFonts w:ascii="Arial Narrow" w:hAnsi="Arial Narrow"/>
                <w:i w:val="1"/>
                <w:sz w:val="18"/>
              </w:rPr>
              <w:t>Electricity</w:t>
            </w:r>
          </w:p>
        </w:tc>
        <w:tc>
          <w:tcPr>
            <w:tcW w:w="1191" w:type="dxa"/>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center"/>
          </w:tcPr>
          <w:p>
            <w:pPr>
              <w:jc w:val="center"/>
              <w:rPr>
                <w:rFonts w:ascii="Arial Narrow" w:hAnsi="Arial Narrow"/>
                <w:sz w:val="18"/>
              </w:rPr>
            </w:pPr>
            <w:r>
              <w:rPr>
                <w:rFonts w:ascii="Arial Narrow" w:hAnsi="Arial Narrow"/>
                <w:sz w:val="18"/>
              </w:rPr>
              <w:t xml:space="preserve">Хидро-електрична енергија        </w:t>
            </w:r>
            <w:r>
              <w:rPr>
                <w:rFonts w:ascii="Arial Narrow" w:hAnsi="Arial Narrow"/>
                <w:i w:val="1"/>
                <w:sz w:val="18"/>
              </w:rPr>
              <w:t>Hydro energy</w:t>
            </w:r>
          </w:p>
        </w:tc>
        <w:tc>
          <w:tcPr>
            <w:tcW w:w="1191" w:type="dxa"/>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center"/>
          </w:tcPr>
          <w:p>
            <w:pPr>
              <w:jc w:val="center"/>
              <w:rPr>
                <w:rFonts w:ascii="Arial Narrow" w:hAnsi="Arial Narrow"/>
                <w:sz w:val="18"/>
              </w:rPr>
            </w:pPr>
            <w:r>
              <w:rPr>
                <w:rFonts w:ascii="Arial Narrow" w:hAnsi="Arial Narrow"/>
                <w:sz w:val="18"/>
              </w:rPr>
              <w:t xml:space="preserve">Укупна електрична енергија  </w:t>
            </w:r>
            <w:r>
              <w:rPr>
                <w:rFonts w:ascii="Arial Narrow" w:hAnsi="Arial Narrow"/>
                <w:i w:val="1"/>
                <w:sz w:val="18"/>
              </w:rPr>
              <w:t>Electricity</w:t>
            </w:r>
          </w:p>
        </w:tc>
      </w:tr>
      <w:tr>
        <w:trPr>
          <w:wAfter w:w="0" w:type="dxa"/>
        </w:trPr>
        <w:tc>
          <w:tcPr>
            <w:tcW w:w="4706" w:type="dxa"/>
            <w:tcBorders>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rPr>
                <w:rFonts w:ascii="Arial Narrow" w:hAnsi="Arial Narrow"/>
                <w:sz w:val="18"/>
              </w:rPr>
            </w:pPr>
          </w:p>
        </w:tc>
        <w:tc>
          <w:tcPr>
            <w:tcW w:w="2382" w:type="dxa"/>
            <w:gridSpan w:val="2"/>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spacing w:before="60" w:after="60"/>
              <w:jc w:val="center"/>
              <w:rPr>
                <w:rFonts w:ascii="Arial Narrow" w:hAnsi="Arial Narrow"/>
                <w:sz w:val="18"/>
              </w:rPr>
            </w:pPr>
            <w:r>
              <w:rPr>
                <w:rFonts w:ascii="Arial Narrow" w:hAnsi="Arial Narrow"/>
                <w:sz w:val="18"/>
              </w:rPr>
              <w:t>GWh</w:t>
            </w:r>
          </w:p>
        </w:tc>
        <w:tc>
          <w:tcPr>
            <w:tcW w:w="2382" w:type="dxa"/>
            <w:gridSpan w:val="2"/>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spacing w:before="60" w:after="60"/>
              <w:jc w:val="center"/>
              <w:rPr>
                <w:rFonts w:ascii="Arial Narrow" w:hAnsi="Arial Narrow"/>
                <w:sz w:val="18"/>
              </w:rPr>
            </w:pPr>
            <w:r>
              <w:rPr>
                <w:rFonts w:ascii="Arial Narrow" w:hAnsi="Arial Narrow"/>
                <w:sz w:val="18"/>
              </w:rPr>
              <w:t>ТЈ</w:t>
            </w:r>
          </w:p>
        </w:tc>
      </w:tr>
      <w:tr>
        <w:trPr>
          <w:wAfter w:w="0" w:type="dxa"/>
        </w:trPr>
        <w:tc>
          <w:tcPr>
            <w:tcW w:w="4706" w:type="dxa"/>
            <w:tcBorders>
              <w:top w:val="single" w:sz="6" w:space="0" w:shadow="0" w:frame="0"/>
              <w:left w:val="single" w:sz="6" w:space="0" w:shadow="0" w:frame="0"/>
              <w:right w:val="single" w:sz="6" w:space="0" w:shadow="0" w:frame="0"/>
            </w:tcBorders>
            <w:tcMar>
              <w:top w:w="11" w:type="dxa"/>
              <w:left w:w="11" w:type="dxa"/>
              <w:bottom w:w="0" w:type="dxa"/>
              <w:right w:w="11" w:type="dxa"/>
            </w:tcMar>
            <w:vAlign w:val="bottom"/>
          </w:tcPr>
          <w:p>
            <w:pPr>
              <w:rPr>
                <w:rFonts w:ascii="Arial Narrow" w:hAnsi="Arial Narrow"/>
                <w:sz w:val="18"/>
              </w:rPr>
            </w:pPr>
          </w:p>
        </w:tc>
        <w:tc>
          <w:tcPr>
            <w:tcW w:w="1191" w:type="dxa"/>
            <w:tcBorders>
              <w:top w:val="single" w:sz="6" w:space="0" w:shadow="0" w:frame="0"/>
              <w:left w:val="single" w:sz="6" w:space="0" w:shadow="0" w:frame="0"/>
            </w:tcBorders>
            <w:tcMar>
              <w:top w:w="11" w:type="dxa"/>
              <w:left w:w="11" w:type="dxa"/>
              <w:bottom w:w="0" w:type="dxa"/>
              <w:right w:w="11" w:type="dxa"/>
            </w:tcMar>
            <w:vAlign w:val="bottom"/>
          </w:tcPr>
          <w:p>
            <w:pPr>
              <w:jc w:val="right"/>
              <w:rPr>
                <w:rFonts w:ascii="Arial Narrow" w:hAnsi="Arial Narrow"/>
                <w:sz w:val="18"/>
              </w:rPr>
            </w:pPr>
          </w:p>
        </w:tc>
        <w:tc>
          <w:tcPr>
            <w:tcW w:w="1191" w:type="dxa"/>
            <w:tcBorders>
              <w:top w:val="single" w:sz="6" w:space="0" w:shadow="0" w:frame="0"/>
              <w:right w:val="single" w:sz="6" w:space="0" w:shadow="0" w:frame="0"/>
            </w:tcBorders>
            <w:tcMar>
              <w:top w:w="11" w:type="dxa"/>
              <w:left w:w="11" w:type="dxa"/>
              <w:bottom w:w="0" w:type="dxa"/>
              <w:right w:w="11" w:type="dxa"/>
            </w:tcMar>
            <w:vAlign w:val="bottom"/>
          </w:tcPr>
          <w:p>
            <w:pPr>
              <w:jc w:val="right"/>
              <w:rPr>
                <w:rFonts w:ascii="Arial Narrow" w:hAnsi="Arial Narrow"/>
                <w:sz w:val="18"/>
              </w:rPr>
            </w:pPr>
          </w:p>
        </w:tc>
        <w:tc>
          <w:tcPr>
            <w:tcW w:w="1191" w:type="dxa"/>
            <w:tcBorders>
              <w:top w:val="single" w:sz="6" w:space="0" w:shadow="0" w:frame="0"/>
              <w:left w:val="single" w:sz="6" w:space="0" w:shadow="0" w:frame="0"/>
            </w:tcBorders>
            <w:tcMar>
              <w:top w:w="11" w:type="dxa"/>
              <w:left w:w="11" w:type="dxa"/>
              <w:bottom w:w="0" w:type="dxa"/>
              <w:right w:w="11" w:type="dxa"/>
            </w:tcMar>
            <w:vAlign w:val="bottom"/>
          </w:tcPr>
          <w:p>
            <w:pPr>
              <w:jc w:val="right"/>
              <w:rPr>
                <w:rFonts w:ascii="Arial Narrow" w:hAnsi="Arial Narrow"/>
                <w:sz w:val="18"/>
              </w:rPr>
            </w:pPr>
          </w:p>
        </w:tc>
        <w:tc>
          <w:tcPr>
            <w:tcW w:w="1191" w:type="dxa"/>
            <w:tcBorders>
              <w:top w:val="single" w:sz="6" w:space="0" w:shadow="0" w:frame="0"/>
              <w:right w:val="single" w:sz="6" w:space="0" w:shadow="0" w:frame="0"/>
            </w:tcBorders>
            <w:tcMar>
              <w:top w:w="11" w:type="dxa"/>
              <w:left w:w="11" w:type="dxa"/>
              <w:bottom w:w="0" w:type="dxa"/>
              <w:right w:w="11" w:type="dxa"/>
            </w:tcMar>
            <w:vAlign w:val="bottom"/>
          </w:tcPr>
          <w:p>
            <w:pPr>
              <w:jc w:val="right"/>
              <w:rPr>
                <w:rFonts w:ascii="Arial Narrow" w:hAnsi="Arial Narrow"/>
                <w:sz w:val="18"/>
              </w:rPr>
            </w:pP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rPr>
                <w:rFonts w:ascii="Arial Narrow" w:hAnsi="Arial Narrow"/>
                <w:sz w:val="18"/>
              </w:rPr>
            </w:pPr>
            <w:r>
              <w:rPr>
                <w:rFonts w:ascii="Arial Narrow" w:hAnsi="Arial Narrow"/>
                <w:sz w:val="18"/>
              </w:rPr>
              <w:t>Примарна производња енергије / Primary production</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10037</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36133</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rPr>
                <w:rFonts w:ascii="Arial Narrow" w:hAnsi="Arial Narrow"/>
                <w:sz w:val="18"/>
              </w:rPr>
            </w:pPr>
            <w:r>
              <w:rPr>
                <w:rFonts w:ascii="Arial Narrow" w:hAnsi="Arial Narrow"/>
                <w:sz w:val="18"/>
              </w:rPr>
              <w:t>Увоз / Import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9106</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32782</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rPr>
                <w:rFonts w:ascii="Arial Narrow" w:hAnsi="Arial Narrow"/>
                <w:sz w:val="18"/>
              </w:rPr>
            </w:pPr>
            <w:r>
              <w:rPr>
                <w:rFonts w:ascii="Arial Narrow" w:hAnsi="Arial Narrow"/>
                <w:sz w:val="18"/>
              </w:rPr>
              <w:t>Извоз / Export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9192</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33091</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rPr>
                <w:rFonts w:ascii="Arial Narrow" w:hAnsi="Arial Narrow"/>
                <w:sz w:val="18"/>
              </w:rPr>
            </w:pPr>
            <w:r>
              <w:rPr>
                <w:rFonts w:ascii="Arial Narrow" w:hAnsi="Arial Narrow"/>
                <w:sz w:val="18"/>
              </w:rPr>
              <w:t>Салдо залиха / Stock changes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rPr>
                <w:rFonts w:ascii="Arial Narrow" w:hAnsi="Arial Narrow"/>
                <w:sz w:val="18"/>
              </w:rPr>
            </w:pPr>
            <w:r>
              <w:rPr>
                <w:rFonts w:ascii="Arial Narrow" w:hAnsi="Arial Narrow"/>
                <w:sz w:val="18"/>
              </w:rPr>
              <w:t>Међународна складишта / Bunkers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bottom w:val="single" w:sz="6" w:space="0" w:shadow="0" w:frame="0"/>
              <w:right w:val="single" w:sz="6" w:space="0" w:shadow="0" w:frame="0"/>
            </w:tcBorders>
            <w:tcMar>
              <w:top w:w="11" w:type="dxa"/>
              <w:left w:w="11" w:type="dxa"/>
              <w:bottom w:w="0" w:type="dxa"/>
              <w:right w:w="11" w:type="dxa"/>
            </w:tcMar>
            <w:vAlign w:val="bottom"/>
          </w:tcPr>
          <w:p>
            <w:pPr>
              <w:rPr>
                <w:rFonts w:ascii="Arial Narrow" w:hAnsi="Arial Narrow"/>
                <w:sz w:val="18"/>
              </w:rPr>
            </w:pPr>
            <w:r>
              <w:rPr>
                <w:rFonts w:ascii="Arial Narrow" w:hAnsi="Arial Narrow"/>
                <w:sz w:val="18"/>
              </w:rPr>
              <w:t>Статистичка разлика / Statistical difference</w:t>
            </w:r>
          </w:p>
        </w:tc>
        <w:tc>
          <w:tcPr>
            <w:tcW w:w="1191" w:type="dxa"/>
            <w:tcBorders>
              <w:left w:val="single" w:sz="6" w:space="0" w:shadow="0" w:frame="0"/>
              <w:bottom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bottom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bottom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bottom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rPr>
                <w:rFonts w:ascii="Arial Narrow" w:hAnsi="Arial Narrow"/>
                <w:b w:val="1"/>
                <w:sz w:val="18"/>
              </w:rPr>
            </w:pPr>
            <w:r>
              <w:rPr>
                <w:rFonts w:ascii="Arial Narrow" w:hAnsi="Arial Narrow"/>
                <w:b w:val="1"/>
                <w:sz w:val="18"/>
              </w:rPr>
              <w:t>Укупно расположива енергија /</w:t>
            </w:r>
            <w:r>
              <w:rPr>
                <w:rFonts w:ascii="Arial Narrow" w:hAnsi="Arial Narrow"/>
                <w:b w:val="1"/>
                <w:sz w:val="18"/>
              </w:rPr>
              <w:t xml:space="preserve"> </w:t>
            </w:r>
            <w:r>
              <w:rPr>
                <w:rFonts w:ascii="Arial Narrow" w:hAnsi="Arial Narrow"/>
                <w:b w:val="1"/>
                <w:sz w:val="18"/>
              </w:rPr>
              <w:t xml:space="preserve">Gross inland consumption  </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10037</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r>
              <w:rPr>
                <w:rFonts w:ascii="Arial Narrow" w:hAnsi="Arial Narrow"/>
                <w:b w:val="1"/>
                <w:sz w:val="18"/>
              </w:rPr>
              <w:t>86</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36133</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-310</w:t>
            </w:r>
          </w:p>
        </w:tc>
      </w:tr>
      <w:tr>
        <w:trPr>
          <w:wAfter w:w="0" w:type="dxa"/>
        </w:trPr>
        <w:tc>
          <w:tcPr>
            <w:tcW w:w="4706" w:type="dxa"/>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rPr>
                <w:rFonts w:ascii="Arial Narrow" w:hAnsi="Arial Narrow"/>
                <w:b w:val="1"/>
                <w:sz w:val="18"/>
              </w:rPr>
            </w:pPr>
            <w:r>
              <w:rPr>
                <w:rFonts w:ascii="Arial Narrow" w:hAnsi="Arial Narrow"/>
                <w:b w:val="1"/>
                <w:sz w:val="18"/>
              </w:rPr>
              <w:t>Утрошак за производњу енергије /</w:t>
            </w:r>
            <w:r>
              <w:rPr>
                <w:rFonts w:ascii="Arial Narrow" w:hAnsi="Arial Narrow"/>
                <w:b w:val="1"/>
                <w:sz w:val="18"/>
              </w:rPr>
              <w:t xml:space="preserve"> </w:t>
            </w:r>
            <w:r>
              <w:rPr>
                <w:rFonts w:ascii="Arial Narrow" w:hAnsi="Arial Narrow"/>
                <w:b w:val="1"/>
                <w:sz w:val="18"/>
              </w:rPr>
              <w:t>Transformation input</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r>
      <w:tr>
        <w:trPr>
          <w:wAfter w:w="0" w:type="dxa"/>
        </w:trPr>
        <w:tc>
          <w:tcPr>
            <w:tcW w:w="4706" w:type="dxa"/>
            <w:tcBorders>
              <w:top w:val="single" w:sz="6" w:space="0" w:shadow="0" w:frame="0"/>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Термоелектране / Thermal power plants</w:t>
            </w:r>
          </w:p>
        </w:tc>
        <w:tc>
          <w:tcPr>
            <w:tcW w:w="1191" w:type="dxa"/>
            <w:tcBorders>
              <w:top w:val="single" w:sz="6" w:space="0" w:shadow="0" w:frame="0"/>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top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top w:val="single" w:sz="6" w:space="0" w:shadow="0" w:frame="0"/>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top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Термоелектране - топлане (ТЕ-ТО) / CHP-other</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Индустријске енергане / Autoproducers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Топлане / District heating plants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Рафинерије / Refineries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Високe пећи / Blast Furnace plants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Рудници угља / Coal mines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bottom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Прерада угља / Coal transformation</w:t>
            </w:r>
          </w:p>
        </w:tc>
        <w:tc>
          <w:tcPr>
            <w:tcW w:w="1191" w:type="dxa"/>
            <w:tcBorders>
              <w:left w:val="single" w:sz="6" w:space="0" w:shadow="0" w:frame="0"/>
              <w:bottom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bottom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bottom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bottom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rPr>
                <w:rFonts w:ascii="Arial Narrow" w:hAnsi="Arial Narrow"/>
                <w:b w:val="1"/>
                <w:sz w:val="18"/>
              </w:rPr>
            </w:pPr>
            <w:r>
              <w:rPr>
                <w:rFonts w:ascii="Arial Narrow" w:hAnsi="Arial Narrow"/>
                <w:b w:val="1"/>
                <w:sz w:val="18"/>
              </w:rPr>
              <w:t xml:space="preserve">Производња енергије трансформацијом  </w:t>
              <w:br w:type="textWrapping"/>
              <w:t>Transformation output</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26486</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95350</w:t>
            </w:r>
          </w:p>
        </w:tc>
      </w:tr>
      <w:tr>
        <w:trPr>
          <w:wAfter w:w="0" w:type="dxa"/>
        </w:trPr>
        <w:tc>
          <w:tcPr>
            <w:tcW w:w="4706" w:type="dxa"/>
            <w:tcBorders>
              <w:top w:val="single" w:sz="6" w:space="0" w:shadow="0" w:frame="0"/>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Хидроелектране / Hydro power plants</w:t>
            </w:r>
          </w:p>
        </w:tc>
        <w:tc>
          <w:tcPr>
            <w:tcW w:w="1191" w:type="dxa"/>
            <w:tcBorders>
              <w:top w:val="single" w:sz="6" w:space="0" w:shadow="0" w:frame="0"/>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top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top w:val="single" w:sz="6" w:space="0" w:shadow="0" w:frame="0"/>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top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Термоелектране / Thermal power plants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25780</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92808</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Термоелектране - топлане (ТЕ-ТО) / CHP-other</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536</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1930</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Индустријске енергане / Autoproducers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170</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612</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Топлане / District heating plants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Рафинерије / Refineries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Високe пећи / Blast Furnace plants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Рудници угља / Coal mines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bottom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Прерада угља / Coal transformation</w:t>
            </w:r>
          </w:p>
        </w:tc>
        <w:tc>
          <w:tcPr>
            <w:tcW w:w="1191" w:type="dxa"/>
            <w:tcBorders>
              <w:left w:val="single" w:sz="6" w:space="0" w:shadow="0" w:frame="0"/>
              <w:bottom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bottom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bottom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bottom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rPr>
                <w:rFonts w:ascii="Arial Narrow" w:hAnsi="Arial Narrow"/>
                <w:b w:val="1"/>
                <w:sz w:val="18"/>
              </w:rPr>
            </w:pPr>
            <w:r>
              <w:rPr>
                <w:rFonts w:ascii="Arial Narrow" w:hAnsi="Arial Narrow"/>
                <w:b w:val="1"/>
                <w:sz w:val="18"/>
              </w:rPr>
              <w:t>Размена / Exchanges and transfers, returns</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-10037</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10037</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-36133</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highlight w:val="cyan"/>
              </w:rPr>
            </w:pPr>
            <w:r>
              <w:rPr>
                <w:rFonts w:ascii="Arial Narrow" w:hAnsi="Arial Narrow"/>
                <w:b w:val="1"/>
                <w:sz w:val="18"/>
              </w:rPr>
              <w:t>36133</w:t>
            </w:r>
          </w:p>
        </w:tc>
      </w:tr>
      <w:tr>
        <w:trPr>
          <w:wAfter w:w="0" w:type="dxa"/>
        </w:trPr>
        <w:tc>
          <w:tcPr>
            <w:tcW w:w="4706" w:type="dxa"/>
            <w:tcBorders>
              <w:top w:val="single" w:sz="6" w:space="0" w:shadow="0" w:frame="0"/>
              <w:left w:val="single" w:sz="6" w:space="0" w:shadow="0" w:frame="0"/>
              <w:bottom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Размена производа / Products transferred</w:t>
            </w:r>
          </w:p>
        </w:tc>
        <w:tc>
          <w:tcPr>
            <w:tcW w:w="1191" w:type="dxa"/>
            <w:tcBorders>
              <w:top w:val="single" w:sz="6" w:space="0" w:shadow="0" w:frame="0"/>
              <w:left w:val="single" w:sz="6" w:space="0" w:shadow="0" w:frame="0"/>
              <w:bottom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-10037</w:t>
            </w:r>
          </w:p>
        </w:tc>
        <w:tc>
          <w:tcPr>
            <w:tcW w:w="1191" w:type="dxa"/>
            <w:tcBorders>
              <w:top w:val="single" w:sz="6" w:space="0" w:shadow="0" w:frame="0"/>
              <w:bottom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10037</w:t>
            </w:r>
          </w:p>
        </w:tc>
        <w:tc>
          <w:tcPr>
            <w:tcW w:w="1191" w:type="dxa"/>
            <w:tcBorders>
              <w:top w:val="single" w:sz="6" w:space="0" w:shadow="0" w:frame="0"/>
              <w:left w:val="single" w:sz="6" w:space="0" w:shadow="0" w:frame="0"/>
              <w:bottom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-36133</w:t>
            </w:r>
          </w:p>
        </w:tc>
        <w:tc>
          <w:tcPr>
            <w:tcW w:w="1191" w:type="dxa"/>
            <w:tcBorders>
              <w:top w:val="single" w:sz="6" w:space="0" w:shadow="0" w:frame="0"/>
              <w:bottom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36133</w:t>
            </w:r>
          </w:p>
        </w:tc>
      </w:tr>
      <w:tr>
        <w:trPr>
          <w:wAfter w:w="0" w:type="dxa"/>
        </w:trPr>
        <w:tc>
          <w:tcPr>
            <w:tcW w:w="4706" w:type="dxa"/>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rPr>
                <w:rFonts w:ascii="Arial Narrow" w:hAnsi="Arial Narrow"/>
                <w:b w:val="1"/>
                <w:sz w:val="18"/>
              </w:rPr>
            </w:pPr>
            <w:r>
              <w:rPr>
                <w:rFonts w:ascii="Arial Narrow" w:hAnsi="Arial Narrow"/>
                <w:b w:val="1"/>
                <w:sz w:val="18"/>
              </w:rPr>
              <w:t xml:space="preserve">Сопствена потрошња у енергетском сектору </w:t>
              <w:br w:type="textWrapping"/>
              <w:t xml:space="preserve">Consumption in the energy sector </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4155</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14958</w:t>
            </w:r>
          </w:p>
        </w:tc>
      </w:tr>
      <w:tr>
        <w:trPr>
          <w:wAfter w:w="0" w:type="dxa"/>
        </w:trPr>
        <w:tc>
          <w:tcPr>
            <w:tcW w:w="4706" w:type="dxa"/>
            <w:tcBorders>
              <w:top w:val="single" w:sz="6" w:space="0" w:shadow="0" w:frame="0"/>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Хидроелектране / Hydro power plants</w:t>
            </w:r>
          </w:p>
        </w:tc>
        <w:tc>
          <w:tcPr>
            <w:tcW w:w="1191" w:type="dxa"/>
            <w:tcBorders>
              <w:top w:val="single" w:sz="6" w:space="0" w:shadow="0" w:frame="0"/>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top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63</w:t>
            </w:r>
          </w:p>
        </w:tc>
        <w:tc>
          <w:tcPr>
            <w:tcW w:w="1191" w:type="dxa"/>
            <w:tcBorders>
              <w:top w:val="single" w:sz="6" w:space="0" w:shadow="0" w:frame="0"/>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top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227</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Пумпање / Pump storage</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864</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3110</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Термоелектране / Thermal power plants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2260</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8136</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Термоелектране - топлане (ТЕ-ТО) / CHP-other</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55</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198</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Индустријске енергане / Autoproducers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63</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227</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Топлане / District heating plants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178</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641</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Рафинерије / Refineries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137</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493</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Високe пећи / Blast Furnace plants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Рудници угља / Coal mines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495</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1782</w:t>
            </w:r>
          </w:p>
        </w:tc>
      </w:tr>
      <w:tr>
        <w:trPr>
          <w:wAfter w:w="0" w:type="dxa"/>
        </w:trPr>
        <w:tc>
          <w:tcPr>
            <w:tcW w:w="4706" w:type="dxa"/>
            <w:tcBorders>
              <w:left w:val="single" w:sz="6" w:space="0" w:shadow="0" w:frame="0"/>
              <w:bottom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Прерада угља / Coal transformation</w:t>
            </w:r>
          </w:p>
        </w:tc>
        <w:tc>
          <w:tcPr>
            <w:tcW w:w="1191" w:type="dxa"/>
            <w:tcBorders>
              <w:left w:val="single" w:sz="6" w:space="0" w:shadow="0" w:frame="0"/>
              <w:bottom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bottom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40</w:t>
            </w:r>
          </w:p>
        </w:tc>
        <w:tc>
          <w:tcPr>
            <w:tcW w:w="1191" w:type="dxa"/>
            <w:tcBorders>
              <w:left w:val="single" w:sz="6" w:space="0" w:shadow="0" w:frame="0"/>
              <w:bottom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bottom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144</w:t>
            </w:r>
          </w:p>
        </w:tc>
      </w:tr>
      <w:tr>
        <w:trPr>
          <w:wAfter w:w="0" w:type="dxa"/>
        </w:trPr>
        <w:tc>
          <w:tcPr>
            <w:tcW w:w="4706" w:type="dxa"/>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rPr>
                <w:rFonts w:ascii="Arial Narrow" w:hAnsi="Arial Narrow"/>
                <w:b w:val="1"/>
                <w:sz w:val="18"/>
              </w:rPr>
            </w:pPr>
            <w:r>
              <w:rPr>
                <w:rFonts w:ascii="Arial Narrow" w:hAnsi="Arial Narrow"/>
                <w:b w:val="1"/>
                <w:sz w:val="18"/>
              </w:rPr>
              <w:t>Губици / Losses</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5763</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20747</w:t>
            </w:r>
          </w:p>
        </w:tc>
      </w:tr>
      <w:tr>
        <w:trPr>
          <w:wAfter w:w="0" w:type="dxa"/>
        </w:trPr>
        <w:tc>
          <w:tcPr>
            <w:tcW w:w="4706" w:type="dxa"/>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rPr>
                <w:rFonts w:ascii="Arial Narrow" w:hAnsi="Arial Narrow"/>
                <w:b w:val="1"/>
                <w:sz w:val="18"/>
              </w:rPr>
            </w:pPr>
            <w:r>
              <w:rPr>
                <w:rFonts w:ascii="Arial Narrow" w:hAnsi="Arial Narrow"/>
                <w:b w:val="1"/>
                <w:sz w:val="18"/>
              </w:rPr>
              <w:t xml:space="preserve">Енергија расположива за финалну потрошњу </w:t>
              <w:br w:type="textWrapping"/>
              <w:t xml:space="preserve">Energy available for final consumption  </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26519</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95468</w:t>
            </w:r>
          </w:p>
        </w:tc>
      </w:tr>
      <w:tr>
        <w:trPr>
          <w:wAfter w:w="0" w:type="dxa"/>
        </w:trPr>
        <w:tc>
          <w:tcPr>
            <w:tcW w:w="4706" w:type="dxa"/>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rPr>
                <w:rFonts w:ascii="Arial Narrow" w:hAnsi="Arial Narrow"/>
                <w:b w:val="1"/>
                <w:sz w:val="18"/>
              </w:rPr>
            </w:pPr>
            <w:r>
              <w:rPr>
                <w:rFonts w:ascii="Arial Narrow" w:hAnsi="Arial Narrow"/>
                <w:b w:val="1"/>
                <w:sz w:val="18"/>
              </w:rPr>
              <w:t>Финална потрошња / Final consumption</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26519</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95468</w:t>
            </w:r>
          </w:p>
        </w:tc>
      </w:tr>
      <w:tr>
        <w:trPr>
          <w:wAfter w:w="0" w:type="dxa"/>
        </w:trPr>
        <w:tc>
          <w:tcPr>
            <w:tcW w:w="4706" w:type="dxa"/>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left="57"/>
              <w:rPr>
                <w:rFonts w:ascii="Arial Narrow" w:hAnsi="Arial Narrow"/>
                <w:b w:val="1"/>
                <w:sz w:val="18"/>
              </w:rPr>
            </w:pPr>
            <w:r>
              <w:rPr>
                <w:rFonts w:ascii="Arial Narrow" w:hAnsi="Arial Narrow"/>
                <w:b w:val="1"/>
                <w:sz w:val="18"/>
              </w:rPr>
              <w:t xml:space="preserve">Финална потрошња за неенергетске сврхе </w:t>
              <w:br w:type="textWrapping"/>
              <w:t>Final Non-Energy consumption</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r>
      <w:tr>
        <w:trPr>
          <w:wAfter w:w="0" w:type="dxa"/>
        </w:trPr>
        <w:tc>
          <w:tcPr>
            <w:tcW w:w="4706" w:type="dxa"/>
            <w:tcBorders>
              <w:top w:val="single" w:sz="6" w:space="0" w:shadow="0" w:frame="0"/>
              <w:left w:val="single" w:sz="6" w:space="0" w:shadow="0" w:frame="0"/>
              <w:bottom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од тога за хемијску индустрију / of wich: Chemical industry</w:t>
            </w:r>
          </w:p>
        </w:tc>
        <w:tc>
          <w:tcPr>
            <w:tcW w:w="1191" w:type="dxa"/>
            <w:tcBorders>
              <w:top w:val="single" w:sz="6" w:space="0" w:shadow="0" w:frame="0"/>
              <w:left w:val="single" w:sz="6" w:space="0" w:shadow="0" w:frame="0"/>
              <w:bottom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top w:val="single" w:sz="6" w:space="0" w:shadow="0" w:frame="0"/>
              <w:bottom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top w:val="single" w:sz="6" w:space="0" w:shadow="0" w:frame="0"/>
              <w:left w:val="single" w:sz="6" w:space="0" w:shadow="0" w:frame="0"/>
              <w:bottom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top w:val="single" w:sz="6" w:space="0" w:shadow="0" w:frame="0"/>
              <w:bottom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left="57"/>
              <w:rPr>
                <w:rFonts w:ascii="Arial Narrow" w:hAnsi="Arial Narrow"/>
                <w:b w:val="1"/>
                <w:sz w:val="18"/>
              </w:rPr>
            </w:pPr>
            <w:r>
              <w:rPr>
                <w:rFonts w:ascii="Arial Narrow" w:hAnsi="Arial Narrow"/>
                <w:b w:val="1"/>
                <w:sz w:val="18"/>
              </w:rPr>
              <w:t xml:space="preserve">Финална потрошња за енергетске сврхе </w:t>
              <w:br w:type="textWrapping"/>
              <w:t>Final Energy consumption</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26519</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95468</w:t>
            </w:r>
          </w:p>
        </w:tc>
      </w:tr>
      <w:tr>
        <w:trPr>
          <w:wAfter w:w="0" w:type="dxa"/>
        </w:trPr>
        <w:tc>
          <w:tcPr>
            <w:tcW w:w="4706" w:type="dxa"/>
            <w:tcBorders>
              <w:top w:val="single" w:sz="6" w:space="0" w:shadow="0" w:frame="0"/>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 xml:space="preserve">Индустрија / Industry                                   </w:t>
            </w:r>
          </w:p>
        </w:tc>
        <w:tc>
          <w:tcPr>
            <w:tcW w:w="1191" w:type="dxa"/>
            <w:tcBorders>
              <w:top w:val="single" w:sz="6" w:space="0" w:shadow="0" w:frame="0"/>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top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6536</w:t>
            </w:r>
          </w:p>
        </w:tc>
        <w:tc>
          <w:tcPr>
            <w:tcW w:w="1191" w:type="dxa"/>
            <w:tcBorders>
              <w:top w:val="single" w:sz="6" w:space="0" w:shadow="0" w:frame="0"/>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top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23530</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Грађевинарство / Construction</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214</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770</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Саобраћај / Transport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255</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918</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Домаћинства / Households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13933</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50159</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Пољопривреда / Agriculture</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212</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763</w:t>
            </w:r>
          </w:p>
        </w:tc>
      </w:tr>
      <w:tr>
        <w:trPr>
          <w:wAfter w:w="0" w:type="dxa"/>
        </w:trPr>
        <w:tc>
          <w:tcPr>
            <w:tcW w:w="4706" w:type="dxa"/>
            <w:tcBorders>
              <w:left w:val="single" w:sz="6" w:space="0" w:shadow="0" w:frame="0"/>
              <w:bottom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Остали потрошачи / Other users</w:t>
            </w:r>
          </w:p>
        </w:tc>
        <w:tc>
          <w:tcPr>
            <w:tcW w:w="1191" w:type="dxa"/>
            <w:tcBorders>
              <w:left w:val="single" w:sz="6" w:space="0" w:shadow="0" w:frame="0"/>
              <w:bottom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bottom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5369</w:t>
            </w:r>
          </w:p>
        </w:tc>
        <w:tc>
          <w:tcPr>
            <w:tcW w:w="1191" w:type="dxa"/>
            <w:tcBorders>
              <w:left w:val="single" w:sz="6" w:space="0" w:shadow="0" w:frame="0"/>
              <w:bottom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bottom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19328</w:t>
            </w:r>
          </w:p>
        </w:tc>
      </w:tr>
    </w:tbl>
    <w:p>
      <w:pPr>
        <w:pStyle w:val="P23"/>
        <w:rPr>
          <w:rFonts w:ascii="Arial Narrow" w:hAnsi="Arial Narrow"/>
        </w:rPr>
      </w:pPr>
      <w:r>
        <w:rPr>
          <w:rFonts w:ascii="Arial Narrow" w:hAnsi="Arial Narrow"/>
        </w:rPr>
        <w:t xml:space="preserve"> </w:t>
      </w:r>
    </w:p>
    <w:tbl>
      <w:tblPr>
        <w:tblStyle w:val="T2"/>
        <w:tblW w:w="0" w:type="auto"/>
        <w:jc w:val="center"/>
        <w:tblLayout w:type="autofit"/>
        <w:tblCellMar>
          <w:left w:w="28" w:type="dxa"/>
          <w:right w:w="28" w:type="dxa"/>
        </w:tblCellMar>
      </w:tblPr>
      <w:tblGrid/>
      <w:tr>
        <w:trPr>
          <w:wAfter w:w="0" w:type="dxa"/>
        </w:trPr>
        <w:tc>
          <w:tcPr>
            <w:tcW w:w="6521" w:type="dxa"/>
            <w:gridSpan w:val="2"/>
            <w:tcBorders>
              <w:bottom w:val="single" w:sz="4" w:space="0" w:shadow="0" w:frame="0"/>
            </w:tcBorders>
          </w:tcPr>
          <w:p>
            <w:pPr>
              <w:spacing w:lineRule="auto" w:line="252"/>
              <w:jc w:val="center"/>
              <w:rPr>
                <w:rFonts w:ascii="Arial Narrow" w:hAnsi="Arial Narrow"/>
                <w:b w:val="1"/>
              </w:rPr>
            </w:pPr>
            <w:r>
              <w:rPr>
                <w:rFonts w:ascii="Arial Narrow" w:hAnsi="Arial Narrow"/>
                <w:b w:val="1"/>
              </w:rPr>
              <w:t>Биланс топлотне енергије, 2</w:t>
            </w:r>
            <w:r>
              <w:rPr>
                <w:rFonts w:ascii="Arial Narrow" w:hAnsi="Arial Narrow"/>
                <w:b w:val="1"/>
              </w:rPr>
              <w:t>007</w:t>
            </w:r>
            <w:r>
              <w:rPr>
                <w:rFonts w:ascii="Arial Narrow" w:hAnsi="Arial Narrow"/>
                <w:b w:val="1"/>
              </w:rPr>
              <w:t>. године</w:t>
            </w:r>
          </w:p>
          <w:p>
            <w:pPr>
              <w:spacing w:lineRule="auto" w:line="252"/>
              <w:jc w:val="center"/>
              <w:rPr>
                <w:rFonts w:ascii="Arial Narrow" w:hAnsi="Arial Narrow"/>
                <w:sz w:val="18"/>
              </w:rPr>
            </w:pPr>
            <w:r>
              <w:rPr>
                <w:rFonts w:ascii="Arial Narrow" w:hAnsi="Arial Narrow"/>
                <w:b w:val="1"/>
              </w:rPr>
              <w:t>Balance of Heat in 2007</w:t>
            </w:r>
          </w:p>
        </w:tc>
      </w:tr>
      <w:tr>
        <w:trPr>
          <w:wAfter w:w="0" w:type="dxa"/>
        </w:trPr>
        <w:tc>
          <w:tcPr>
            <w:tcW w:w="5103" w:type="dxa"/>
            <w:vMerge w:val="restart"/>
            <w:tcBorders>
              <w:top w:val="single" w:sz="4" w:space="0" w:shadow="0" w:frame="0"/>
              <w:left w:val="single" w:sz="4" w:space="0" w:shadow="0" w:frame="0"/>
              <w:bottom w:val="single" w:sz="4" w:space="0" w:shadow="0" w:frame="0"/>
              <w:right w:val="single" w:sz="4" w:space="0" w:shadow="0" w:frame="0"/>
            </w:tcBorders>
            <w:shd w:val="clear" w:color="auto" w:fill="CCFFFF"/>
          </w:tcPr>
          <w:p>
            <w:pPr>
              <w:spacing w:lineRule="auto" w:line="252"/>
              <w:jc w:val="center"/>
              <w:rPr>
                <w:rFonts w:ascii="Arial Narrow" w:hAnsi="Arial Narrow"/>
                <w:sz w:val="18"/>
              </w:rPr>
            </w:pPr>
          </w:p>
        </w:tc>
        <w:tc>
          <w:tcPr>
            <w:tcW w:w="1418"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jc w:val="center"/>
              <w:rPr>
                <w:rFonts w:ascii="Arial Narrow" w:hAnsi="Arial Narrow"/>
                <w:sz w:val="18"/>
              </w:rPr>
            </w:pPr>
            <w:r>
              <w:rPr>
                <w:rFonts w:ascii="Arial Narrow" w:hAnsi="Arial Narrow"/>
                <w:sz w:val="18"/>
              </w:rPr>
              <w:t xml:space="preserve">Топлотна енергија  </w:t>
            </w:r>
            <w:r>
              <w:rPr>
                <w:rFonts w:ascii="Arial Narrow" w:hAnsi="Arial Narrow"/>
                <w:i w:val="1"/>
                <w:sz w:val="18"/>
              </w:rPr>
              <w:t>Heat</w:t>
            </w:r>
          </w:p>
        </w:tc>
      </w:tr>
      <w:tr>
        <w:trPr>
          <w:wAfter w:w="0" w:type="dxa"/>
        </w:trPr>
        <w:tc>
          <w:tcPr>
            <w:tcW w:w="5103" w:type="dxa"/>
            <w:vMerge w:val="continue"/>
            <w:tcBorders>
              <w:top w:val="single" w:sz="4" w:space="0" w:shadow="0" w:frame="0"/>
              <w:left w:val="single" w:sz="4" w:space="0" w:shadow="0" w:frame="0"/>
              <w:bottom w:val="single" w:sz="4" w:space="0" w:shadow="0" w:frame="0"/>
              <w:right w:val="single" w:sz="4" w:space="0" w:shadow="0" w:frame="0"/>
            </w:tcBorders>
            <w:shd w:val="clear" w:color="auto" w:fill="CCFFFF"/>
          </w:tcPr>
          <w:p>
            <w:pPr>
              <w:spacing w:lineRule="auto" w:line="252"/>
              <w:jc w:val="center"/>
              <w:rPr>
                <w:rFonts w:ascii="Arial Narrow" w:hAnsi="Arial Narrow"/>
                <w:sz w:val="18"/>
              </w:rPr>
            </w:pPr>
          </w:p>
        </w:tc>
        <w:tc>
          <w:tcPr>
            <w:tcW w:w="1418"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before="60" w:after="60"/>
              <w:jc w:val="center"/>
              <w:rPr>
                <w:rFonts w:ascii="Arial Narrow" w:hAnsi="Arial Narrow"/>
                <w:sz w:val="18"/>
              </w:rPr>
            </w:pPr>
            <w:r>
              <w:rPr>
                <w:rFonts w:ascii="Arial Narrow" w:hAnsi="Arial Narrow"/>
                <w:sz w:val="18"/>
              </w:rPr>
              <w:t>TJ</w:t>
            </w:r>
          </w:p>
        </w:tc>
      </w:tr>
      <w:tr>
        <w:trPr>
          <w:wAfter w:w="0" w:type="dxa"/>
        </w:trPr>
        <w:tc>
          <w:tcPr>
            <w:tcW w:w="5103" w:type="dxa"/>
            <w:tcBorders>
              <w:top w:val="single" w:sz="4" w:space="0" w:shadow="0" w:frame="0"/>
              <w:left w:val="single" w:sz="4" w:space="0" w:shadow="0" w:frame="0"/>
              <w:right w:val="single" w:sz="4" w:space="0" w:shadow="0" w:frame="0"/>
            </w:tcBorders>
            <w:vAlign w:val="bottom"/>
          </w:tcPr>
          <w:p>
            <w:pPr>
              <w:spacing w:lineRule="auto" w:line="252"/>
              <w:rPr>
                <w:rFonts w:ascii="Arial Narrow" w:hAnsi="Arial Narrow"/>
                <w:sz w:val="18"/>
              </w:rPr>
            </w:pPr>
          </w:p>
        </w:tc>
        <w:tc>
          <w:tcPr>
            <w:tcW w:w="1418" w:type="dxa"/>
            <w:tcBorders>
              <w:top w:val="single" w:sz="4" w:space="0" w:shadow="0" w:frame="0"/>
              <w:left w:val="single" w:sz="4" w:space="0" w:shadow="0" w:frame="0"/>
              <w:right w:val="single" w:sz="4" w:space="0" w:shadow="0" w:frame="0"/>
            </w:tcBorders>
            <w:vAlign w:val="bottom"/>
          </w:tcPr>
          <w:p>
            <w:pPr>
              <w:spacing w:lineRule="auto" w:line="252"/>
              <w:ind w:right="284"/>
              <w:jc w:val="right"/>
              <w:rPr>
                <w:rFonts w:ascii="Arial Narrow" w:hAnsi="Arial Narrow"/>
                <w:sz w:val="18"/>
              </w:rPr>
            </w:pPr>
          </w:p>
        </w:tc>
      </w:tr>
      <w:tr>
        <w:trPr>
          <w:wAfter w:w="0" w:type="dxa"/>
        </w:trPr>
        <w:tc>
          <w:tcPr>
            <w:tcW w:w="5103" w:type="dxa"/>
            <w:tcBorders>
              <w:left w:val="single" w:sz="4" w:space="0" w:shadow="0" w:frame="0"/>
              <w:right w:val="single" w:sz="4" w:space="0" w:shadow="0" w:frame="0"/>
            </w:tcBorders>
            <w:vAlign w:val="bottom"/>
          </w:tcPr>
          <w:p>
            <w:pPr>
              <w:spacing w:lineRule="auto" w:line="252"/>
              <w:rPr>
                <w:rFonts w:ascii="Arial Narrow" w:hAnsi="Arial Narrow"/>
                <w:sz w:val="18"/>
              </w:rPr>
            </w:pPr>
            <w:r>
              <w:rPr>
                <w:rFonts w:ascii="Arial Narrow" w:hAnsi="Arial Narrow"/>
                <w:sz w:val="18"/>
              </w:rPr>
              <w:t>Примарна производња енергије / Primary production</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rPr>
                <w:rFonts w:ascii="Arial Narrow" w:hAnsi="Arial Narrow"/>
                <w:sz w:val="18"/>
              </w:rPr>
            </w:pPr>
            <w:r>
              <w:rPr>
                <w:rFonts w:ascii="Arial Narrow" w:hAnsi="Arial Narrow"/>
                <w:sz w:val="18"/>
              </w:rPr>
              <w:t>Увоз / Import</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rPr>
                <w:rFonts w:ascii="Arial Narrow" w:hAnsi="Arial Narrow"/>
                <w:sz w:val="18"/>
              </w:rPr>
            </w:pPr>
            <w:r>
              <w:rPr>
                <w:rFonts w:ascii="Arial Narrow" w:hAnsi="Arial Narrow"/>
                <w:sz w:val="18"/>
              </w:rPr>
              <w:t>Извоз / Export</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rPr>
                <w:rFonts w:ascii="Arial Narrow" w:hAnsi="Arial Narrow"/>
                <w:sz w:val="18"/>
              </w:rPr>
            </w:pPr>
            <w:r>
              <w:rPr>
                <w:rFonts w:ascii="Arial Narrow" w:hAnsi="Arial Narrow"/>
                <w:sz w:val="18"/>
              </w:rPr>
              <w:t>Салдо залиха / Stock changes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rPr>
                <w:rFonts w:ascii="Arial Narrow" w:hAnsi="Arial Narrow"/>
                <w:sz w:val="18"/>
              </w:rPr>
            </w:pPr>
            <w:r>
              <w:rPr>
                <w:rFonts w:ascii="Arial Narrow" w:hAnsi="Arial Narrow"/>
                <w:sz w:val="18"/>
              </w:rPr>
              <w:t>Међународна складишта / Bunkers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bottom w:val="single" w:sz="4" w:space="0" w:shadow="0" w:frame="0"/>
              <w:right w:val="single" w:sz="4" w:space="0" w:shadow="0" w:frame="0"/>
            </w:tcBorders>
            <w:vAlign w:val="bottom"/>
          </w:tcPr>
          <w:p>
            <w:pPr>
              <w:spacing w:lineRule="auto" w:line="252"/>
              <w:rPr>
                <w:rFonts w:ascii="Arial Narrow" w:hAnsi="Arial Narrow"/>
                <w:sz w:val="18"/>
              </w:rPr>
            </w:pPr>
            <w:r>
              <w:rPr>
                <w:rFonts w:ascii="Arial Narrow" w:hAnsi="Arial Narrow"/>
                <w:sz w:val="18"/>
              </w:rPr>
              <w:t>Статистичка разлика / Statistical difference</w:t>
            </w:r>
          </w:p>
        </w:tc>
        <w:tc>
          <w:tcPr>
            <w:tcW w:w="1418" w:type="dxa"/>
            <w:tcBorders>
              <w:left w:val="single" w:sz="4" w:space="0" w:shadow="0" w:frame="0"/>
              <w:bottom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8"/>
              </w:rPr>
            </w:pPr>
            <w:r>
              <w:rPr>
                <w:rFonts w:ascii="Arial Narrow" w:hAnsi="Arial Narrow"/>
                <w:b w:val="1"/>
                <w:sz w:val="18"/>
              </w:rPr>
              <w:t xml:space="preserve">Укупно расположива енергија </w:t>
            </w:r>
            <w:r>
              <w:rPr>
                <w:rFonts w:ascii="Arial Narrow" w:hAnsi="Arial Narrow"/>
                <w:b w:val="1"/>
                <w:sz w:val="18"/>
              </w:rPr>
              <w:t xml:space="preserve">/ </w:t>
            </w:r>
            <w:r>
              <w:rPr>
                <w:rFonts w:ascii="Arial Narrow" w:hAnsi="Arial Narrow"/>
                <w:b w:val="1"/>
                <w:sz w:val="18"/>
              </w:rPr>
              <w:t xml:space="preserve">Gross inland consumption  </w:t>
            </w:r>
          </w:p>
        </w:tc>
        <w:tc>
          <w:tcPr>
            <w:tcW w:w="1418"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284"/>
              <w:jc w:val="right"/>
              <w:rPr>
                <w:rFonts w:ascii="Arial Narrow" w:hAnsi="Arial Narrow"/>
                <w:b w:val="1"/>
                <w:sz w:val="18"/>
              </w:rPr>
            </w:pPr>
            <w:r>
              <w:rPr>
                <w:rFonts w:ascii="Arial Narrow" w:hAnsi="Arial Narrow"/>
                <w:b w:val="1"/>
                <w:sz w:val="18"/>
              </w:rPr>
              <w:t>-</w:t>
            </w:r>
          </w:p>
        </w:tc>
      </w:tr>
      <w:tr>
        <w:trPr>
          <w:wAfter w:w="0" w:type="dxa"/>
        </w:trPr>
        <w:tc>
          <w:tcPr>
            <w:tcW w:w="5103"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8"/>
              </w:rPr>
            </w:pPr>
            <w:r>
              <w:rPr>
                <w:rFonts w:ascii="Arial Narrow" w:hAnsi="Arial Narrow"/>
                <w:b w:val="1"/>
                <w:sz w:val="18"/>
              </w:rPr>
              <w:t>Утрошак за производњу енергије /</w:t>
            </w:r>
            <w:r>
              <w:rPr>
                <w:rFonts w:ascii="Arial Narrow" w:hAnsi="Arial Narrow"/>
                <w:b w:val="1"/>
                <w:sz w:val="18"/>
              </w:rPr>
              <w:t xml:space="preserve"> </w:t>
            </w:r>
            <w:r>
              <w:rPr>
                <w:rFonts w:ascii="Arial Narrow" w:hAnsi="Arial Narrow"/>
                <w:b w:val="1"/>
                <w:sz w:val="18"/>
              </w:rPr>
              <w:t>Transformation input</w:t>
            </w:r>
          </w:p>
        </w:tc>
        <w:tc>
          <w:tcPr>
            <w:tcW w:w="1418"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284"/>
              <w:jc w:val="right"/>
              <w:rPr>
                <w:rFonts w:ascii="Arial Narrow" w:hAnsi="Arial Narrow"/>
                <w:b w:val="1"/>
                <w:sz w:val="18"/>
              </w:rPr>
            </w:pPr>
            <w:r>
              <w:rPr>
                <w:rFonts w:ascii="Arial Narrow" w:hAnsi="Arial Narrow"/>
                <w:b w:val="1"/>
                <w:sz w:val="18"/>
              </w:rPr>
              <w:t>-</w:t>
            </w:r>
          </w:p>
        </w:tc>
      </w:tr>
      <w:tr>
        <w:trPr>
          <w:wAfter w:w="0" w:type="dxa"/>
        </w:trPr>
        <w:tc>
          <w:tcPr>
            <w:tcW w:w="5103" w:type="dxa"/>
            <w:tcBorders>
              <w:top w:val="single" w:sz="4" w:space="0" w:shadow="0" w:frame="0"/>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Термоелектране / Thermal power plants</w:t>
            </w:r>
          </w:p>
        </w:tc>
        <w:tc>
          <w:tcPr>
            <w:tcW w:w="1418" w:type="dxa"/>
            <w:tcBorders>
              <w:top w:val="single" w:sz="4" w:space="0" w:shadow="0" w:frame="0"/>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Термоелектране - топлане (ТЕ-ТО) / CHP-other</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Индустријске енергане / Autoproducers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Топлане / District heating plants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Рафинерије / Refineries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Високe пећи / Blast Furnace plants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Рудници угља / Coal mines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bottom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Прерада угља / Coal transformation</w:t>
            </w:r>
          </w:p>
        </w:tc>
        <w:tc>
          <w:tcPr>
            <w:tcW w:w="1418" w:type="dxa"/>
            <w:tcBorders>
              <w:left w:val="single" w:sz="4" w:space="0" w:shadow="0" w:frame="0"/>
              <w:bottom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8"/>
              </w:rPr>
            </w:pPr>
            <w:r>
              <w:rPr>
                <w:rFonts w:ascii="Arial Narrow" w:hAnsi="Arial Narrow"/>
                <w:b w:val="1"/>
                <w:sz w:val="18"/>
              </w:rPr>
              <w:t>Производња енергије трансформацијом /</w:t>
            </w:r>
            <w:r>
              <w:rPr>
                <w:rFonts w:ascii="Arial Narrow" w:hAnsi="Arial Narrow"/>
                <w:b w:val="1"/>
                <w:sz w:val="18"/>
              </w:rPr>
              <w:t xml:space="preserve"> </w:t>
            </w:r>
            <w:r>
              <w:rPr>
                <w:rFonts w:ascii="Arial Narrow" w:hAnsi="Arial Narrow"/>
                <w:b w:val="1"/>
                <w:sz w:val="18"/>
              </w:rPr>
              <w:t>Transformation output</w:t>
            </w:r>
          </w:p>
        </w:tc>
        <w:tc>
          <w:tcPr>
            <w:tcW w:w="1418"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284"/>
              <w:jc w:val="right"/>
              <w:rPr>
                <w:rFonts w:ascii="Arial Narrow" w:hAnsi="Arial Narrow"/>
                <w:b w:val="1"/>
                <w:sz w:val="18"/>
              </w:rPr>
            </w:pPr>
            <w:r>
              <w:rPr>
                <w:rFonts w:ascii="Arial Narrow" w:hAnsi="Arial Narrow"/>
                <w:b w:val="1"/>
                <w:sz w:val="18"/>
              </w:rPr>
              <w:t>44780</w:t>
            </w:r>
          </w:p>
        </w:tc>
      </w:tr>
      <w:tr>
        <w:trPr>
          <w:wAfter w:w="0" w:type="dxa"/>
        </w:trPr>
        <w:tc>
          <w:tcPr>
            <w:tcW w:w="5103" w:type="dxa"/>
            <w:tcBorders>
              <w:top w:val="single" w:sz="4" w:space="0" w:shadow="0" w:frame="0"/>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Хидроелектране / Hydro power plants</w:t>
            </w:r>
          </w:p>
        </w:tc>
        <w:tc>
          <w:tcPr>
            <w:tcW w:w="1418" w:type="dxa"/>
            <w:tcBorders>
              <w:top w:val="single" w:sz="4" w:space="0" w:shadow="0" w:frame="0"/>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Термоелектране / Thermal power plants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1717</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Термоелектране - топлане (ТЕ-ТО) / CHP-other</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1701</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Индустријске енергане / Autoproducers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21593</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Топлане / District heating plants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19769</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Рафинерије / Refineries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Високe пећи / Blast Furnace plants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Рудници угља / Coal mines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bottom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Прерада угља / Coal transformation</w:t>
            </w:r>
          </w:p>
        </w:tc>
        <w:tc>
          <w:tcPr>
            <w:tcW w:w="1418" w:type="dxa"/>
            <w:tcBorders>
              <w:left w:val="single" w:sz="4" w:space="0" w:shadow="0" w:frame="0"/>
              <w:bottom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8"/>
              </w:rPr>
            </w:pPr>
            <w:r>
              <w:rPr>
                <w:rFonts w:ascii="Arial Narrow" w:hAnsi="Arial Narrow"/>
                <w:b w:val="1"/>
                <w:sz w:val="18"/>
              </w:rPr>
              <w:t>Размена / Exchanges and transfers, returns</w:t>
            </w:r>
          </w:p>
        </w:tc>
        <w:tc>
          <w:tcPr>
            <w:tcW w:w="1418"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284"/>
              <w:jc w:val="right"/>
              <w:rPr>
                <w:rFonts w:ascii="Arial Narrow" w:hAnsi="Arial Narrow"/>
                <w:b w:val="1"/>
                <w:sz w:val="18"/>
              </w:rPr>
            </w:pPr>
            <w:r>
              <w:rPr>
                <w:rFonts w:ascii="Arial Narrow" w:hAnsi="Arial Narrow"/>
                <w:b w:val="1"/>
                <w:sz w:val="18"/>
              </w:rPr>
              <w:t>-</w:t>
            </w:r>
          </w:p>
        </w:tc>
      </w:tr>
      <w:tr>
        <w:trPr>
          <w:wAfter w:w="0" w:type="dxa"/>
        </w:trPr>
        <w:tc>
          <w:tcPr>
            <w:tcW w:w="5103"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Размена производа / Products transferred</w:t>
            </w:r>
          </w:p>
        </w:tc>
        <w:tc>
          <w:tcPr>
            <w:tcW w:w="1418"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8"/>
              </w:rPr>
            </w:pPr>
            <w:r>
              <w:rPr>
                <w:rFonts w:ascii="Arial Narrow" w:hAnsi="Arial Narrow"/>
                <w:b w:val="1"/>
                <w:sz w:val="18"/>
              </w:rPr>
              <w:t xml:space="preserve">Сопствена потрошња у енергетском сектору </w:t>
              <w:br w:type="textWrapping"/>
              <w:t xml:space="preserve">Consumption in the energy sector </w:t>
            </w:r>
          </w:p>
        </w:tc>
        <w:tc>
          <w:tcPr>
            <w:tcW w:w="1418"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284"/>
              <w:jc w:val="right"/>
              <w:rPr>
                <w:rFonts w:ascii="Arial Narrow" w:hAnsi="Arial Narrow"/>
                <w:b w:val="1"/>
                <w:sz w:val="18"/>
              </w:rPr>
            </w:pPr>
            <w:r>
              <w:rPr>
                <w:rFonts w:ascii="Arial Narrow" w:hAnsi="Arial Narrow"/>
                <w:b w:val="1"/>
                <w:sz w:val="18"/>
              </w:rPr>
              <w:t>893</w:t>
            </w:r>
          </w:p>
        </w:tc>
      </w:tr>
      <w:tr>
        <w:trPr>
          <w:wAfter w:w="0" w:type="dxa"/>
        </w:trPr>
        <w:tc>
          <w:tcPr>
            <w:tcW w:w="5103" w:type="dxa"/>
            <w:tcBorders>
              <w:top w:val="single" w:sz="4" w:space="0" w:shadow="0" w:frame="0"/>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Хидроелектране / Hydro power plants</w:t>
            </w:r>
          </w:p>
        </w:tc>
        <w:tc>
          <w:tcPr>
            <w:tcW w:w="1418" w:type="dxa"/>
            <w:tcBorders>
              <w:top w:val="single" w:sz="4" w:space="0" w:shadow="0" w:frame="0"/>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Пумпање / Pump storage</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Термоелектране / Thermal power plants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20</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Термоелектране - топлане (ТЕ-ТО) / CHP-other</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25</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Индустријске енергане / Autoproducers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Топлане / District heating plants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848</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Рафинерије / Refineries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Високe пећи / Blast Furnace plants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Рудници угља / Coal mines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bottom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Прерада угља / Coal transformation</w:t>
            </w:r>
          </w:p>
        </w:tc>
        <w:tc>
          <w:tcPr>
            <w:tcW w:w="1418" w:type="dxa"/>
            <w:tcBorders>
              <w:left w:val="single" w:sz="4" w:space="0" w:shadow="0" w:frame="0"/>
              <w:bottom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8"/>
              </w:rPr>
            </w:pPr>
            <w:r>
              <w:rPr>
                <w:rFonts w:ascii="Arial Narrow" w:hAnsi="Arial Narrow"/>
                <w:b w:val="1"/>
                <w:sz w:val="18"/>
              </w:rPr>
              <w:t>Губици / Losses</w:t>
            </w:r>
          </w:p>
        </w:tc>
        <w:tc>
          <w:tcPr>
            <w:tcW w:w="1418"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284"/>
              <w:jc w:val="right"/>
              <w:rPr>
                <w:rFonts w:ascii="Arial Narrow" w:hAnsi="Arial Narrow"/>
                <w:b w:val="1"/>
                <w:sz w:val="18"/>
              </w:rPr>
            </w:pPr>
            <w:r>
              <w:rPr>
                <w:rFonts w:ascii="Arial Narrow" w:hAnsi="Arial Narrow"/>
                <w:b w:val="1"/>
                <w:sz w:val="18"/>
              </w:rPr>
              <w:t>2650</w:t>
            </w:r>
          </w:p>
        </w:tc>
      </w:tr>
      <w:tr>
        <w:trPr>
          <w:wAfter w:w="0" w:type="dxa"/>
        </w:trPr>
        <w:tc>
          <w:tcPr>
            <w:tcW w:w="5103"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8"/>
              </w:rPr>
            </w:pPr>
            <w:r>
              <w:rPr>
                <w:rFonts w:ascii="Arial Narrow" w:hAnsi="Arial Narrow"/>
                <w:b w:val="1"/>
                <w:sz w:val="18"/>
              </w:rPr>
              <w:t xml:space="preserve">Енергија расположива за финалну потрошњу </w:t>
              <w:br w:type="textWrapping"/>
              <w:t xml:space="preserve">Energy available for final consumption  </w:t>
            </w:r>
          </w:p>
        </w:tc>
        <w:tc>
          <w:tcPr>
            <w:tcW w:w="1418"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284"/>
              <w:jc w:val="right"/>
              <w:rPr>
                <w:rFonts w:ascii="Arial Narrow" w:hAnsi="Arial Narrow"/>
                <w:b w:val="1"/>
                <w:sz w:val="18"/>
              </w:rPr>
            </w:pPr>
            <w:r>
              <w:rPr>
                <w:rFonts w:ascii="Arial Narrow" w:hAnsi="Arial Narrow"/>
                <w:b w:val="1"/>
                <w:sz w:val="18"/>
              </w:rPr>
              <w:t>4123</w:t>
            </w:r>
            <w:r>
              <w:rPr>
                <w:rFonts w:ascii="Arial Narrow" w:hAnsi="Arial Narrow"/>
                <w:b w:val="1"/>
                <w:sz w:val="18"/>
              </w:rPr>
              <w:t>7</w:t>
            </w:r>
          </w:p>
        </w:tc>
      </w:tr>
      <w:tr>
        <w:trPr>
          <w:wAfter w:w="0" w:type="dxa"/>
        </w:trPr>
        <w:tc>
          <w:tcPr>
            <w:tcW w:w="5103"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8"/>
              </w:rPr>
            </w:pPr>
            <w:r>
              <w:rPr>
                <w:rFonts w:ascii="Arial Narrow" w:hAnsi="Arial Narrow"/>
                <w:b w:val="1"/>
                <w:sz w:val="18"/>
              </w:rPr>
              <w:t>Финална потрошња / Final consumption</w:t>
            </w:r>
          </w:p>
        </w:tc>
        <w:tc>
          <w:tcPr>
            <w:tcW w:w="1418"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284"/>
              <w:jc w:val="right"/>
              <w:rPr>
                <w:rFonts w:ascii="Arial Narrow" w:hAnsi="Arial Narrow"/>
                <w:b w:val="1"/>
                <w:sz w:val="18"/>
              </w:rPr>
            </w:pPr>
            <w:r>
              <w:rPr>
                <w:rFonts w:ascii="Arial Narrow" w:hAnsi="Arial Narrow"/>
                <w:b w:val="1"/>
                <w:sz w:val="18"/>
              </w:rPr>
              <w:t>41</w:t>
            </w:r>
            <w:r>
              <w:rPr>
                <w:rFonts w:ascii="Arial Narrow" w:hAnsi="Arial Narrow"/>
                <w:b w:val="1"/>
                <w:sz w:val="18"/>
              </w:rPr>
              <w:t>23</w:t>
            </w:r>
            <w:r>
              <w:rPr>
                <w:rFonts w:ascii="Arial Narrow" w:hAnsi="Arial Narrow"/>
                <w:b w:val="1"/>
                <w:sz w:val="18"/>
              </w:rPr>
              <w:t>7</w:t>
            </w:r>
          </w:p>
        </w:tc>
      </w:tr>
      <w:tr>
        <w:trPr>
          <w:wAfter w:w="0" w:type="dxa"/>
        </w:trPr>
        <w:tc>
          <w:tcPr>
            <w:tcW w:w="5103"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left="57"/>
              <w:rPr>
                <w:rFonts w:ascii="Arial Narrow" w:hAnsi="Arial Narrow"/>
                <w:b w:val="1"/>
                <w:sz w:val="18"/>
              </w:rPr>
            </w:pPr>
            <w:r>
              <w:rPr>
                <w:rFonts w:ascii="Arial Narrow" w:hAnsi="Arial Narrow"/>
                <w:b w:val="1"/>
                <w:sz w:val="18"/>
              </w:rPr>
              <w:t xml:space="preserve">Финална потрошња за неенергетске сврхе </w:t>
              <w:br w:type="textWrapping"/>
              <w:t>Final Non-Energy consumption</w:t>
            </w:r>
          </w:p>
        </w:tc>
        <w:tc>
          <w:tcPr>
            <w:tcW w:w="1418"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284"/>
              <w:jc w:val="right"/>
              <w:rPr>
                <w:rFonts w:ascii="Arial Narrow" w:hAnsi="Arial Narrow"/>
                <w:b w:val="1"/>
                <w:sz w:val="18"/>
              </w:rPr>
            </w:pPr>
            <w:r>
              <w:rPr>
                <w:rFonts w:ascii="Arial Narrow" w:hAnsi="Arial Narrow"/>
                <w:b w:val="1"/>
                <w:sz w:val="18"/>
              </w:rPr>
              <w:t>-</w:t>
            </w:r>
          </w:p>
        </w:tc>
      </w:tr>
      <w:tr>
        <w:trPr>
          <w:wAfter w:w="0" w:type="dxa"/>
        </w:trPr>
        <w:tc>
          <w:tcPr>
            <w:tcW w:w="5103"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 xml:space="preserve">од тога за хемијску индустрију </w:t>
              <w:br w:type="textWrapping"/>
              <w:t>of wich: Chemical industry</w:t>
            </w:r>
          </w:p>
        </w:tc>
        <w:tc>
          <w:tcPr>
            <w:tcW w:w="1418"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left="57"/>
              <w:rPr>
                <w:rFonts w:ascii="Arial Narrow" w:hAnsi="Arial Narrow"/>
                <w:b w:val="1"/>
                <w:sz w:val="18"/>
              </w:rPr>
            </w:pPr>
            <w:r>
              <w:rPr>
                <w:rFonts w:ascii="Arial Narrow" w:hAnsi="Arial Narrow"/>
                <w:b w:val="1"/>
                <w:sz w:val="18"/>
              </w:rPr>
              <w:t xml:space="preserve">Финална потрошња за енергетске сврхе </w:t>
              <w:br w:type="textWrapping"/>
              <w:t>Final Energy consumption</w:t>
            </w:r>
          </w:p>
        </w:tc>
        <w:tc>
          <w:tcPr>
            <w:tcW w:w="1418"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284"/>
              <w:jc w:val="right"/>
              <w:rPr>
                <w:rFonts w:ascii="Arial Narrow" w:hAnsi="Arial Narrow"/>
                <w:b w:val="1"/>
                <w:sz w:val="18"/>
              </w:rPr>
            </w:pPr>
            <w:r>
              <w:rPr>
                <w:rFonts w:ascii="Arial Narrow" w:hAnsi="Arial Narrow"/>
                <w:b w:val="1"/>
                <w:sz w:val="18"/>
              </w:rPr>
              <w:t>4123</w:t>
            </w:r>
            <w:r>
              <w:rPr>
                <w:rFonts w:ascii="Arial Narrow" w:hAnsi="Arial Narrow"/>
                <w:b w:val="1"/>
                <w:sz w:val="18"/>
              </w:rPr>
              <w:t>7</w:t>
            </w:r>
          </w:p>
        </w:tc>
      </w:tr>
      <w:tr>
        <w:trPr>
          <w:wAfter w:w="0" w:type="dxa"/>
        </w:trPr>
        <w:tc>
          <w:tcPr>
            <w:tcW w:w="5103" w:type="dxa"/>
            <w:tcBorders>
              <w:top w:val="single" w:sz="4" w:space="0" w:shadow="0" w:frame="0"/>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 xml:space="preserve">Индустрија / Industry   </w:t>
            </w:r>
          </w:p>
        </w:tc>
        <w:tc>
          <w:tcPr>
            <w:tcW w:w="1418" w:type="dxa"/>
            <w:tcBorders>
              <w:top w:val="single" w:sz="4" w:space="0" w:shadow="0" w:frame="0"/>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22302</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Грађевинарство / Construction</w:t>
            </w:r>
          </w:p>
        </w:tc>
        <w:tc>
          <w:tcPr>
            <w:tcW w:w="1418" w:type="dxa"/>
            <w:tcBorders>
              <w:left w:val="single" w:sz="4" w:space="0" w:shadow="0" w:frame="0"/>
              <w:right w:val="single" w:sz="4" w:space="0" w:shadow="0" w:frame="0"/>
            </w:tcBorders>
            <w:vAlign w:val="bottom"/>
          </w:tcPr>
          <w:p>
            <w:pPr>
              <w:spacing w:lineRule="auto" w:line="252"/>
              <w:ind w:left="534"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Саобраћај / Transport</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Домаћинства / Households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15171</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Пољопривреда / Agriculture</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126</w:t>
            </w:r>
          </w:p>
        </w:tc>
      </w:tr>
      <w:tr>
        <w:trPr>
          <w:wAfter w:w="0" w:type="dxa"/>
        </w:trPr>
        <w:tc>
          <w:tcPr>
            <w:tcW w:w="5103" w:type="dxa"/>
            <w:tcBorders>
              <w:left w:val="single" w:sz="4" w:space="0" w:shadow="0" w:frame="0"/>
              <w:bottom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Остали потрошачи / Other users</w:t>
            </w:r>
          </w:p>
        </w:tc>
        <w:tc>
          <w:tcPr>
            <w:tcW w:w="1418" w:type="dxa"/>
            <w:tcBorders>
              <w:left w:val="single" w:sz="4" w:space="0" w:shadow="0" w:frame="0"/>
              <w:bottom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3638</w:t>
            </w:r>
          </w:p>
        </w:tc>
      </w:tr>
    </w:tbl>
    <w:p>
      <w:pPr>
        <w:pStyle w:val="P23"/>
        <w:rPr>
          <w:rFonts w:ascii="Arial Narrow" w:hAnsi="Arial Narrow"/>
        </w:rPr>
      </w:pPr>
    </w:p>
    <w:p>
      <w:pPr>
        <w:jc w:val="center"/>
        <w:rPr>
          <w:rFonts w:ascii="Arial Narrow" w:hAnsi="Arial Narrow"/>
          <w:b w:val="1"/>
        </w:rPr>
      </w:pPr>
    </w:p>
    <w:p>
      <w:pPr>
        <w:jc w:val="center"/>
        <w:rPr>
          <w:rFonts w:ascii="Arial Narrow" w:hAnsi="Arial Narrow"/>
          <w:b w:val="1"/>
        </w:rPr>
      </w:pPr>
      <w:r>
        <w:rPr>
          <w:rFonts w:ascii="Arial Narrow" w:hAnsi="Arial Narrow"/>
          <w:b w:val="1"/>
        </w:rPr>
        <w:t>Биланс угља, 2007</w:t>
      </w:r>
      <w:r>
        <w:rPr>
          <w:rFonts w:ascii="Arial Narrow" w:hAnsi="Arial Narrow"/>
          <w:b w:val="1"/>
        </w:rPr>
        <w:t>. године</w:t>
      </w:r>
    </w:p>
    <w:p>
      <w:pPr>
        <w:jc w:val="center"/>
        <w:rPr>
          <w:rFonts w:ascii="Arial Narrow" w:hAnsi="Arial Narrow"/>
          <w:b w:val="1"/>
        </w:rPr>
      </w:pPr>
      <w:r>
        <w:rPr>
          <w:rFonts w:ascii="Arial Narrow" w:hAnsi="Arial Narrow"/>
          <w:b w:val="1"/>
        </w:rPr>
        <w:t>Balance of Coal in 2007</w:t>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3515" w:type="dxa"/>
            <w:vMerge w:val="restart"/>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sz w:val="16"/>
              </w:rPr>
            </w:pPr>
            <w:r>
              <w:rPr>
                <w:rFonts w:ascii="Arial Narrow" w:hAnsi="Arial Narrow"/>
                <w:sz w:val="16"/>
              </w:rPr>
              <w:t> </w:t>
            </w:r>
          </w:p>
          <w:p>
            <w:pPr>
              <w:spacing w:lineRule="auto" w:line="252"/>
              <w:jc w:val="center"/>
              <w:rPr>
                <w:rFonts w:ascii="Arial Narrow" w:hAnsi="Arial Narrow"/>
                <w:sz w:val="16"/>
              </w:rPr>
            </w:pPr>
            <w:r>
              <w:rPr>
                <w:rFonts w:ascii="Arial Narrow" w:hAnsi="Arial Narrow"/>
                <w:sz w:val="16"/>
              </w:rPr>
              <w:t> </w:t>
            </w: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sz w:val="16"/>
              </w:rPr>
            </w:pPr>
            <w:r>
              <w:rPr>
                <w:rFonts w:ascii="Arial Narrow" w:hAnsi="Arial Narrow"/>
                <w:sz w:val="16"/>
              </w:rPr>
              <w:t>Антрацит</w:t>
              <w:br w:type="textWrapping"/>
            </w:r>
            <w:r>
              <w:rPr>
                <w:rFonts w:ascii="Arial Narrow" w:hAnsi="Arial Narrow"/>
                <w:i w:val="1"/>
                <w:sz w:val="16"/>
              </w:rPr>
              <w:t>Anthracit</w:t>
            </w: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sz w:val="16"/>
              </w:rPr>
            </w:pPr>
            <w:r>
              <w:rPr>
                <w:rFonts w:ascii="Arial Narrow" w:hAnsi="Arial Narrow"/>
                <w:sz w:val="16"/>
              </w:rPr>
              <w:t xml:space="preserve">Остали биту-менозни   угаљ </w:t>
              <w:br w:type="textWrapping"/>
            </w:r>
            <w:r>
              <w:rPr>
                <w:rFonts w:ascii="Arial Narrow" w:hAnsi="Arial Narrow"/>
                <w:i w:val="1"/>
                <w:sz w:val="16"/>
              </w:rPr>
              <w:t>Other bitume-</w:t>
            </w:r>
            <w:r>
              <w:rPr>
                <w:rFonts w:ascii="Arial Narrow" w:hAnsi="Arial Narrow"/>
                <w:i w:val="1"/>
                <w:sz w:val="16"/>
              </w:rPr>
              <w:t>n</w:t>
            </w:r>
            <w:r>
              <w:rPr>
                <w:rFonts w:ascii="Arial Narrow" w:hAnsi="Arial Narrow"/>
                <w:i w:val="1"/>
                <w:sz w:val="16"/>
              </w:rPr>
              <w:t>ous coal</w:t>
            </w: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sz w:val="16"/>
              </w:rPr>
            </w:pPr>
            <w:r>
              <w:rPr>
                <w:rFonts w:ascii="Arial Narrow" w:hAnsi="Arial Narrow"/>
                <w:sz w:val="16"/>
              </w:rPr>
              <w:t>Суб- биту-менозни</w:t>
            </w:r>
          </w:p>
          <w:p>
            <w:pPr>
              <w:spacing w:lineRule="auto" w:line="252"/>
              <w:jc w:val="center"/>
              <w:rPr>
                <w:rFonts w:ascii="Arial Narrow" w:hAnsi="Arial Narrow"/>
                <w:sz w:val="16"/>
              </w:rPr>
            </w:pPr>
            <w:r>
              <w:rPr>
                <w:rFonts w:ascii="Arial Narrow" w:hAnsi="Arial Narrow"/>
                <w:sz w:val="16"/>
              </w:rPr>
              <w:t xml:space="preserve">угаљ </w:t>
              <w:br w:type="textWrapping"/>
            </w:r>
            <w:r>
              <w:rPr>
                <w:rFonts w:ascii="Arial Narrow" w:hAnsi="Arial Narrow"/>
                <w:i w:val="1"/>
                <w:sz w:val="16"/>
              </w:rPr>
              <w:t>Sub</w:t>
            </w:r>
            <w:r>
              <w:rPr>
                <w:rFonts w:ascii="Arial Narrow" w:hAnsi="Arial Narrow"/>
                <w:i w:val="1"/>
                <w:sz w:val="16"/>
              </w:rPr>
              <w:t>-</w:t>
            </w:r>
            <w:r>
              <w:rPr>
                <w:rFonts w:ascii="Arial Narrow" w:hAnsi="Arial Narrow"/>
                <w:i w:val="1"/>
                <w:sz w:val="16"/>
              </w:rPr>
              <w:t>b</w:t>
            </w:r>
            <w:r>
              <w:rPr>
                <w:rFonts w:ascii="Arial Narrow" w:hAnsi="Arial Narrow"/>
                <w:i w:val="1"/>
                <w:sz w:val="16"/>
              </w:rPr>
              <w:t>i</w:t>
            </w:r>
            <w:r>
              <w:rPr>
                <w:rFonts w:ascii="Arial Narrow" w:hAnsi="Arial Narrow"/>
                <w:i w:val="1"/>
                <w:sz w:val="16"/>
              </w:rPr>
              <w:t>-tumenous coal</w:t>
            </w:r>
          </w:p>
        </w:tc>
        <w:tc>
          <w:tcPr>
            <w:tcW w:w="697"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i w:val="1"/>
                <w:sz w:val="16"/>
              </w:rPr>
            </w:pPr>
            <w:r>
              <w:rPr>
                <w:rFonts w:ascii="Arial Narrow" w:hAnsi="Arial Narrow"/>
                <w:sz w:val="16"/>
              </w:rPr>
              <w:t xml:space="preserve">Мрки угаљ и лигнит </w:t>
              <w:br w:type="textWrapping"/>
            </w:r>
            <w:r>
              <w:rPr>
                <w:rFonts w:ascii="Arial Narrow" w:hAnsi="Arial Narrow"/>
                <w:i w:val="1"/>
                <w:sz w:val="16"/>
              </w:rPr>
              <w:t>Brown</w:t>
            </w:r>
          </w:p>
          <w:p>
            <w:pPr>
              <w:spacing w:lineRule="auto" w:line="252"/>
              <w:jc w:val="center"/>
              <w:rPr>
                <w:rFonts w:ascii="Arial Narrow" w:hAnsi="Arial Narrow"/>
                <w:sz w:val="16"/>
              </w:rPr>
            </w:pPr>
            <w:r>
              <w:rPr>
                <w:rFonts w:ascii="Arial Narrow" w:hAnsi="Arial Narrow"/>
                <w:i w:val="1"/>
                <w:sz w:val="16"/>
              </w:rPr>
              <w:t>coal and lignite</w:t>
            </w: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i w:val="1"/>
                <w:sz w:val="16"/>
              </w:rPr>
            </w:pPr>
            <w:r>
              <w:rPr>
                <w:rFonts w:ascii="Arial Narrow" w:hAnsi="Arial Narrow"/>
                <w:sz w:val="16"/>
              </w:rPr>
              <w:t xml:space="preserve">Брикет каменог угаља </w:t>
            </w:r>
            <w:r>
              <w:rPr>
                <w:rFonts w:ascii="Arial Narrow" w:hAnsi="Arial Narrow"/>
                <w:i w:val="1"/>
                <w:sz w:val="16"/>
              </w:rPr>
              <w:t>Patent</w:t>
            </w:r>
          </w:p>
          <w:p>
            <w:pPr>
              <w:spacing w:lineRule="auto" w:line="252"/>
              <w:jc w:val="center"/>
              <w:rPr>
                <w:rFonts w:ascii="Arial Narrow" w:hAnsi="Arial Narrow"/>
                <w:sz w:val="16"/>
              </w:rPr>
            </w:pPr>
            <w:r>
              <w:rPr>
                <w:rFonts w:ascii="Arial Narrow" w:hAnsi="Arial Narrow"/>
                <w:i w:val="1"/>
                <w:sz w:val="16"/>
              </w:rPr>
              <w:t>fuel</w:t>
            </w: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sz w:val="16"/>
              </w:rPr>
            </w:pPr>
            <w:r>
              <w:rPr>
                <w:rFonts w:ascii="Arial Narrow" w:hAnsi="Arial Narrow"/>
                <w:sz w:val="16"/>
              </w:rPr>
              <w:t xml:space="preserve">Брикет мрког угља и лигнита, сушени лигнит </w:t>
              <w:br w:type="textWrapping"/>
            </w:r>
            <w:r>
              <w:rPr>
                <w:rFonts w:ascii="Arial Narrow" w:hAnsi="Arial Narrow"/>
                <w:i w:val="1"/>
                <w:sz w:val="16"/>
              </w:rPr>
              <w:t xml:space="preserve">BKB-PB </w:t>
            </w: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sz w:val="16"/>
              </w:rPr>
            </w:pPr>
            <w:r>
              <w:rPr>
                <w:rFonts w:ascii="Arial Narrow" w:hAnsi="Arial Narrow"/>
                <w:sz w:val="16"/>
              </w:rPr>
              <w:t xml:space="preserve">Катран </w:t>
            </w:r>
          </w:p>
          <w:p>
            <w:pPr>
              <w:spacing w:lineRule="auto" w:line="252"/>
              <w:jc w:val="center"/>
              <w:rPr>
                <w:rFonts w:ascii="Arial Narrow" w:hAnsi="Arial Narrow"/>
                <w:sz w:val="16"/>
              </w:rPr>
            </w:pPr>
            <w:r>
              <w:rPr>
                <w:rFonts w:ascii="Arial Narrow" w:hAnsi="Arial Narrow"/>
                <w:sz w:val="16"/>
              </w:rPr>
              <w:t xml:space="preserve">од угља </w:t>
            </w:r>
          </w:p>
          <w:p>
            <w:pPr>
              <w:spacing w:lineRule="auto" w:line="252"/>
              <w:jc w:val="center"/>
              <w:rPr>
                <w:rFonts w:ascii="Arial Narrow" w:hAnsi="Arial Narrow"/>
                <w:i w:val="1"/>
                <w:sz w:val="16"/>
              </w:rPr>
            </w:pPr>
            <w:r>
              <w:rPr>
                <w:rFonts w:ascii="Arial Narrow" w:hAnsi="Arial Narrow"/>
                <w:i w:val="1"/>
                <w:sz w:val="16"/>
              </w:rPr>
              <w:t xml:space="preserve">Coal </w:t>
            </w:r>
          </w:p>
          <w:p>
            <w:pPr>
              <w:spacing w:lineRule="auto" w:line="252"/>
              <w:jc w:val="center"/>
              <w:rPr>
                <w:rFonts w:ascii="Arial Narrow" w:hAnsi="Arial Narrow"/>
                <w:sz w:val="16"/>
              </w:rPr>
            </w:pPr>
            <w:r>
              <w:rPr>
                <w:rFonts w:ascii="Arial Narrow" w:hAnsi="Arial Narrow"/>
                <w:i w:val="1"/>
                <w:sz w:val="16"/>
              </w:rPr>
              <w:t>tar</w:t>
            </w: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i w:val="1"/>
                <w:sz w:val="16"/>
              </w:rPr>
            </w:pPr>
            <w:r>
              <w:rPr>
                <w:rFonts w:ascii="Arial Narrow" w:hAnsi="Arial Narrow"/>
                <w:sz w:val="16"/>
              </w:rPr>
              <w:t xml:space="preserve">Кокс </w:t>
              <w:br w:type="textWrapping"/>
            </w:r>
            <w:r>
              <w:rPr>
                <w:rFonts w:ascii="Arial Narrow" w:hAnsi="Arial Narrow"/>
                <w:i w:val="1"/>
                <w:sz w:val="16"/>
              </w:rPr>
              <w:t>Coke</w:t>
            </w:r>
          </w:p>
          <w:p>
            <w:pPr>
              <w:spacing w:lineRule="auto" w:line="252"/>
              <w:jc w:val="center"/>
              <w:rPr>
                <w:rFonts w:ascii="Arial Narrow" w:hAnsi="Arial Narrow"/>
                <w:i w:val="1"/>
                <w:sz w:val="16"/>
              </w:rPr>
            </w:pPr>
            <w:r>
              <w:rPr>
                <w:rFonts w:ascii="Arial Narrow" w:hAnsi="Arial Narrow"/>
                <w:i w:val="1"/>
                <w:sz w:val="16"/>
              </w:rPr>
              <w:t xml:space="preserve">oven </w:t>
            </w:r>
          </w:p>
          <w:p>
            <w:pPr>
              <w:spacing w:lineRule="auto" w:line="252"/>
              <w:jc w:val="center"/>
              <w:rPr>
                <w:rFonts w:ascii="Arial Narrow" w:hAnsi="Arial Narrow"/>
                <w:sz w:val="16"/>
              </w:rPr>
            </w:pPr>
            <w:r>
              <w:rPr>
                <w:rFonts w:ascii="Arial Narrow" w:hAnsi="Arial Narrow"/>
                <w:i w:val="1"/>
                <w:sz w:val="16"/>
              </w:rPr>
              <w:t>coke</w:t>
            </w: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sz w:val="16"/>
              </w:rPr>
            </w:pPr>
            <w:r>
              <w:rPr>
                <w:rFonts w:ascii="Arial Narrow" w:hAnsi="Arial Narrow"/>
                <w:sz w:val="16"/>
              </w:rPr>
              <w:t xml:space="preserve">Високо-пећни гас </w:t>
              <w:br w:type="textWrapping"/>
            </w:r>
            <w:r>
              <w:rPr>
                <w:rFonts w:ascii="Arial Narrow" w:hAnsi="Arial Narrow"/>
                <w:i w:val="1"/>
                <w:sz w:val="16"/>
              </w:rPr>
              <w:t>Blast furnace gas</w:t>
            </w:r>
          </w:p>
        </w:tc>
      </w:tr>
      <w:tr>
        <w:trPr>
          <w:wAfter w:w="0" w:type="dxa"/>
        </w:trPr>
        <w:tc>
          <w:tcPr>
            <w:tcW w:w="3515" w:type="dxa"/>
            <w:vMerge w:val="continue"/>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jc w:val="center"/>
              <w:rPr>
                <w:rFonts w:ascii="Arial Narrow" w:hAnsi="Arial Narrow"/>
                <w:sz w:val="16"/>
              </w:rPr>
            </w:pP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jc w:val="center"/>
              <w:rPr>
                <w:rFonts w:ascii="Arial Narrow" w:hAnsi="Arial Narrow"/>
                <w:sz w:val="16"/>
              </w:rPr>
            </w:pPr>
            <w:r>
              <w:rPr>
                <w:rFonts w:ascii="Arial Narrow" w:hAnsi="Arial Narrow"/>
                <w:sz w:val="16"/>
              </w:rPr>
              <w:t>t</w:t>
            </w: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jc w:val="center"/>
              <w:rPr>
                <w:rFonts w:ascii="Arial Narrow" w:hAnsi="Arial Narrow"/>
                <w:sz w:val="16"/>
              </w:rPr>
            </w:pPr>
            <w:r>
              <w:rPr>
                <w:rFonts w:ascii="Arial Narrow" w:hAnsi="Arial Narrow"/>
                <w:sz w:val="16"/>
              </w:rPr>
              <w:t>t</w:t>
            </w: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jc w:val="center"/>
              <w:rPr>
                <w:rFonts w:ascii="Arial Narrow" w:hAnsi="Arial Narrow"/>
                <w:sz w:val="16"/>
              </w:rPr>
            </w:pPr>
            <w:r>
              <w:rPr>
                <w:rFonts w:ascii="Arial Narrow" w:hAnsi="Arial Narrow"/>
                <w:sz w:val="16"/>
              </w:rPr>
              <w:t>t</w:t>
            </w:r>
          </w:p>
        </w:tc>
        <w:tc>
          <w:tcPr>
            <w:tcW w:w="697"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jc w:val="center"/>
              <w:rPr>
                <w:rFonts w:ascii="Arial Narrow" w:hAnsi="Arial Narrow"/>
                <w:sz w:val="16"/>
              </w:rPr>
            </w:pPr>
            <w:r>
              <w:rPr>
                <w:rFonts w:ascii="Arial Narrow" w:hAnsi="Arial Narrow"/>
                <w:sz w:val="16"/>
              </w:rPr>
              <w:t>t</w:t>
            </w: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jc w:val="center"/>
              <w:rPr>
                <w:rFonts w:ascii="Arial Narrow" w:hAnsi="Arial Narrow"/>
                <w:sz w:val="16"/>
              </w:rPr>
            </w:pPr>
            <w:r>
              <w:rPr>
                <w:rFonts w:ascii="Arial Narrow" w:hAnsi="Arial Narrow"/>
                <w:sz w:val="16"/>
              </w:rPr>
              <w:t>t</w:t>
            </w: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jc w:val="center"/>
              <w:rPr>
                <w:rFonts w:ascii="Arial Narrow" w:hAnsi="Arial Narrow"/>
                <w:sz w:val="16"/>
              </w:rPr>
            </w:pPr>
            <w:r>
              <w:rPr>
                <w:rFonts w:ascii="Arial Narrow" w:hAnsi="Arial Narrow"/>
                <w:sz w:val="16"/>
              </w:rPr>
              <w:t>t</w:t>
            </w: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tcPr>
          <w:p>
            <w:pPr>
              <w:spacing w:lineRule="auto" w:line="252"/>
              <w:jc w:val="center"/>
              <w:rPr>
                <w:rFonts w:ascii="Arial Narrow" w:hAnsi="Arial Narrow"/>
                <w:sz w:val="16"/>
              </w:rPr>
            </w:pPr>
            <w:r>
              <w:rPr>
                <w:rFonts w:ascii="Arial Narrow" w:hAnsi="Arial Narrow"/>
                <w:sz w:val="16"/>
              </w:rPr>
              <w:t>t</w:t>
            </w: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jc w:val="center"/>
              <w:rPr>
                <w:rFonts w:ascii="Arial Narrow" w:hAnsi="Arial Narrow"/>
                <w:sz w:val="16"/>
              </w:rPr>
            </w:pPr>
            <w:r>
              <w:rPr>
                <w:rFonts w:ascii="Arial Narrow" w:hAnsi="Arial Narrow"/>
                <w:sz w:val="16"/>
              </w:rPr>
              <w:t>t</w:t>
            </w: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jc w:val="center"/>
              <w:rPr>
                <w:rFonts w:ascii="Arial Narrow" w:hAnsi="Arial Narrow"/>
                <w:sz w:val="16"/>
              </w:rPr>
            </w:pPr>
            <w:r>
              <w:rPr>
                <w:rFonts w:ascii="Arial Narrow" w:hAnsi="Arial Narrow"/>
                <w:sz w:val="16"/>
              </w:rPr>
              <w:t>000 m3</w:t>
            </w:r>
          </w:p>
        </w:tc>
      </w:tr>
      <w:tr>
        <w:trPr>
          <w:wAfter w:w="0" w:type="dxa"/>
        </w:trPr>
        <w:tc>
          <w:tcPr>
            <w:tcW w:w="3515" w:type="dxa"/>
            <w:tcBorders>
              <w:top w:val="single" w:sz="4" w:space="0" w:shadow="0" w:frame="0"/>
              <w:bottom w:val="none" w:sz="0" w:space="0" w:shadow="0" w:frame="0"/>
              <w:right w:val="single" w:sz="4" w:space="0" w:shadow="0" w:frame="0"/>
            </w:tcBorders>
            <w:vAlign w:val="bottom"/>
          </w:tcPr>
          <w:p>
            <w:pPr>
              <w:spacing w:lineRule="auto" w:line="252"/>
              <w:rPr>
                <w:rFonts w:ascii="Arial Narrow" w:hAnsi="Arial Narrow"/>
                <w:sz w:val="16"/>
              </w:rPr>
            </w:pPr>
          </w:p>
        </w:tc>
        <w:tc>
          <w:tcPr>
            <w:tcW w:w="680" w:type="dxa"/>
            <w:tcBorders>
              <w:top w:val="single" w:sz="4" w:space="0" w:shadow="0" w:frame="0"/>
            </w:tcBorders>
            <w:vAlign w:val="bottom"/>
          </w:tcPr>
          <w:p>
            <w:pPr>
              <w:spacing w:lineRule="auto" w:line="252"/>
              <w:ind w:right="113"/>
              <w:jc w:val="right"/>
              <w:rPr>
                <w:rFonts w:ascii="Arial Narrow" w:hAnsi="Arial Narrow"/>
                <w:sz w:val="16"/>
              </w:rPr>
            </w:pPr>
          </w:p>
        </w:tc>
        <w:tc>
          <w:tcPr>
            <w:tcW w:w="680" w:type="dxa"/>
            <w:tcBorders>
              <w:top w:val="single" w:sz="4" w:space="0" w:shadow="0" w:frame="0"/>
            </w:tcBorders>
            <w:vAlign w:val="bottom"/>
          </w:tcPr>
          <w:p>
            <w:pPr>
              <w:spacing w:lineRule="auto" w:line="252"/>
              <w:ind w:right="113"/>
              <w:jc w:val="right"/>
              <w:rPr>
                <w:rFonts w:ascii="Arial Narrow" w:hAnsi="Arial Narrow"/>
                <w:sz w:val="16"/>
              </w:rPr>
            </w:pPr>
          </w:p>
        </w:tc>
        <w:tc>
          <w:tcPr>
            <w:tcW w:w="680" w:type="dxa"/>
            <w:tcBorders>
              <w:top w:val="single" w:sz="4" w:space="0" w:shadow="0" w:frame="0"/>
            </w:tcBorders>
            <w:vAlign w:val="bottom"/>
          </w:tcPr>
          <w:p>
            <w:pPr>
              <w:spacing w:lineRule="auto" w:line="252"/>
              <w:ind w:right="113"/>
              <w:jc w:val="right"/>
              <w:rPr>
                <w:rFonts w:ascii="Arial Narrow" w:hAnsi="Arial Narrow"/>
                <w:sz w:val="16"/>
              </w:rPr>
            </w:pPr>
          </w:p>
        </w:tc>
        <w:tc>
          <w:tcPr>
            <w:tcW w:w="697" w:type="dxa"/>
            <w:tcBorders>
              <w:top w:val="single" w:sz="4" w:space="0" w:shadow="0" w:frame="0"/>
            </w:tcBorders>
            <w:vAlign w:val="bottom"/>
          </w:tcPr>
          <w:p>
            <w:pPr>
              <w:spacing w:lineRule="auto" w:line="252"/>
              <w:ind w:right="113"/>
              <w:jc w:val="right"/>
              <w:rPr>
                <w:rFonts w:ascii="Arial Narrow" w:hAnsi="Arial Narrow"/>
                <w:sz w:val="16"/>
              </w:rPr>
            </w:pPr>
          </w:p>
        </w:tc>
        <w:tc>
          <w:tcPr>
            <w:tcW w:w="680" w:type="dxa"/>
            <w:tcBorders>
              <w:top w:val="single" w:sz="4" w:space="0" w:shadow="0" w:frame="0"/>
            </w:tcBorders>
            <w:vAlign w:val="bottom"/>
          </w:tcPr>
          <w:p>
            <w:pPr>
              <w:spacing w:lineRule="auto" w:line="252"/>
              <w:ind w:right="113"/>
              <w:jc w:val="right"/>
              <w:rPr>
                <w:rFonts w:ascii="Arial Narrow" w:hAnsi="Arial Narrow"/>
                <w:sz w:val="16"/>
              </w:rPr>
            </w:pPr>
          </w:p>
        </w:tc>
        <w:tc>
          <w:tcPr>
            <w:tcW w:w="680" w:type="dxa"/>
            <w:tcBorders>
              <w:top w:val="single" w:sz="4" w:space="0" w:shadow="0" w:frame="0"/>
            </w:tcBorders>
            <w:vAlign w:val="bottom"/>
          </w:tcPr>
          <w:p>
            <w:pPr>
              <w:spacing w:lineRule="auto" w:line="252"/>
              <w:ind w:right="113"/>
              <w:jc w:val="right"/>
              <w:rPr>
                <w:rFonts w:ascii="Arial Narrow" w:hAnsi="Arial Narrow"/>
                <w:sz w:val="16"/>
              </w:rPr>
            </w:pPr>
          </w:p>
        </w:tc>
        <w:tc>
          <w:tcPr>
            <w:tcW w:w="680" w:type="dxa"/>
            <w:tcBorders>
              <w:top w:val="single" w:sz="4" w:space="0" w:shadow="0" w:frame="0"/>
            </w:tcBorders>
            <w:shd w:val="nil" w:color="auto" w:fill="auto"/>
          </w:tcPr>
          <w:p>
            <w:pPr>
              <w:spacing w:lineRule="auto" w:line="252"/>
              <w:ind w:right="113"/>
              <w:jc w:val="right"/>
              <w:rPr>
                <w:rFonts w:ascii="Arial Narrow" w:hAnsi="Arial Narrow"/>
                <w:sz w:val="16"/>
              </w:rPr>
            </w:pPr>
          </w:p>
        </w:tc>
        <w:tc>
          <w:tcPr>
            <w:tcW w:w="680" w:type="dxa"/>
            <w:tcBorders>
              <w:top w:val="single" w:sz="4" w:space="0" w:shadow="0" w:frame="0"/>
            </w:tcBorders>
            <w:vAlign w:val="bottom"/>
          </w:tcPr>
          <w:p>
            <w:pPr>
              <w:spacing w:lineRule="auto" w:line="252"/>
              <w:ind w:right="113"/>
              <w:jc w:val="right"/>
              <w:rPr>
                <w:rFonts w:ascii="Arial Narrow" w:hAnsi="Arial Narrow"/>
                <w:sz w:val="16"/>
              </w:rPr>
            </w:pPr>
          </w:p>
        </w:tc>
        <w:tc>
          <w:tcPr>
            <w:tcW w:w="680" w:type="dxa"/>
            <w:tcBorders>
              <w:top w:val="single" w:sz="4" w:space="0" w:shadow="0" w:frame="0"/>
            </w:tcBorders>
            <w:vAlign w:val="bottom"/>
          </w:tcPr>
          <w:p>
            <w:pPr>
              <w:spacing w:lineRule="auto" w:line="252"/>
              <w:ind w:right="113"/>
              <w:jc w:val="right"/>
              <w:rPr>
                <w:rFonts w:ascii="Arial Narrow" w:hAnsi="Arial Narrow"/>
                <w:sz w:val="16"/>
              </w:rPr>
            </w:pP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rPr>
                <w:rFonts w:ascii="Arial Narrow" w:hAnsi="Arial Narrow"/>
                <w:sz w:val="16"/>
              </w:rPr>
            </w:pPr>
            <w:r>
              <w:rPr>
                <w:rFonts w:ascii="Arial Narrow" w:hAnsi="Arial Narrow"/>
                <w:sz w:val="16"/>
              </w:rPr>
              <w:t>Примарна производња енергије / Primary production</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8045</w:t>
            </w:r>
          </w:p>
        </w:tc>
        <w:tc>
          <w:tcPr>
            <w:tcW w:w="697" w:type="dxa"/>
            <w:vAlign w:val="bottom"/>
          </w:tcPr>
          <w:p>
            <w:pPr>
              <w:ind w:right="57"/>
              <w:jc w:val="right"/>
              <w:rPr>
                <w:rFonts w:ascii="Arial Narrow" w:hAnsi="Arial Narrow"/>
                <w:sz w:val="16"/>
              </w:rPr>
            </w:pPr>
            <w:r>
              <w:rPr>
                <w:rFonts w:ascii="Arial Narrow" w:hAnsi="Arial Narrow"/>
                <w:sz w:val="16"/>
              </w:rPr>
              <w:t>37140272</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rPr>
                <w:rFonts w:ascii="Arial Narrow" w:hAnsi="Arial Narrow"/>
                <w:sz w:val="16"/>
              </w:rPr>
            </w:pPr>
            <w:r>
              <w:rPr>
                <w:rFonts w:ascii="Arial Narrow" w:hAnsi="Arial Narrow"/>
                <w:sz w:val="16"/>
              </w:rPr>
              <w:t>Увоз / Import</w:t>
            </w:r>
          </w:p>
        </w:tc>
        <w:tc>
          <w:tcPr>
            <w:tcW w:w="680" w:type="dxa"/>
            <w:vAlign w:val="bottom"/>
          </w:tcPr>
          <w:p>
            <w:pPr>
              <w:ind w:right="57"/>
              <w:jc w:val="right"/>
              <w:rPr>
                <w:rFonts w:ascii="Arial Narrow" w:hAnsi="Arial Narrow"/>
                <w:sz w:val="16"/>
              </w:rPr>
            </w:pPr>
            <w:r>
              <w:rPr>
                <w:rFonts w:ascii="Arial Narrow" w:hAnsi="Arial Narrow"/>
                <w:sz w:val="16"/>
              </w:rPr>
              <w:t>5220</w:t>
            </w:r>
          </w:p>
        </w:tc>
        <w:tc>
          <w:tcPr>
            <w:tcW w:w="680" w:type="dxa"/>
            <w:vAlign w:val="bottom"/>
          </w:tcPr>
          <w:p>
            <w:pPr>
              <w:ind w:right="57"/>
              <w:jc w:val="right"/>
              <w:rPr>
                <w:rFonts w:ascii="Arial Narrow" w:hAnsi="Arial Narrow"/>
                <w:sz w:val="16"/>
              </w:rPr>
            </w:pPr>
            <w:r>
              <w:rPr>
                <w:rFonts w:ascii="Arial Narrow" w:hAnsi="Arial Narrow"/>
                <w:sz w:val="16"/>
              </w:rPr>
              <w:t>96338</w:t>
            </w:r>
          </w:p>
        </w:tc>
        <w:tc>
          <w:tcPr>
            <w:tcW w:w="680" w:type="dxa"/>
            <w:vAlign w:val="bottom"/>
          </w:tcPr>
          <w:p>
            <w:pPr>
              <w:ind w:right="57"/>
              <w:jc w:val="right"/>
              <w:rPr>
                <w:rFonts w:ascii="Arial Narrow" w:hAnsi="Arial Narrow"/>
                <w:sz w:val="16"/>
              </w:rPr>
            </w:pPr>
            <w:r>
              <w:rPr>
                <w:rFonts w:ascii="Arial Narrow" w:hAnsi="Arial Narrow"/>
                <w:sz w:val="16"/>
              </w:rPr>
              <w:t>211845</w:t>
            </w:r>
          </w:p>
        </w:tc>
        <w:tc>
          <w:tcPr>
            <w:tcW w:w="697" w:type="dxa"/>
            <w:vAlign w:val="bottom"/>
          </w:tcPr>
          <w:p>
            <w:pPr>
              <w:ind w:right="57"/>
              <w:jc w:val="right"/>
              <w:rPr>
                <w:rFonts w:ascii="Arial Narrow" w:hAnsi="Arial Narrow"/>
                <w:sz w:val="16"/>
              </w:rPr>
            </w:pPr>
            <w:r>
              <w:rPr>
                <w:rFonts w:ascii="Arial Narrow" w:hAnsi="Arial Narrow"/>
                <w:sz w:val="16"/>
              </w:rPr>
              <w:t>215602</w:t>
            </w:r>
          </w:p>
        </w:tc>
        <w:tc>
          <w:tcPr>
            <w:tcW w:w="680" w:type="dxa"/>
            <w:vAlign w:val="bottom"/>
          </w:tcPr>
          <w:p>
            <w:pPr>
              <w:ind w:right="57"/>
              <w:jc w:val="right"/>
              <w:rPr>
                <w:rFonts w:ascii="Arial Narrow" w:hAnsi="Arial Narrow"/>
                <w:sz w:val="16"/>
              </w:rPr>
            </w:pPr>
            <w:r>
              <w:rPr>
                <w:rFonts w:ascii="Arial Narrow" w:hAnsi="Arial Narrow"/>
                <w:sz w:val="16"/>
              </w:rPr>
              <w:t>341</w:t>
            </w:r>
          </w:p>
        </w:tc>
        <w:tc>
          <w:tcPr>
            <w:tcW w:w="680" w:type="dxa"/>
            <w:vAlign w:val="bottom"/>
          </w:tcPr>
          <w:p>
            <w:pPr>
              <w:ind w:right="57"/>
              <w:jc w:val="right"/>
              <w:rPr>
                <w:rFonts w:ascii="Arial Narrow" w:hAnsi="Arial Narrow"/>
                <w:sz w:val="16"/>
              </w:rPr>
            </w:pPr>
            <w:r>
              <w:rPr>
                <w:rFonts w:ascii="Arial Narrow" w:hAnsi="Arial Narrow"/>
                <w:sz w:val="16"/>
              </w:rPr>
              <w:t>3581</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15</w:t>
            </w:r>
          </w:p>
        </w:tc>
        <w:tc>
          <w:tcPr>
            <w:tcW w:w="680" w:type="dxa"/>
            <w:vAlign w:val="bottom"/>
          </w:tcPr>
          <w:p>
            <w:pPr>
              <w:ind w:right="57"/>
              <w:jc w:val="right"/>
              <w:rPr>
                <w:rFonts w:ascii="Arial Narrow" w:hAnsi="Arial Narrow"/>
                <w:sz w:val="16"/>
              </w:rPr>
            </w:pPr>
            <w:r>
              <w:rPr>
                <w:rFonts w:ascii="Arial Narrow" w:hAnsi="Arial Narrow"/>
                <w:sz w:val="16"/>
              </w:rPr>
              <w:t>934245</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rPr>
                <w:rFonts w:ascii="Arial Narrow" w:hAnsi="Arial Narrow"/>
                <w:sz w:val="16"/>
              </w:rPr>
            </w:pPr>
            <w:r>
              <w:rPr>
                <w:rFonts w:ascii="Arial Narrow" w:hAnsi="Arial Narrow"/>
                <w:sz w:val="16"/>
              </w:rPr>
              <w:t>Извоз / Export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1106</w:t>
            </w:r>
          </w:p>
        </w:tc>
        <w:tc>
          <w:tcPr>
            <w:tcW w:w="680" w:type="dxa"/>
            <w:vAlign w:val="bottom"/>
          </w:tcPr>
          <w:p>
            <w:pPr>
              <w:ind w:right="57"/>
              <w:jc w:val="right"/>
              <w:rPr>
                <w:rFonts w:ascii="Arial Narrow" w:hAnsi="Arial Narrow"/>
                <w:sz w:val="16"/>
              </w:rPr>
            </w:pPr>
            <w:r>
              <w:rPr>
                <w:rFonts w:ascii="Arial Narrow" w:hAnsi="Arial Narrow"/>
                <w:sz w:val="16"/>
              </w:rPr>
              <w:t>24468</w:t>
            </w:r>
          </w:p>
        </w:tc>
        <w:tc>
          <w:tcPr>
            <w:tcW w:w="697" w:type="dxa"/>
            <w:vAlign w:val="bottom"/>
          </w:tcPr>
          <w:p>
            <w:pPr>
              <w:ind w:right="57"/>
              <w:jc w:val="right"/>
              <w:rPr>
                <w:rFonts w:ascii="Arial Narrow" w:hAnsi="Arial Narrow"/>
                <w:sz w:val="16"/>
              </w:rPr>
            </w:pPr>
            <w:r>
              <w:rPr>
                <w:rFonts w:ascii="Arial Narrow" w:hAnsi="Arial Narrow"/>
                <w:sz w:val="16"/>
              </w:rPr>
              <w:t>267257</w:t>
            </w:r>
          </w:p>
        </w:tc>
        <w:tc>
          <w:tcPr>
            <w:tcW w:w="680" w:type="dxa"/>
            <w:vAlign w:val="bottom"/>
          </w:tcPr>
          <w:p>
            <w:pPr>
              <w:ind w:right="57"/>
              <w:jc w:val="right"/>
              <w:rPr>
                <w:rFonts w:ascii="Arial Narrow" w:hAnsi="Arial Narrow"/>
                <w:sz w:val="16"/>
              </w:rPr>
            </w:pPr>
            <w:r>
              <w:rPr>
                <w:rFonts w:ascii="Arial Narrow" w:hAnsi="Arial Narrow"/>
                <w:sz w:val="16"/>
              </w:rPr>
              <w:t>0</w:t>
            </w:r>
          </w:p>
        </w:tc>
        <w:tc>
          <w:tcPr>
            <w:tcW w:w="680" w:type="dxa"/>
            <w:vAlign w:val="bottom"/>
          </w:tcPr>
          <w:p>
            <w:pPr>
              <w:ind w:right="57"/>
              <w:jc w:val="right"/>
              <w:rPr>
                <w:rFonts w:ascii="Arial Narrow" w:hAnsi="Arial Narrow"/>
                <w:sz w:val="16"/>
              </w:rPr>
            </w:pPr>
            <w:r>
              <w:rPr>
                <w:rFonts w:ascii="Arial Narrow" w:hAnsi="Arial Narrow"/>
                <w:sz w:val="16"/>
              </w:rPr>
              <w:t>72529</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931</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rPr>
                <w:rFonts w:ascii="Arial Narrow" w:hAnsi="Arial Narrow"/>
                <w:sz w:val="16"/>
              </w:rPr>
            </w:pPr>
            <w:r>
              <w:rPr>
                <w:rFonts w:ascii="Arial Narrow" w:hAnsi="Arial Narrow"/>
                <w:sz w:val="16"/>
              </w:rPr>
              <w:t>Салдо залиха / Stock changes</w:t>
            </w:r>
          </w:p>
        </w:tc>
        <w:tc>
          <w:tcPr>
            <w:tcW w:w="680" w:type="dxa"/>
            <w:vAlign w:val="bottom"/>
          </w:tcPr>
          <w:p>
            <w:pPr>
              <w:ind w:right="57"/>
              <w:jc w:val="right"/>
              <w:rPr>
                <w:rFonts w:ascii="Arial Narrow" w:hAnsi="Arial Narrow"/>
                <w:sz w:val="16"/>
              </w:rPr>
            </w:pPr>
            <w:r>
              <w:rPr>
                <w:rFonts w:ascii="Arial Narrow" w:hAnsi="Arial Narrow"/>
                <w:sz w:val="16"/>
              </w:rPr>
              <w:t>-545</w:t>
            </w:r>
          </w:p>
        </w:tc>
        <w:tc>
          <w:tcPr>
            <w:tcW w:w="680" w:type="dxa"/>
            <w:vAlign w:val="bottom"/>
          </w:tcPr>
          <w:p>
            <w:pPr>
              <w:ind w:right="57"/>
              <w:jc w:val="right"/>
              <w:rPr>
                <w:rFonts w:ascii="Arial Narrow" w:hAnsi="Arial Narrow"/>
                <w:sz w:val="16"/>
              </w:rPr>
            </w:pPr>
            <w:r>
              <w:rPr>
                <w:rFonts w:ascii="Arial Narrow" w:hAnsi="Arial Narrow"/>
                <w:sz w:val="16"/>
              </w:rPr>
              <w:t>-7400</w:t>
            </w:r>
          </w:p>
        </w:tc>
        <w:tc>
          <w:tcPr>
            <w:tcW w:w="680" w:type="dxa"/>
            <w:vAlign w:val="bottom"/>
          </w:tcPr>
          <w:p>
            <w:pPr>
              <w:ind w:right="57"/>
              <w:jc w:val="right"/>
              <w:rPr>
                <w:rFonts w:ascii="Arial Narrow" w:hAnsi="Arial Narrow"/>
                <w:sz w:val="16"/>
              </w:rPr>
            </w:pPr>
            <w:r>
              <w:rPr>
                <w:rFonts w:ascii="Arial Narrow" w:hAnsi="Arial Narrow"/>
                <w:sz w:val="16"/>
              </w:rPr>
              <w:t>-2411</w:t>
            </w:r>
          </w:p>
        </w:tc>
        <w:tc>
          <w:tcPr>
            <w:tcW w:w="697" w:type="dxa"/>
            <w:vAlign w:val="bottom"/>
          </w:tcPr>
          <w:p>
            <w:pPr>
              <w:ind w:right="57"/>
              <w:jc w:val="right"/>
              <w:rPr>
                <w:rFonts w:ascii="Arial Narrow" w:hAnsi="Arial Narrow"/>
                <w:sz w:val="16"/>
              </w:rPr>
            </w:pPr>
            <w:r>
              <w:rPr>
                <w:rFonts w:ascii="Arial Narrow" w:hAnsi="Arial Narrow"/>
                <w:sz w:val="16"/>
              </w:rPr>
              <w:t>75722</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4125</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-6326</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rPr>
                <w:rFonts w:ascii="Arial Narrow" w:hAnsi="Arial Narrow"/>
                <w:sz w:val="16"/>
              </w:rPr>
            </w:pPr>
            <w:r>
              <w:rPr>
                <w:rFonts w:ascii="Arial Narrow" w:hAnsi="Arial Narrow"/>
                <w:sz w:val="16"/>
              </w:rPr>
              <w:t>Међународна складишта / Bunkers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single" w:sz="4" w:space="0" w:shadow="0" w:frame="0"/>
              <w:right w:val="single" w:sz="4" w:space="0" w:shadow="0" w:frame="0"/>
            </w:tcBorders>
            <w:vAlign w:val="bottom"/>
          </w:tcPr>
          <w:p>
            <w:pPr>
              <w:spacing w:lineRule="auto" w:line="252"/>
              <w:rPr>
                <w:rFonts w:ascii="Arial Narrow" w:hAnsi="Arial Narrow"/>
                <w:sz w:val="16"/>
              </w:rPr>
            </w:pPr>
            <w:r>
              <w:rPr>
                <w:rFonts w:ascii="Arial Narrow" w:hAnsi="Arial Narrow"/>
                <w:sz w:val="16"/>
              </w:rPr>
              <w:t>Статистичка разлика / Statistical difference</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97"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6"/>
              </w:rPr>
            </w:pPr>
            <w:r>
              <w:rPr>
                <w:rFonts w:ascii="Arial Narrow" w:hAnsi="Arial Narrow"/>
                <w:b w:val="1"/>
                <w:sz w:val="16"/>
              </w:rPr>
              <w:t xml:space="preserve">Укупно расположива енергија </w:t>
            </w:r>
          </w:p>
          <w:p>
            <w:pPr>
              <w:spacing w:lineRule="auto" w:line="252"/>
              <w:rPr>
                <w:rFonts w:ascii="Arial Narrow" w:hAnsi="Arial Narrow"/>
                <w:b w:val="1"/>
                <w:sz w:val="16"/>
              </w:rPr>
            </w:pPr>
            <w:r>
              <w:rPr>
                <w:rFonts w:ascii="Arial Narrow" w:hAnsi="Arial Narrow"/>
                <w:b w:val="1"/>
                <w:sz w:val="16"/>
              </w:rPr>
              <w:t xml:space="preserve">Gross inland consumption  </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4675</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87832</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193011</w:t>
            </w:r>
          </w:p>
        </w:tc>
        <w:tc>
          <w:tcPr>
            <w:tcW w:w="697"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37164339</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341</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-64823</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15</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926988</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r>
      <w:tr>
        <w:trPr>
          <w:wAfter w:w="0" w:type="dxa"/>
        </w:trPr>
        <w:tc>
          <w:tcPr>
            <w:tcW w:w="3515" w:type="dxa"/>
            <w:tcBorders>
              <w:top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6"/>
              </w:rPr>
            </w:pPr>
            <w:r>
              <w:rPr>
                <w:rFonts w:ascii="Arial Narrow" w:hAnsi="Arial Narrow"/>
                <w:b w:val="1"/>
                <w:sz w:val="16"/>
              </w:rPr>
              <w:t xml:space="preserve">Утрошак за производњу енергије </w:t>
            </w:r>
          </w:p>
          <w:p>
            <w:pPr>
              <w:spacing w:lineRule="auto" w:line="252"/>
              <w:rPr>
                <w:rFonts w:ascii="Arial Narrow" w:hAnsi="Arial Narrow"/>
                <w:b w:val="1"/>
                <w:sz w:val="16"/>
              </w:rPr>
            </w:pPr>
            <w:r>
              <w:rPr>
                <w:rFonts w:ascii="Arial Narrow" w:hAnsi="Arial Narrow"/>
                <w:b w:val="1"/>
                <w:sz w:val="16"/>
              </w:rPr>
              <w:t>Transformation input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1099</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36760</w:t>
            </w:r>
          </w:p>
        </w:tc>
        <w:tc>
          <w:tcPr>
            <w:tcW w:w="697"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35509237</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119248</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297912</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709480</w:t>
            </w:r>
          </w:p>
        </w:tc>
      </w:tr>
      <w:tr>
        <w:trPr>
          <w:wAfter w:w="0" w:type="dxa"/>
        </w:trPr>
        <w:tc>
          <w:tcPr>
            <w:tcW w:w="3515" w:type="dxa"/>
            <w:tcBorders>
              <w:top w:val="single" w:sz="4"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Термоелектране / Thermal power plants</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97"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34095441</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Термоелектране - топлане (ТЕ-ТО) / CHP-other</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Индустријске енергане / Autoproducers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1099</w:t>
            </w:r>
          </w:p>
        </w:tc>
        <w:tc>
          <w:tcPr>
            <w:tcW w:w="680" w:type="dxa"/>
            <w:vAlign w:val="bottom"/>
          </w:tcPr>
          <w:p>
            <w:pPr>
              <w:ind w:right="57"/>
              <w:jc w:val="right"/>
              <w:rPr>
                <w:rFonts w:ascii="Arial Narrow" w:hAnsi="Arial Narrow"/>
                <w:sz w:val="16"/>
              </w:rPr>
            </w:pPr>
            <w:r>
              <w:rPr>
                <w:rFonts w:ascii="Arial Narrow" w:hAnsi="Arial Narrow"/>
                <w:sz w:val="16"/>
              </w:rPr>
              <w:t>6578</w:t>
            </w:r>
          </w:p>
        </w:tc>
        <w:tc>
          <w:tcPr>
            <w:tcW w:w="697" w:type="dxa"/>
            <w:vAlign w:val="bottom"/>
          </w:tcPr>
          <w:p>
            <w:pPr>
              <w:ind w:right="57"/>
              <w:jc w:val="right"/>
              <w:rPr>
                <w:rFonts w:ascii="Arial Narrow" w:hAnsi="Arial Narrow"/>
                <w:sz w:val="16"/>
              </w:rPr>
            </w:pPr>
            <w:r>
              <w:rPr>
                <w:rFonts w:ascii="Arial Narrow" w:hAnsi="Arial Narrow"/>
                <w:sz w:val="16"/>
              </w:rPr>
              <w:t>215181</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98287</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709480</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Топлане / District heating plants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30182</w:t>
            </w:r>
          </w:p>
        </w:tc>
        <w:tc>
          <w:tcPr>
            <w:tcW w:w="697" w:type="dxa"/>
            <w:vAlign w:val="bottom"/>
          </w:tcPr>
          <w:p>
            <w:pPr>
              <w:ind w:right="57"/>
              <w:jc w:val="right"/>
              <w:rPr>
                <w:rFonts w:ascii="Arial Narrow" w:hAnsi="Arial Narrow"/>
                <w:sz w:val="16"/>
              </w:rPr>
            </w:pPr>
            <w:r>
              <w:rPr>
                <w:rFonts w:ascii="Arial Narrow" w:hAnsi="Arial Narrow"/>
                <w:sz w:val="16"/>
              </w:rPr>
              <w:t>129584</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20961</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Рафинерије / Refineries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Високe пећи / Blast Furnace plants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297912</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Рудници угља / Coal mines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single" w:sz="4"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Прерада угља / Coal transformation</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97"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1069031</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6"/>
              </w:rPr>
            </w:pPr>
            <w:r>
              <w:rPr>
                <w:rFonts w:ascii="Arial Narrow" w:hAnsi="Arial Narrow"/>
                <w:b w:val="1"/>
                <w:sz w:val="16"/>
              </w:rPr>
              <w:t xml:space="preserve">Производња енергије трансформацијом  Transformation output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97"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592306</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2252296</w:t>
            </w:r>
          </w:p>
        </w:tc>
      </w:tr>
      <w:tr>
        <w:trPr>
          <w:wAfter w:w="0" w:type="dxa"/>
        </w:trPr>
        <w:tc>
          <w:tcPr>
            <w:tcW w:w="3515" w:type="dxa"/>
            <w:tcBorders>
              <w:top w:val="single" w:sz="4"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Хидроелектране / Hydro power plants</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97"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Термоелектране / Thermal power plants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Термоелектране - топлане (ТЕ-ТО) / CHP-other</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Индустријске енергане / Autoproducers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Топлане / District heating plants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Рафинерије / Refineries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Високe пећи / Blast Furnace plants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2252296</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Рудници угља / Coal mines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single" w:sz="4"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Прерада угља / Coal transformation</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97"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592306</w:t>
            </w:r>
          </w:p>
        </w:tc>
        <w:tc>
          <w:tcPr>
            <w:tcW w:w="680" w:type="dxa"/>
            <w:tcBorders>
              <w:bottom w:val="single" w:sz="4" w:space="0" w:shadow="0" w:frame="0"/>
            </w:tcBorders>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single" w:sz="4" w:space="0" w:shadow="0" w:frame="0"/>
              <w:bottom w:val="single" w:sz="4" w:space="0" w:shadow="0" w:frame="0"/>
              <w:right w:val="single" w:sz="4" w:space="0" w:shadow="0" w:frame="0"/>
            </w:tcBorders>
            <w:shd w:val="clear" w:color="auto" w:fill="CCFFFF"/>
          </w:tcPr>
          <w:p>
            <w:pPr>
              <w:spacing w:lineRule="auto" w:line="252"/>
              <w:rPr>
                <w:rFonts w:ascii="Arial Narrow" w:hAnsi="Arial Narrow"/>
                <w:b w:val="1"/>
                <w:sz w:val="16"/>
              </w:rPr>
            </w:pPr>
            <w:r>
              <w:rPr>
                <w:rFonts w:ascii="Arial Narrow" w:hAnsi="Arial Narrow"/>
                <w:b w:val="1"/>
                <w:sz w:val="16"/>
              </w:rPr>
              <w:t>Размена / Exchanges and transfers, returns</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97"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r>
      <w:tr>
        <w:trPr>
          <w:wAfter w:w="0" w:type="dxa"/>
        </w:trPr>
        <w:tc>
          <w:tcPr>
            <w:tcW w:w="3515" w:type="dxa"/>
            <w:tcBorders>
              <w:top w:val="single" w:sz="4" w:space="0" w:shadow="0" w:frame="0"/>
              <w:bottom w:val="single" w:sz="4"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Размена производа / Products transferred</w:t>
            </w:r>
          </w:p>
        </w:tc>
        <w:tc>
          <w:tcPr>
            <w:tcW w:w="680"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97"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bottom w:val="single" w:sz="4" w:space="0" w:shadow="0" w:frame="0"/>
            </w:tcBorders>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6"/>
              </w:rPr>
            </w:pPr>
            <w:r>
              <w:rPr>
                <w:rFonts w:ascii="Arial Narrow" w:hAnsi="Arial Narrow"/>
                <w:b w:val="1"/>
                <w:sz w:val="16"/>
              </w:rPr>
              <w:t xml:space="preserve">Сопствена потрошња у енергетском сектору </w:t>
              <w:br w:type="textWrapping"/>
              <w:t xml:space="preserve">Consumption in the energy sector </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97"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r>
      <w:tr>
        <w:trPr>
          <w:wAfter w:w="0" w:type="dxa"/>
        </w:trPr>
        <w:tc>
          <w:tcPr>
            <w:tcW w:w="3515" w:type="dxa"/>
            <w:tcBorders>
              <w:top w:val="single" w:sz="4"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Хидроелектране / Hydro power plants</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97"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Пумпање / Pump storage</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Термоелектране / Thermal power plants</w:t>
            </w:r>
          </w:p>
        </w:tc>
        <w:tc>
          <w:tcPr>
            <w:tcW w:w="680" w:type="dxa"/>
            <w:tcBorders>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97" w:type="dxa"/>
            <w:tcBorders>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none" w:sz="0" w:space="0" w:shadow="0" w:frame="0"/>
            </w:tcBorders>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tcBorders>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none" w:sz="0" w:space="0" w:shadow="0" w:frame="0"/>
            </w:tcBorders>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Термоелектране - топлане (ТЕ-ТО) / CHP-other</w:t>
            </w:r>
          </w:p>
        </w:tc>
        <w:tc>
          <w:tcPr>
            <w:tcW w:w="680"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97"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bottom w:val="none" w:sz="0" w:space="0" w:shadow="0" w:frame="0"/>
            </w:tcBorders>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Индустријске енергане / Autoproducers</w:t>
            </w:r>
          </w:p>
        </w:tc>
        <w:tc>
          <w:tcPr>
            <w:tcW w:w="680"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97"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bottom w:val="none" w:sz="0" w:space="0" w:shadow="0" w:frame="0"/>
            </w:tcBorders>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Топлане / District heating plants</w:t>
            </w:r>
          </w:p>
        </w:tc>
        <w:tc>
          <w:tcPr>
            <w:tcW w:w="680" w:type="dxa"/>
            <w:tcBorders>
              <w:top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97" w:type="dxa"/>
            <w:tcBorders>
              <w:top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tcBorders>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tcBorders>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Рафинерије / Refineries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Високe пећи / Blast Furnace plants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Рудници угља / Coal mines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single" w:sz="4"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Прерада угља / Coal transformation</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97"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6"/>
              </w:rPr>
            </w:pPr>
            <w:r>
              <w:rPr>
                <w:rFonts w:ascii="Arial Narrow" w:hAnsi="Arial Narrow"/>
                <w:b w:val="1"/>
                <w:sz w:val="16"/>
              </w:rPr>
              <w:t xml:space="preserve">Губици  / Losses</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663</w:t>
            </w:r>
          </w:p>
        </w:tc>
        <w:tc>
          <w:tcPr>
            <w:tcW w:w="697"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18427</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630922</w:t>
            </w:r>
          </w:p>
        </w:tc>
      </w:tr>
      <w:tr>
        <w:trPr>
          <w:wAfter w:w="0" w:type="dxa"/>
        </w:trPr>
        <w:tc>
          <w:tcPr>
            <w:tcW w:w="3515" w:type="dxa"/>
            <w:tcBorders>
              <w:top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6"/>
              </w:rPr>
            </w:pPr>
            <w:r>
              <w:rPr>
                <w:rFonts w:ascii="Arial Narrow" w:hAnsi="Arial Narrow"/>
                <w:b w:val="1"/>
                <w:sz w:val="16"/>
              </w:rPr>
              <w:t>Енергија расположива за финалну потрошњу</w:t>
              <w:br w:type="textWrapping"/>
              <w:t xml:space="preserve">Energy available for final consumption  </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4675</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86733</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155588</w:t>
            </w:r>
          </w:p>
        </w:tc>
        <w:tc>
          <w:tcPr>
            <w:tcW w:w="697"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1636675</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341</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408235</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15</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629076</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911894</w:t>
            </w:r>
          </w:p>
        </w:tc>
      </w:tr>
      <w:tr>
        <w:trPr>
          <w:wAfter w:w="0" w:type="dxa"/>
        </w:trPr>
        <w:tc>
          <w:tcPr>
            <w:tcW w:w="3515" w:type="dxa"/>
            <w:tcBorders>
              <w:top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6"/>
              </w:rPr>
            </w:pPr>
            <w:r>
              <w:rPr>
                <w:rFonts w:ascii="Arial Narrow" w:hAnsi="Arial Narrow"/>
                <w:b w:val="1"/>
                <w:sz w:val="16"/>
              </w:rPr>
              <w:t>Финална потрошња / Final consumption</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4675</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86733</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155588</w:t>
            </w:r>
          </w:p>
        </w:tc>
        <w:tc>
          <w:tcPr>
            <w:tcW w:w="697"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1636675</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341</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408235</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15</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629076</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911894</w:t>
            </w:r>
          </w:p>
        </w:tc>
      </w:tr>
      <w:tr>
        <w:trPr>
          <w:wAfter w:w="0" w:type="dxa"/>
        </w:trPr>
        <w:tc>
          <w:tcPr>
            <w:tcW w:w="3515" w:type="dxa"/>
            <w:tcBorders>
              <w:top w:val="single" w:sz="4" w:space="0" w:shadow="0" w:frame="0"/>
              <w:bottom w:val="single" w:sz="4" w:space="0" w:shadow="0" w:frame="0"/>
              <w:right w:val="single" w:sz="4" w:space="0" w:shadow="0" w:frame="0"/>
            </w:tcBorders>
            <w:shd w:val="clear" w:color="auto" w:fill="CCFFFF"/>
            <w:vAlign w:val="bottom"/>
          </w:tcPr>
          <w:p>
            <w:pPr>
              <w:spacing w:lineRule="auto" w:line="252"/>
              <w:ind w:left="57"/>
              <w:rPr>
                <w:rFonts w:ascii="Arial Narrow" w:hAnsi="Arial Narrow"/>
                <w:b w:val="1"/>
                <w:sz w:val="16"/>
              </w:rPr>
            </w:pPr>
            <w:r>
              <w:rPr>
                <w:rFonts w:ascii="Arial Narrow" w:hAnsi="Arial Narrow"/>
                <w:b w:val="1"/>
                <w:sz w:val="16"/>
              </w:rPr>
              <w:t>Финална потрошња за неенергетске сврхе /</w:t>
              <w:br w:type="textWrapping"/>
              <w:t>Final Non-Energy consumption</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896</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64198</w:t>
            </w:r>
          </w:p>
        </w:tc>
        <w:tc>
          <w:tcPr>
            <w:tcW w:w="697"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15</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r>
      <w:tr>
        <w:trPr>
          <w:wAfter w:w="0" w:type="dxa"/>
        </w:trPr>
        <w:tc>
          <w:tcPr>
            <w:tcW w:w="3515" w:type="dxa"/>
            <w:tcBorders>
              <w:top w:val="single" w:sz="4" w:space="0" w:shadow="0" w:frame="0"/>
              <w:bottom w:val="single" w:sz="4"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 xml:space="preserve">од тога за хемијску индустрију  </w:t>
              <w:br w:type="textWrapping"/>
              <w:t>of wich: Chemical industry</w:t>
            </w:r>
          </w:p>
        </w:tc>
        <w:tc>
          <w:tcPr>
            <w:tcW w:w="680"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97"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bottom w:val="single" w:sz="4" w:space="0" w:shadow="0" w:frame="0"/>
            </w:tcBorders>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single" w:sz="4" w:space="0" w:shadow="0" w:frame="0"/>
              <w:bottom w:val="single" w:sz="4" w:space="0" w:shadow="0" w:frame="0"/>
              <w:right w:val="single" w:sz="4" w:space="0" w:shadow="0" w:frame="0"/>
            </w:tcBorders>
            <w:shd w:val="clear" w:color="auto" w:fill="CCFFFF"/>
            <w:vAlign w:val="bottom"/>
          </w:tcPr>
          <w:p>
            <w:pPr>
              <w:spacing w:lineRule="auto" w:line="252"/>
              <w:ind w:left="57"/>
              <w:rPr>
                <w:rFonts w:ascii="Arial Narrow" w:hAnsi="Arial Narrow"/>
                <w:b w:val="1"/>
                <w:sz w:val="16"/>
              </w:rPr>
            </w:pPr>
            <w:r>
              <w:rPr>
                <w:rFonts w:ascii="Arial Narrow" w:hAnsi="Arial Narrow"/>
                <w:b w:val="1"/>
                <w:sz w:val="16"/>
              </w:rPr>
              <w:t xml:space="preserve">Финална потрошња за енергетске сврхе </w:t>
              <w:br w:type="textWrapping"/>
              <w:t>Final Energy consumption</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3779</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86733</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91390</w:t>
            </w:r>
          </w:p>
        </w:tc>
        <w:tc>
          <w:tcPr>
            <w:tcW w:w="697"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1636675</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341</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408235</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629076</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911894</w:t>
            </w:r>
          </w:p>
        </w:tc>
      </w:tr>
      <w:tr>
        <w:trPr>
          <w:wAfter w:w="0" w:type="dxa"/>
        </w:trPr>
        <w:tc>
          <w:tcPr>
            <w:tcW w:w="3515" w:type="dxa"/>
            <w:tcBorders>
              <w:top w:val="single" w:sz="4"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 xml:space="preserve">Индустрија / Industry   </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3779</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86733</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86391</w:t>
            </w:r>
          </w:p>
        </w:tc>
        <w:tc>
          <w:tcPr>
            <w:tcW w:w="697"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118051</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122715</w:t>
            </w:r>
          </w:p>
        </w:tc>
        <w:tc>
          <w:tcPr>
            <w:tcW w:w="680" w:type="dxa"/>
            <w:tcBorders>
              <w:top w:val="single" w:sz="4" w:space="0" w:shadow="0" w:frame="0"/>
            </w:tcBorders>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629076</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911894</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Грађевинарство / Construction</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320</w:t>
            </w:r>
          </w:p>
        </w:tc>
        <w:tc>
          <w:tcPr>
            <w:tcW w:w="697" w:type="dxa"/>
            <w:vAlign w:val="bottom"/>
          </w:tcPr>
          <w:p>
            <w:pPr>
              <w:ind w:right="57"/>
              <w:jc w:val="right"/>
              <w:rPr>
                <w:rFonts w:ascii="Arial Narrow" w:hAnsi="Arial Narrow"/>
                <w:sz w:val="16"/>
              </w:rPr>
            </w:pPr>
            <w:r>
              <w:rPr>
                <w:rFonts w:ascii="Arial Narrow" w:hAnsi="Arial Narrow"/>
                <w:sz w:val="16"/>
              </w:rPr>
              <w:t>4763</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440</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Саобраћај / Transport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625</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446</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Домаћинства / Households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3211</w:t>
            </w:r>
          </w:p>
        </w:tc>
        <w:tc>
          <w:tcPr>
            <w:tcW w:w="697" w:type="dxa"/>
            <w:vAlign w:val="bottom"/>
          </w:tcPr>
          <w:p>
            <w:pPr>
              <w:ind w:right="57"/>
              <w:jc w:val="right"/>
              <w:rPr>
                <w:rFonts w:ascii="Arial Narrow" w:hAnsi="Arial Narrow"/>
                <w:sz w:val="16"/>
              </w:rPr>
            </w:pPr>
            <w:r>
              <w:rPr>
                <w:rFonts w:ascii="Arial Narrow" w:hAnsi="Arial Narrow"/>
                <w:sz w:val="16"/>
              </w:rPr>
              <w:t>1285836</w:t>
            </w:r>
          </w:p>
        </w:tc>
        <w:tc>
          <w:tcPr>
            <w:tcW w:w="680" w:type="dxa"/>
            <w:vAlign w:val="bottom"/>
          </w:tcPr>
          <w:p>
            <w:pPr>
              <w:ind w:right="57"/>
              <w:jc w:val="right"/>
              <w:rPr>
                <w:rFonts w:ascii="Arial Narrow" w:hAnsi="Arial Narrow"/>
                <w:sz w:val="16"/>
              </w:rPr>
            </w:pPr>
            <w:r>
              <w:rPr>
                <w:rFonts w:ascii="Arial Narrow" w:hAnsi="Arial Narrow"/>
                <w:sz w:val="16"/>
              </w:rPr>
              <w:t>341</w:t>
            </w:r>
          </w:p>
        </w:tc>
        <w:tc>
          <w:tcPr>
            <w:tcW w:w="680" w:type="dxa"/>
            <w:vAlign w:val="bottom"/>
          </w:tcPr>
          <w:p>
            <w:pPr>
              <w:ind w:right="57"/>
              <w:jc w:val="right"/>
              <w:rPr>
                <w:rFonts w:ascii="Arial Narrow" w:hAnsi="Arial Narrow"/>
                <w:sz w:val="16"/>
              </w:rPr>
            </w:pPr>
            <w:r>
              <w:rPr>
                <w:rFonts w:ascii="Arial Narrow" w:hAnsi="Arial Narrow"/>
                <w:sz w:val="16"/>
              </w:rPr>
              <w:t>254654</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Пољопривреда / Agriculture</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20</w:t>
            </w:r>
          </w:p>
        </w:tc>
        <w:tc>
          <w:tcPr>
            <w:tcW w:w="697" w:type="dxa"/>
            <w:vAlign w:val="bottom"/>
          </w:tcPr>
          <w:p>
            <w:pPr>
              <w:ind w:right="57"/>
              <w:jc w:val="right"/>
              <w:rPr>
                <w:rFonts w:ascii="Arial Narrow" w:hAnsi="Arial Narrow"/>
                <w:sz w:val="16"/>
              </w:rPr>
            </w:pPr>
            <w:r>
              <w:rPr>
                <w:rFonts w:ascii="Arial Narrow" w:hAnsi="Arial Narrow"/>
                <w:sz w:val="16"/>
              </w:rPr>
              <w:t>2404</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953</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single" w:sz="4"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Остали потрошачи / Other users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1448</w:t>
            </w:r>
          </w:p>
        </w:tc>
        <w:tc>
          <w:tcPr>
            <w:tcW w:w="697" w:type="dxa"/>
            <w:vAlign w:val="bottom"/>
          </w:tcPr>
          <w:p>
            <w:pPr>
              <w:ind w:right="57"/>
              <w:jc w:val="right"/>
              <w:rPr>
                <w:rFonts w:ascii="Arial Narrow" w:hAnsi="Arial Narrow"/>
                <w:sz w:val="16"/>
              </w:rPr>
            </w:pPr>
            <w:r>
              <w:rPr>
                <w:rFonts w:ascii="Arial Narrow" w:hAnsi="Arial Narrow"/>
                <w:sz w:val="16"/>
              </w:rPr>
              <w:t>224996</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29027</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bl>
    <w:p>
      <w:pPr>
        <w:spacing w:lineRule="auto" w:line="216"/>
        <w:jc w:val="center"/>
        <w:rPr>
          <w:rFonts w:ascii="Arial Narrow" w:hAnsi="Arial Narrow"/>
          <w:b w:val="1"/>
        </w:rPr>
      </w:pPr>
    </w:p>
    <w:p>
      <w:pPr>
        <w:spacing w:lineRule="auto" w:line="216"/>
        <w:jc w:val="center"/>
        <w:rPr>
          <w:rFonts w:ascii="Arial Narrow" w:hAnsi="Arial Narrow"/>
          <w:b w:val="1"/>
        </w:rPr>
      </w:pPr>
    </w:p>
    <w:p>
      <w:pPr>
        <w:spacing w:lineRule="auto" w:line="216"/>
        <w:jc w:val="center"/>
        <w:rPr>
          <w:rFonts w:ascii="Arial Narrow" w:hAnsi="Arial Narrow"/>
          <w:b w:val="1"/>
        </w:rPr>
      </w:pPr>
    </w:p>
    <w:p>
      <w:pPr>
        <w:jc w:val="center"/>
        <w:rPr>
          <w:rFonts w:ascii="Arial Narrow" w:hAnsi="Arial Narrow"/>
          <w:b w:val="1"/>
        </w:rPr>
      </w:pPr>
      <w:r>
        <w:rPr>
          <w:rFonts w:ascii="Arial Narrow" w:hAnsi="Arial Narrow"/>
          <w:b w:val="1"/>
        </w:rPr>
        <w:t xml:space="preserve">Биланс угља, </w:t>
      </w:r>
      <w:r>
        <w:rPr>
          <w:rFonts w:ascii="Arial Narrow" w:hAnsi="Arial Narrow"/>
          <w:b w:val="1"/>
        </w:rPr>
        <w:t>200</w:t>
      </w:r>
      <w:r>
        <w:rPr>
          <w:rFonts w:ascii="Arial Narrow" w:hAnsi="Arial Narrow"/>
          <w:b w:val="1"/>
        </w:rPr>
        <w:t>7</w:t>
      </w:r>
      <w:r>
        <w:rPr>
          <w:rFonts w:ascii="Arial Narrow" w:hAnsi="Arial Narrow"/>
          <w:b w:val="1"/>
        </w:rPr>
        <w:t>. године</w:t>
      </w:r>
    </w:p>
    <w:p>
      <w:pPr>
        <w:jc w:val="center"/>
        <w:rPr>
          <w:rFonts w:ascii="Arial Narrow" w:hAnsi="Arial Narrow"/>
          <w:b w:val="1"/>
        </w:rPr>
      </w:pPr>
      <w:r>
        <w:rPr>
          <w:rFonts w:ascii="Arial Narrow" w:hAnsi="Arial Narrow"/>
          <w:b w:val="1"/>
        </w:rPr>
        <w:t>Balance of Coal in 2007</w:t>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3402" w:type="dxa"/>
            <w:vMerge w:val="restart"/>
            <w:tcBorders>
              <w:top w:val="single" w:sz="4" w:space="0" w:shadow="0" w:frame="0"/>
              <w:bottom w:val="none" w:sz="0" w:space="0" w:shadow="0" w:frame="0"/>
              <w:right w:val="single" w:sz="4" w:space="0" w:shadow="0" w:frame="0"/>
            </w:tcBorders>
            <w:shd w:val="clear" w:color="auto" w:fill="CCFFFF"/>
            <w:vAlign w:val="bottom"/>
          </w:tcPr>
          <w:p>
            <w:pPr>
              <w:spacing w:lineRule="auto" w:line="252"/>
              <w:rPr>
                <w:rFonts w:ascii="Arial Narrow" w:hAnsi="Arial Narrow"/>
                <w:sz w:val="16"/>
              </w:rPr>
            </w:pPr>
            <w:r>
              <w:rPr>
                <w:rFonts w:ascii="Arial Narrow" w:hAnsi="Arial Narrow"/>
                <w:sz w:val="16"/>
              </w:rPr>
              <w:t> </w:t>
            </w:r>
          </w:p>
          <w:p>
            <w:pPr>
              <w:spacing w:lineRule="auto" w:line="252"/>
              <w:jc w:val="center"/>
              <w:rPr>
                <w:rFonts w:ascii="Arial Narrow" w:hAnsi="Arial Narrow"/>
                <w:sz w:val="16"/>
              </w:rPr>
            </w:pPr>
            <w:r>
              <w:rPr>
                <w:rFonts w:ascii="Arial Narrow" w:hAnsi="Arial Narrow"/>
                <w:sz w:val="16"/>
              </w:rPr>
              <w:t> </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sz w:val="16"/>
              </w:rPr>
            </w:pPr>
            <w:r>
              <w:rPr>
                <w:rFonts w:ascii="Arial Narrow" w:hAnsi="Arial Narrow"/>
                <w:sz w:val="16"/>
              </w:rPr>
              <w:t xml:space="preserve">Укупно </w:t>
              <w:br w:type="textWrapping"/>
            </w:r>
            <w:r>
              <w:rPr>
                <w:rFonts w:ascii="Arial Narrow" w:hAnsi="Arial Narrow"/>
                <w:i w:val="1"/>
                <w:sz w:val="16"/>
              </w:rPr>
              <w:t>Total</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sz w:val="16"/>
              </w:rPr>
            </w:pPr>
            <w:r>
              <w:rPr>
                <w:rFonts w:ascii="Arial Narrow" w:hAnsi="Arial Narrow"/>
                <w:sz w:val="16"/>
              </w:rPr>
              <w:t>Антрацит</w:t>
              <w:br w:type="textWrapping"/>
            </w:r>
            <w:r>
              <w:rPr>
                <w:rFonts w:ascii="Arial Narrow" w:hAnsi="Arial Narrow"/>
                <w:i w:val="1"/>
                <w:sz w:val="16"/>
              </w:rPr>
              <w:t>Anthracit</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sz w:val="16"/>
              </w:rPr>
            </w:pPr>
            <w:r>
              <w:rPr>
                <w:rFonts w:ascii="Arial Narrow" w:hAnsi="Arial Narrow"/>
                <w:sz w:val="16"/>
              </w:rPr>
              <w:t xml:space="preserve">Остали биту-менозни   угаљ </w:t>
              <w:br w:type="textWrapping"/>
            </w:r>
            <w:r>
              <w:rPr>
                <w:rFonts w:ascii="Arial Narrow" w:hAnsi="Arial Narrow"/>
                <w:i w:val="1"/>
                <w:sz w:val="16"/>
              </w:rPr>
              <w:t>Other bitume-</w:t>
            </w:r>
            <w:r>
              <w:rPr>
                <w:rFonts w:ascii="Arial Narrow" w:hAnsi="Arial Narrow"/>
                <w:i w:val="1"/>
                <w:sz w:val="16"/>
              </w:rPr>
              <w:t>n</w:t>
            </w:r>
            <w:r>
              <w:rPr>
                <w:rFonts w:ascii="Arial Narrow" w:hAnsi="Arial Narrow"/>
                <w:i w:val="1"/>
                <w:sz w:val="16"/>
              </w:rPr>
              <w:t>ous coal</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sz w:val="16"/>
              </w:rPr>
            </w:pPr>
            <w:r>
              <w:rPr>
                <w:rFonts w:ascii="Arial Narrow" w:hAnsi="Arial Narrow"/>
                <w:sz w:val="16"/>
              </w:rPr>
              <w:t>Суб- биту-менозни</w:t>
            </w:r>
          </w:p>
          <w:p>
            <w:pPr>
              <w:spacing w:lineRule="auto" w:line="252"/>
              <w:jc w:val="center"/>
              <w:rPr>
                <w:rFonts w:ascii="Arial Narrow" w:hAnsi="Arial Narrow"/>
                <w:sz w:val="16"/>
              </w:rPr>
            </w:pPr>
            <w:r>
              <w:rPr>
                <w:rFonts w:ascii="Arial Narrow" w:hAnsi="Arial Narrow"/>
                <w:sz w:val="16"/>
              </w:rPr>
              <w:t xml:space="preserve">угаљ </w:t>
              <w:br w:type="textWrapping"/>
            </w:r>
            <w:r>
              <w:rPr>
                <w:rFonts w:ascii="Arial Narrow" w:hAnsi="Arial Narrow"/>
                <w:i w:val="1"/>
                <w:sz w:val="16"/>
              </w:rPr>
              <w:t>Sub</w:t>
            </w:r>
            <w:r>
              <w:rPr>
                <w:rFonts w:ascii="Arial Narrow" w:hAnsi="Arial Narrow"/>
                <w:i w:val="1"/>
                <w:sz w:val="16"/>
              </w:rPr>
              <w:t>-</w:t>
            </w:r>
            <w:r>
              <w:rPr>
                <w:rFonts w:ascii="Arial Narrow" w:hAnsi="Arial Narrow"/>
                <w:i w:val="1"/>
                <w:sz w:val="16"/>
              </w:rPr>
              <w:t>b</w:t>
            </w:r>
            <w:r>
              <w:rPr>
                <w:rFonts w:ascii="Arial Narrow" w:hAnsi="Arial Narrow"/>
                <w:i w:val="1"/>
                <w:sz w:val="16"/>
              </w:rPr>
              <w:t>i</w:t>
            </w:r>
            <w:r>
              <w:rPr>
                <w:rFonts w:ascii="Arial Narrow" w:hAnsi="Arial Narrow"/>
                <w:i w:val="1"/>
                <w:sz w:val="16"/>
              </w:rPr>
              <w:t>-tumenous coal</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i w:val="1"/>
                <w:sz w:val="16"/>
              </w:rPr>
            </w:pPr>
            <w:r>
              <w:rPr>
                <w:rFonts w:ascii="Arial Narrow" w:hAnsi="Arial Narrow"/>
                <w:sz w:val="16"/>
              </w:rPr>
              <w:t xml:space="preserve">Мрки угаљ и лигнит </w:t>
              <w:br w:type="textWrapping"/>
            </w:r>
            <w:r>
              <w:rPr>
                <w:rFonts w:ascii="Arial Narrow" w:hAnsi="Arial Narrow"/>
                <w:i w:val="1"/>
                <w:sz w:val="16"/>
              </w:rPr>
              <w:t>Brown</w:t>
            </w:r>
          </w:p>
          <w:p>
            <w:pPr>
              <w:spacing w:lineRule="auto" w:line="252"/>
              <w:jc w:val="center"/>
              <w:rPr>
                <w:rFonts w:ascii="Arial Narrow" w:hAnsi="Arial Narrow"/>
                <w:sz w:val="16"/>
              </w:rPr>
            </w:pPr>
            <w:r>
              <w:rPr>
                <w:rFonts w:ascii="Arial Narrow" w:hAnsi="Arial Narrow"/>
                <w:i w:val="1"/>
                <w:sz w:val="16"/>
              </w:rPr>
              <w:t>coal and lignite</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i w:val="1"/>
                <w:sz w:val="16"/>
              </w:rPr>
            </w:pPr>
            <w:r>
              <w:rPr>
                <w:rFonts w:ascii="Arial Narrow" w:hAnsi="Arial Narrow"/>
                <w:sz w:val="16"/>
              </w:rPr>
              <w:t xml:space="preserve">Брикет каменог угаља </w:t>
            </w:r>
            <w:r>
              <w:rPr>
                <w:rFonts w:ascii="Arial Narrow" w:hAnsi="Arial Narrow"/>
                <w:i w:val="1"/>
                <w:sz w:val="16"/>
              </w:rPr>
              <w:t>Patent</w:t>
            </w:r>
          </w:p>
          <w:p>
            <w:pPr>
              <w:spacing w:lineRule="auto" w:line="252"/>
              <w:jc w:val="center"/>
              <w:rPr>
                <w:rFonts w:ascii="Arial Narrow" w:hAnsi="Arial Narrow"/>
                <w:sz w:val="16"/>
              </w:rPr>
            </w:pPr>
            <w:r>
              <w:rPr>
                <w:rFonts w:ascii="Arial Narrow" w:hAnsi="Arial Narrow"/>
                <w:i w:val="1"/>
                <w:sz w:val="16"/>
              </w:rPr>
              <w:t>fuel</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sz w:val="16"/>
              </w:rPr>
            </w:pPr>
            <w:r>
              <w:rPr>
                <w:rFonts w:ascii="Arial Narrow" w:hAnsi="Arial Narrow"/>
                <w:sz w:val="16"/>
              </w:rPr>
              <w:t xml:space="preserve">Брикет мрког угља и лигнита, сушени лигнит </w:t>
              <w:br w:type="textWrapping"/>
            </w:r>
            <w:r>
              <w:rPr>
                <w:rFonts w:ascii="Arial Narrow" w:hAnsi="Arial Narrow"/>
                <w:i w:val="1"/>
                <w:sz w:val="16"/>
              </w:rPr>
              <w:t xml:space="preserve">BKB-PB </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sz w:val="16"/>
              </w:rPr>
            </w:pPr>
            <w:r>
              <w:rPr>
                <w:rFonts w:ascii="Arial Narrow" w:hAnsi="Arial Narrow"/>
                <w:sz w:val="16"/>
              </w:rPr>
              <w:t xml:space="preserve">Катран </w:t>
            </w:r>
          </w:p>
          <w:p>
            <w:pPr>
              <w:spacing w:lineRule="auto" w:line="252"/>
              <w:jc w:val="center"/>
              <w:rPr>
                <w:rFonts w:ascii="Arial Narrow" w:hAnsi="Arial Narrow"/>
                <w:sz w:val="16"/>
              </w:rPr>
            </w:pPr>
            <w:r>
              <w:rPr>
                <w:rFonts w:ascii="Arial Narrow" w:hAnsi="Arial Narrow"/>
                <w:sz w:val="16"/>
              </w:rPr>
              <w:t xml:space="preserve">од угља </w:t>
            </w:r>
          </w:p>
          <w:p>
            <w:pPr>
              <w:spacing w:lineRule="auto" w:line="252"/>
              <w:jc w:val="center"/>
              <w:rPr>
                <w:rFonts w:ascii="Arial Narrow" w:hAnsi="Arial Narrow"/>
                <w:i w:val="1"/>
                <w:sz w:val="16"/>
              </w:rPr>
            </w:pPr>
            <w:r>
              <w:rPr>
                <w:rFonts w:ascii="Arial Narrow" w:hAnsi="Arial Narrow"/>
                <w:i w:val="1"/>
                <w:sz w:val="16"/>
              </w:rPr>
              <w:t xml:space="preserve">Coal </w:t>
            </w:r>
          </w:p>
          <w:p>
            <w:pPr>
              <w:spacing w:lineRule="auto" w:line="252"/>
              <w:jc w:val="center"/>
              <w:rPr>
                <w:rFonts w:ascii="Arial Narrow" w:hAnsi="Arial Narrow"/>
                <w:sz w:val="16"/>
              </w:rPr>
            </w:pPr>
            <w:r>
              <w:rPr>
                <w:rFonts w:ascii="Arial Narrow" w:hAnsi="Arial Narrow"/>
                <w:i w:val="1"/>
                <w:sz w:val="16"/>
              </w:rPr>
              <w:t>tar</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i w:val="1"/>
                <w:sz w:val="16"/>
              </w:rPr>
            </w:pPr>
            <w:r>
              <w:rPr>
                <w:rFonts w:ascii="Arial Narrow" w:hAnsi="Arial Narrow"/>
                <w:sz w:val="16"/>
              </w:rPr>
              <w:t xml:space="preserve">Кокс </w:t>
              <w:br w:type="textWrapping"/>
            </w:r>
            <w:r>
              <w:rPr>
                <w:rFonts w:ascii="Arial Narrow" w:hAnsi="Arial Narrow"/>
                <w:i w:val="1"/>
                <w:sz w:val="16"/>
              </w:rPr>
              <w:t>Coke</w:t>
            </w:r>
          </w:p>
          <w:p>
            <w:pPr>
              <w:spacing w:lineRule="auto" w:line="252"/>
              <w:jc w:val="center"/>
              <w:rPr>
                <w:rFonts w:ascii="Arial Narrow" w:hAnsi="Arial Narrow"/>
                <w:i w:val="1"/>
                <w:sz w:val="16"/>
              </w:rPr>
            </w:pPr>
            <w:r>
              <w:rPr>
                <w:rFonts w:ascii="Arial Narrow" w:hAnsi="Arial Narrow"/>
                <w:i w:val="1"/>
                <w:sz w:val="16"/>
              </w:rPr>
              <w:t xml:space="preserve">oven </w:t>
            </w:r>
          </w:p>
          <w:p>
            <w:pPr>
              <w:spacing w:lineRule="auto" w:line="252"/>
              <w:jc w:val="center"/>
              <w:rPr>
                <w:rFonts w:ascii="Arial Narrow" w:hAnsi="Arial Narrow"/>
                <w:sz w:val="16"/>
              </w:rPr>
            </w:pPr>
            <w:r>
              <w:rPr>
                <w:rFonts w:ascii="Arial Narrow" w:hAnsi="Arial Narrow"/>
                <w:i w:val="1"/>
                <w:sz w:val="16"/>
              </w:rPr>
              <w:t>coke</w:t>
            </w:r>
          </w:p>
        </w:tc>
        <w:tc>
          <w:tcPr>
            <w:tcW w:w="624" w:type="dxa"/>
            <w:tcBorders>
              <w:top w:val="single" w:sz="4" w:space="0" w:shadow="0" w:frame="0"/>
              <w:left w:val="single" w:sz="4" w:space="0" w:shadow="0" w:frame="0"/>
              <w:bottom w:val="single" w:sz="4" w:space="0" w:shadow="0" w:frame="0"/>
            </w:tcBorders>
            <w:shd w:val="clear" w:color="auto" w:fill="CCFFFF"/>
            <w:vAlign w:val="center"/>
          </w:tcPr>
          <w:p>
            <w:pPr>
              <w:spacing w:lineRule="auto" w:line="252"/>
              <w:jc w:val="center"/>
              <w:rPr>
                <w:rFonts w:ascii="Arial Narrow" w:hAnsi="Arial Narrow"/>
                <w:sz w:val="16"/>
              </w:rPr>
            </w:pPr>
            <w:r>
              <w:rPr>
                <w:rFonts w:ascii="Arial Narrow" w:hAnsi="Arial Narrow"/>
                <w:sz w:val="16"/>
              </w:rPr>
              <w:t xml:space="preserve">Високо-пећни гас </w:t>
              <w:br w:type="textWrapping"/>
            </w:r>
            <w:r>
              <w:rPr>
                <w:rFonts w:ascii="Arial Narrow" w:hAnsi="Arial Narrow"/>
                <w:i w:val="1"/>
                <w:sz w:val="16"/>
              </w:rPr>
              <w:t>Blast furnace gas</w:t>
            </w:r>
          </w:p>
        </w:tc>
      </w:tr>
      <w:tr>
        <w:trPr>
          <w:wAfter w:w="0" w:type="dxa"/>
        </w:trPr>
        <w:tc>
          <w:tcPr>
            <w:tcW w:w="3402" w:type="dxa"/>
            <w:vMerge w:val="continue"/>
            <w:tcBorders>
              <w:top w:val="none" w:sz="0" w:space="0" w:shadow="0" w:frame="0"/>
              <w:bottom w:val="single" w:sz="4" w:space="0" w:shadow="0" w:frame="0"/>
              <w:right w:val="single" w:sz="4" w:space="0" w:shadow="0" w:frame="0"/>
            </w:tcBorders>
            <w:shd w:val="clear" w:color="auto" w:fill="CCFFFF"/>
            <w:vAlign w:val="bottom"/>
          </w:tcPr>
          <w:p>
            <w:pPr>
              <w:spacing w:lineRule="auto" w:line="252"/>
              <w:jc w:val="center"/>
              <w:rPr>
                <w:rFonts w:ascii="Arial Narrow" w:hAnsi="Arial Narrow"/>
                <w:sz w:val="16"/>
              </w:rPr>
            </w:pP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before="60" w:after="60"/>
              <w:jc w:val="center"/>
              <w:rPr>
                <w:rFonts w:ascii="Arial Narrow" w:hAnsi="Arial Narrow"/>
                <w:sz w:val="16"/>
              </w:rPr>
            </w:pPr>
            <w:r>
              <w:rPr>
                <w:rFonts w:ascii="Arial Narrow" w:hAnsi="Arial Narrow"/>
                <w:sz w:val="16"/>
              </w:rPr>
              <w:t>TJ</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before="60" w:after="60"/>
              <w:jc w:val="center"/>
              <w:rPr>
                <w:rFonts w:ascii="Arial Narrow" w:hAnsi="Arial Narrow"/>
                <w:sz w:val="16"/>
              </w:rPr>
            </w:pPr>
            <w:r>
              <w:rPr>
                <w:rFonts w:ascii="Arial Narrow" w:hAnsi="Arial Narrow"/>
                <w:sz w:val="16"/>
              </w:rPr>
              <w:t>TJ</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before="60" w:after="60"/>
              <w:jc w:val="center"/>
              <w:rPr>
                <w:rFonts w:ascii="Arial Narrow" w:hAnsi="Arial Narrow"/>
                <w:sz w:val="16"/>
              </w:rPr>
            </w:pPr>
            <w:r>
              <w:rPr>
                <w:rFonts w:ascii="Arial Narrow" w:hAnsi="Arial Narrow"/>
                <w:sz w:val="16"/>
              </w:rPr>
              <w:t>TJ</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before="60" w:after="60"/>
              <w:jc w:val="center"/>
              <w:rPr>
                <w:rFonts w:ascii="Arial Narrow" w:hAnsi="Arial Narrow"/>
                <w:sz w:val="16"/>
              </w:rPr>
            </w:pPr>
            <w:r>
              <w:rPr>
                <w:rFonts w:ascii="Arial Narrow" w:hAnsi="Arial Narrow"/>
                <w:sz w:val="16"/>
              </w:rPr>
              <w:t>TJ</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before="60" w:after="60"/>
              <w:jc w:val="center"/>
              <w:rPr>
                <w:rFonts w:ascii="Arial Narrow" w:hAnsi="Arial Narrow"/>
                <w:sz w:val="16"/>
              </w:rPr>
            </w:pPr>
            <w:r>
              <w:rPr>
                <w:rFonts w:ascii="Arial Narrow" w:hAnsi="Arial Narrow"/>
                <w:sz w:val="16"/>
              </w:rPr>
              <w:t>TJ</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before="60" w:after="60"/>
              <w:jc w:val="center"/>
              <w:rPr>
                <w:rFonts w:ascii="Arial Narrow" w:hAnsi="Arial Narrow"/>
                <w:sz w:val="16"/>
              </w:rPr>
            </w:pPr>
            <w:r>
              <w:rPr>
                <w:rFonts w:ascii="Arial Narrow" w:hAnsi="Arial Narrow"/>
                <w:sz w:val="16"/>
              </w:rPr>
              <w:t>TJ</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before="60" w:after="60"/>
              <w:jc w:val="center"/>
              <w:rPr>
                <w:rFonts w:ascii="Arial Narrow" w:hAnsi="Arial Narrow"/>
                <w:sz w:val="16"/>
              </w:rPr>
            </w:pPr>
            <w:r>
              <w:rPr>
                <w:rFonts w:ascii="Arial Narrow" w:hAnsi="Arial Narrow"/>
                <w:sz w:val="16"/>
              </w:rPr>
              <w:t>TJ</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before="60" w:after="60"/>
              <w:jc w:val="center"/>
              <w:rPr>
                <w:rFonts w:ascii="Arial Narrow" w:hAnsi="Arial Narrow"/>
                <w:sz w:val="16"/>
              </w:rPr>
            </w:pPr>
            <w:r>
              <w:rPr>
                <w:rFonts w:ascii="Arial Narrow" w:hAnsi="Arial Narrow"/>
                <w:sz w:val="16"/>
              </w:rPr>
              <w:t>TJ</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before="60" w:after="60"/>
              <w:jc w:val="center"/>
              <w:rPr>
                <w:rFonts w:ascii="Arial Narrow" w:hAnsi="Arial Narrow"/>
                <w:sz w:val="16"/>
              </w:rPr>
            </w:pPr>
            <w:r>
              <w:rPr>
                <w:rFonts w:ascii="Arial Narrow" w:hAnsi="Arial Narrow"/>
                <w:sz w:val="16"/>
              </w:rPr>
              <w:t>TJ</w:t>
            </w:r>
          </w:p>
        </w:tc>
        <w:tc>
          <w:tcPr>
            <w:tcW w:w="624" w:type="dxa"/>
            <w:tcBorders>
              <w:top w:val="single" w:sz="4" w:space="0" w:shadow="0" w:frame="0"/>
              <w:left w:val="single" w:sz="4" w:space="0" w:shadow="0" w:frame="0"/>
              <w:bottom w:val="single" w:sz="4" w:space="0" w:shadow="0" w:frame="0"/>
            </w:tcBorders>
            <w:shd w:val="clear" w:color="auto" w:fill="CCFFFF"/>
            <w:vAlign w:val="bottom"/>
          </w:tcPr>
          <w:p>
            <w:pPr>
              <w:spacing w:lineRule="auto" w:line="252" w:before="60" w:after="60"/>
              <w:jc w:val="center"/>
              <w:rPr>
                <w:rFonts w:ascii="Arial Narrow" w:hAnsi="Arial Narrow"/>
                <w:sz w:val="16"/>
              </w:rPr>
            </w:pPr>
            <w:r>
              <w:rPr>
                <w:rFonts w:ascii="Arial Narrow" w:hAnsi="Arial Narrow"/>
                <w:sz w:val="16"/>
              </w:rPr>
              <w:t>TJ</w:t>
            </w:r>
          </w:p>
        </w:tc>
      </w:tr>
      <w:tr>
        <w:trPr>
          <w:wAfter w:w="0" w:type="dxa"/>
        </w:trPr>
        <w:tc>
          <w:tcPr>
            <w:tcW w:w="3402" w:type="dxa"/>
            <w:tcBorders>
              <w:top w:val="single" w:sz="4" w:space="0" w:shadow="0" w:frame="0"/>
              <w:bottom w:val="none" w:sz="0" w:space="0" w:shadow="0" w:frame="0"/>
              <w:right w:val="single" w:sz="4" w:space="0" w:shadow="0" w:frame="0"/>
            </w:tcBorders>
            <w:vAlign w:val="bottom"/>
          </w:tcPr>
          <w:p>
            <w:pPr>
              <w:spacing w:lineRule="auto" w:line="252"/>
              <w:rPr>
                <w:rFonts w:ascii="Arial Narrow" w:hAnsi="Arial Narrow"/>
                <w:sz w:val="16"/>
              </w:rPr>
            </w:pPr>
          </w:p>
        </w:tc>
        <w:tc>
          <w:tcPr>
            <w:tcW w:w="624" w:type="dxa"/>
            <w:tcBorders>
              <w:top w:val="single" w:sz="4" w:space="0" w:shadow="0" w:frame="0"/>
              <w:left w:val="single" w:sz="4" w:space="0" w:shadow="0" w:frame="0"/>
              <w:right w:val="single" w:sz="4" w:space="0" w:shadow="0" w:frame="0"/>
            </w:tcBorders>
            <w:vAlign w:val="bottom"/>
          </w:tcPr>
          <w:p>
            <w:pPr>
              <w:spacing w:lineRule="auto" w:line="252"/>
              <w:ind w:right="113"/>
              <w:jc w:val="right"/>
              <w:rPr>
                <w:rFonts w:ascii="Arial Narrow" w:hAnsi="Arial Narrow"/>
                <w:sz w:val="16"/>
              </w:rPr>
            </w:pPr>
          </w:p>
        </w:tc>
        <w:tc>
          <w:tcPr>
            <w:tcW w:w="624" w:type="dxa"/>
            <w:tcBorders>
              <w:top w:val="single" w:sz="4" w:space="0" w:shadow="0" w:frame="0"/>
              <w:left w:val="single" w:sz="4" w:space="0" w:shadow="0" w:frame="0"/>
            </w:tcBorders>
            <w:vAlign w:val="bottom"/>
          </w:tcPr>
          <w:p>
            <w:pPr>
              <w:spacing w:lineRule="auto" w:line="252"/>
              <w:ind w:right="113"/>
              <w:jc w:val="right"/>
              <w:rPr>
                <w:rFonts w:ascii="Arial Narrow" w:hAnsi="Arial Narrow"/>
                <w:sz w:val="16"/>
              </w:rPr>
            </w:pPr>
          </w:p>
        </w:tc>
        <w:tc>
          <w:tcPr>
            <w:tcW w:w="624" w:type="dxa"/>
            <w:tcBorders>
              <w:top w:val="single" w:sz="4" w:space="0" w:shadow="0" w:frame="0"/>
            </w:tcBorders>
            <w:vAlign w:val="bottom"/>
          </w:tcPr>
          <w:p>
            <w:pPr>
              <w:spacing w:lineRule="auto" w:line="252"/>
              <w:ind w:right="113"/>
              <w:jc w:val="right"/>
              <w:rPr>
                <w:rFonts w:ascii="Arial Narrow" w:hAnsi="Arial Narrow"/>
                <w:sz w:val="16"/>
              </w:rPr>
            </w:pPr>
          </w:p>
        </w:tc>
        <w:tc>
          <w:tcPr>
            <w:tcW w:w="624" w:type="dxa"/>
            <w:tcBorders>
              <w:top w:val="single" w:sz="4" w:space="0" w:shadow="0" w:frame="0"/>
            </w:tcBorders>
            <w:vAlign w:val="bottom"/>
          </w:tcPr>
          <w:p>
            <w:pPr>
              <w:spacing w:lineRule="auto" w:line="252"/>
              <w:ind w:right="113"/>
              <w:jc w:val="right"/>
              <w:rPr>
                <w:rFonts w:ascii="Arial Narrow" w:hAnsi="Arial Narrow"/>
                <w:sz w:val="16"/>
              </w:rPr>
            </w:pPr>
          </w:p>
        </w:tc>
        <w:tc>
          <w:tcPr>
            <w:tcW w:w="624" w:type="dxa"/>
            <w:tcBorders>
              <w:top w:val="single" w:sz="4" w:space="0" w:shadow="0" w:frame="0"/>
            </w:tcBorders>
            <w:vAlign w:val="bottom"/>
          </w:tcPr>
          <w:p>
            <w:pPr>
              <w:spacing w:lineRule="auto" w:line="252"/>
              <w:ind w:right="113"/>
              <w:jc w:val="right"/>
              <w:rPr>
                <w:rFonts w:ascii="Arial Narrow" w:hAnsi="Arial Narrow"/>
                <w:sz w:val="16"/>
              </w:rPr>
            </w:pPr>
          </w:p>
        </w:tc>
        <w:tc>
          <w:tcPr>
            <w:tcW w:w="624" w:type="dxa"/>
            <w:tcBorders>
              <w:top w:val="single" w:sz="4" w:space="0" w:shadow="0" w:frame="0"/>
            </w:tcBorders>
            <w:vAlign w:val="bottom"/>
          </w:tcPr>
          <w:p>
            <w:pPr>
              <w:spacing w:lineRule="auto" w:line="252"/>
              <w:ind w:right="113"/>
              <w:jc w:val="right"/>
              <w:rPr>
                <w:rFonts w:ascii="Arial Narrow" w:hAnsi="Arial Narrow"/>
                <w:sz w:val="16"/>
              </w:rPr>
            </w:pPr>
          </w:p>
        </w:tc>
        <w:tc>
          <w:tcPr>
            <w:tcW w:w="624" w:type="dxa"/>
            <w:tcBorders>
              <w:top w:val="single" w:sz="4" w:space="0" w:shadow="0" w:frame="0"/>
            </w:tcBorders>
            <w:vAlign w:val="bottom"/>
          </w:tcPr>
          <w:p>
            <w:pPr>
              <w:spacing w:lineRule="auto" w:line="252"/>
              <w:ind w:right="113"/>
              <w:jc w:val="right"/>
              <w:rPr>
                <w:rFonts w:ascii="Arial Narrow" w:hAnsi="Arial Narrow"/>
                <w:sz w:val="16"/>
              </w:rPr>
            </w:pPr>
          </w:p>
        </w:tc>
        <w:tc>
          <w:tcPr>
            <w:tcW w:w="624" w:type="dxa"/>
            <w:tcBorders>
              <w:top w:val="single" w:sz="4" w:space="0" w:shadow="0" w:frame="0"/>
            </w:tcBorders>
            <w:vAlign w:val="bottom"/>
          </w:tcPr>
          <w:p>
            <w:pPr>
              <w:spacing w:lineRule="auto" w:line="252"/>
              <w:ind w:right="113"/>
              <w:jc w:val="right"/>
              <w:rPr>
                <w:rFonts w:ascii="Arial Narrow" w:hAnsi="Arial Narrow"/>
                <w:sz w:val="16"/>
              </w:rPr>
            </w:pPr>
          </w:p>
        </w:tc>
        <w:tc>
          <w:tcPr>
            <w:tcW w:w="624" w:type="dxa"/>
            <w:tcBorders>
              <w:top w:val="single" w:sz="4" w:space="0" w:shadow="0" w:frame="0"/>
            </w:tcBorders>
            <w:vAlign w:val="bottom"/>
          </w:tcPr>
          <w:p>
            <w:pPr>
              <w:spacing w:lineRule="auto" w:line="252"/>
              <w:ind w:right="113"/>
              <w:jc w:val="right"/>
              <w:rPr>
                <w:rFonts w:ascii="Arial Narrow" w:hAnsi="Arial Narrow"/>
                <w:sz w:val="16"/>
              </w:rPr>
            </w:pPr>
          </w:p>
        </w:tc>
        <w:tc>
          <w:tcPr>
            <w:tcW w:w="624" w:type="dxa"/>
            <w:tcBorders>
              <w:top w:val="single" w:sz="4" w:space="0" w:shadow="0" w:frame="0"/>
            </w:tcBorders>
            <w:vAlign w:val="bottom"/>
          </w:tcPr>
          <w:p>
            <w:pPr>
              <w:spacing w:lineRule="auto" w:line="252"/>
              <w:ind w:right="113"/>
              <w:jc w:val="right"/>
              <w:rPr>
                <w:rFonts w:ascii="Arial Narrow" w:hAnsi="Arial Narrow"/>
                <w:sz w:val="16"/>
              </w:rPr>
            </w:pP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rPr>
                <w:rFonts w:ascii="Arial Narrow" w:hAnsi="Arial Narrow"/>
                <w:sz w:val="16"/>
              </w:rPr>
            </w:pPr>
            <w:r>
              <w:rPr>
                <w:rFonts w:ascii="Arial Narrow" w:hAnsi="Arial Narrow"/>
                <w:sz w:val="16"/>
              </w:rPr>
              <w:t>Примарна производња енергије / Primary production</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296188</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165</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296023</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rPr>
                <w:rFonts w:ascii="Arial Narrow" w:hAnsi="Arial Narrow"/>
                <w:sz w:val="16"/>
              </w:rPr>
            </w:pPr>
            <w:r>
              <w:rPr>
                <w:rFonts w:ascii="Arial Narrow" w:hAnsi="Arial Narrow"/>
                <w:sz w:val="16"/>
              </w:rPr>
              <w:t>Увоз / Import</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36540</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113</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2197</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3707</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3644</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8</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57</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1</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26813</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rPr>
                <w:rFonts w:ascii="Arial Narrow" w:hAnsi="Arial Narrow"/>
                <w:sz w:val="16"/>
              </w:rPr>
            </w:pPr>
            <w:r>
              <w:rPr>
                <w:rFonts w:ascii="Arial Narrow" w:hAnsi="Arial Narrow"/>
                <w:sz w:val="16"/>
              </w:rPr>
              <w:t>Извоз / Export</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3841</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25</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501</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2130</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1158</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27</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rPr>
                <w:rFonts w:ascii="Arial Narrow" w:hAnsi="Arial Narrow"/>
                <w:sz w:val="16"/>
              </w:rPr>
            </w:pPr>
            <w:r>
              <w:rPr>
                <w:rFonts w:ascii="Arial Narrow" w:hAnsi="Arial Narrow"/>
                <w:sz w:val="16"/>
              </w:rPr>
              <w:t>Салдо залиха / Stock changes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485</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-12</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-169</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-47</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829</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66</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-182</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rPr>
                <w:rFonts w:ascii="Arial Narrow" w:hAnsi="Arial Narrow"/>
                <w:sz w:val="16"/>
              </w:rPr>
            </w:pPr>
            <w:r>
              <w:rPr>
                <w:rFonts w:ascii="Arial Narrow" w:hAnsi="Arial Narrow"/>
                <w:sz w:val="16"/>
              </w:rPr>
              <w:t>Међународна складишта / Bunkers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single" w:sz="4" w:space="0" w:shadow="0" w:frame="0"/>
              <w:right w:val="single" w:sz="4" w:space="0" w:shadow="0" w:frame="0"/>
            </w:tcBorders>
            <w:vAlign w:val="bottom"/>
          </w:tcPr>
          <w:p>
            <w:pPr>
              <w:spacing w:lineRule="auto" w:line="252"/>
              <w:rPr>
                <w:rFonts w:ascii="Arial Narrow" w:hAnsi="Arial Narrow"/>
                <w:sz w:val="16"/>
              </w:rPr>
            </w:pPr>
            <w:r>
              <w:rPr>
                <w:rFonts w:ascii="Arial Narrow" w:hAnsi="Arial Narrow"/>
                <w:sz w:val="16"/>
              </w:rPr>
              <w:t>Статистичка разлика / Statistical difference</w:t>
            </w:r>
          </w:p>
        </w:tc>
        <w:tc>
          <w:tcPr>
            <w:tcW w:w="624" w:type="dxa"/>
            <w:tcBorders>
              <w:left w:val="single" w:sz="4" w:space="0" w:shadow="0" w:frame="0"/>
              <w:bottom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6"/>
              </w:rPr>
            </w:pPr>
            <w:r>
              <w:rPr>
                <w:rFonts w:ascii="Arial Narrow" w:hAnsi="Arial Narrow"/>
                <w:b w:val="1"/>
                <w:sz w:val="16"/>
              </w:rPr>
              <w:t xml:space="preserve">Укупно расположива енергија </w:t>
            </w:r>
          </w:p>
          <w:p>
            <w:pPr>
              <w:spacing w:lineRule="auto" w:line="252"/>
              <w:rPr>
                <w:rFonts w:ascii="Arial Narrow" w:hAnsi="Arial Narrow"/>
                <w:b w:val="1"/>
                <w:sz w:val="16"/>
              </w:rPr>
            </w:pPr>
            <w:r>
              <w:rPr>
                <w:rFonts w:ascii="Arial Narrow" w:hAnsi="Arial Narrow"/>
                <w:b w:val="1"/>
                <w:sz w:val="16"/>
              </w:rPr>
              <w:t xml:space="preserve">Gross inland consumption  </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329372</w:t>
            </w:r>
          </w:p>
        </w:tc>
        <w:tc>
          <w:tcPr>
            <w:tcW w:w="624" w:type="dxa"/>
            <w:tcBorders>
              <w:top w:val="single" w:sz="4" w:space="0" w:shadow="0" w:frame="0"/>
              <w:left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101</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2003</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3324</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298366</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8</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-1035</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26604</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r>
      <w:tr>
        <w:trPr>
          <w:wAfter w:w="0" w:type="dxa"/>
        </w:trPr>
        <w:tc>
          <w:tcPr>
            <w:tcW w:w="3402" w:type="dxa"/>
            <w:tcBorders>
              <w:top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6"/>
              </w:rPr>
            </w:pPr>
            <w:r>
              <w:rPr>
                <w:rFonts w:ascii="Arial Narrow" w:hAnsi="Arial Narrow"/>
                <w:b w:val="1"/>
                <w:sz w:val="16"/>
              </w:rPr>
              <w:t xml:space="preserve">Утрошак за производњу енергије </w:t>
            </w:r>
          </w:p>
          <w:p>
            <w:pPr>
              <w:spacing w:lineRule="auto" w:line="252"/>
              <w:rPr>
                <w:rFonts w:ascii="Arial Narrow" w:hAnsi="Arial Narrow"/>
                <w:b w:val="1"/>
                <w:sz w:val="16"/>
              </w:rPr>
            </w:pPr>
            <w:r>
              <w:rPr>
                <w:rFonts w:ascii="Arial Narrow" w:hAnsi="Arial Narrow"/>
                <w:b w:val="1"/>
                <w:sz w:val="16"/>
              </w:rPr>
              <w:t>Transformation input</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295699</w:t>
            </w:r>
          </w:p>
        </w:tc>
        <w:tc>
          <w:tcPr>
            <w:tcW w:w="624" w:type="dxa"/>
            <w:tcBorders>
              <w:top w:val="single" w:sz="4" w:space="0" w:shadow="0" w:frame="0"/>
              <w:left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30</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740</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281749</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p>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1925</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8559</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2696</w:t>
            </w:r>
          </w:p>
        </w:tc>
      </w:tr>
      <w:tr>
        <w:trPr>
          <w:wAfter w:w="0" w:type="dxa"/>
        </w:trPr>
        <w:tc>
          <w:tcPr>
            <w:tcW w:w="3402" w:type="dxa"/>
            <w:tcBorders>
              <w:top w:val="single" w:sz="4"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Термоелектране / Thermal power plants</w:t>
            </w:r>
          </w:p>
        </w:tc>
        <w:tc>
          <w:tcPr>
            <w:tcW w:w="624" w:type="dxa"/>
            <w:tcBorders>
              <w:top w:val="single" w:sz="4" w:space="0" w:shadow="0" w:frame="0"/>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269636</w:t>
            </w:r>
          </w:p>
        </w:tc>
        <w:tc>
          <w:tcPr>
            <w:tcW w:w="624" w:type="dxa"/>
            <w:tcBorders>
              <w:top w:val="single" w:sz="4" w:space="0" w:shadow="0" w:frame="0"/>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269636</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 xml:space="preserve">Термоелектране – топлане (ТЕ-ТО)  / CHP-other</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Индустријске енергане / Autoproducers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6366</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30</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144</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1922</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1574</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2696</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Топлане / District heating plants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2703</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596</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1756</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351</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Рафинерије / Refineries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Високe пећи / Blast Furnace plants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8559</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8559</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Рудници угља / Coal mines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single" w:sz="4"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Прерада угља / Coal transformation</w:t>
            </w:r>
          </w:p>
        </w:tc>
        <w:tc>
          <w:tcPr>
            <w:tcW w:w="624" w:type="dxa"/>
            <w:tcBorders>
              <w:left w:val="single" w:sz="4" w:space="0" w:shadow="0" w:frame="0"/>
              <w:bottom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8435</w:t>
            </w:r>
          </w:p>
        </w:tc>
        <w:tc>
          <w:tcPr>
            <w:tcW w:w="624" w:type="dxa"/>
            <w:tcBorders>
              <w:left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8435</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6"/>
              </w:rPr>
            </w:pPr>
            <w:r>
              <w:rPr>
                <w:rFonts w:ascii="Arial Narrow" w:hAnsi="Arial Narrow"/>
                <w:b w:val="1"/>
                <w:sz w:val="16"/>
              </w:rPr>
              <w:t xml:space="preserve">Производња енергије трансформацијом  Transformation output</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18974</w:t>
            </w:r>
          </w:p>
        </w:tc>
        <w:tc>
          <w:tcPr>
            <w:tcW w:w="624" w:type="dxa"/>
            <w:tcBorders>
              <w:top w:val="single" w:sz="4" w:space="0" w:shadow="0" w:frame="0"/>
              <w:left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10415</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8559</w:t>
            </w:r>
          </w:p>
        </w:tc>
      </w:tr>
      <w:tr>
        <w:trPr>
          <w:wAfter w:w="0" w:type="dxa"/>
        </w:trPr>
        <w:tc>
          <w:tcPr>
            <w:tcW w:w="3402" w:type="dxa"/>
            <w:tcBorders>
              <w:top w:val="single" w:sz="4"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Хидроелектране / Hydro power plants</w:t>
            </w:r>
          </w:p>
        </w:tc>
        <w:tc>
          <w:tcPr>
            <w:tcW w:w="624" w:type="dxa"/>
            <w:tcBorders>
              <w:top w:val="single" w:sz="4" w:space="0" w:shadow="0" w:frame="0"/>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Термоелектране / Thermal power plants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Термоелектране – топлане (ТЕ-ТО) / CHP-other</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 xml:space="preserve">Индустријске енергане  / Autoproducers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Топлане / District heating plants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Рафинерије / Refineries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Високe пећи / Blast Furnace plants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8559</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8559</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Рудници угља / Coal mines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single" w:sz="4"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Прерада угља / Coal transformation</w:t>
            </w:r>
          </w:p>
        </w:tc>
        <w:tc>
          <w:tcPr>
            <w:tcW w:w="624" w:type="dxa"/>
            <w:tcBorders>
              <w:left w:val="single" w:sz="4" w:space="0" w:shadow="0" w:frame="0"/>
              <w:bottom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10415</w:t>
            </w:r>
          </w:p>
        </w:tc>
        <w:tc>
          <w:tcPr>
            <w:tcW w:w="624" w:type="dxa"/>
            <w:tcBorders>
              <w:left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10415</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single" w:sz="4" w:space="0" w:shadow="0" w:frame="0"/>
              <w:bottom w:val="single" w:sz="4" w:space="0" w:shadow="0" w:frame="0"/>
              <w:right w:val="single" w:sz="4" w:space="0" w:shadow="0" w:frame="0"/>
            </w:tcBorders>
            <w:shd w:val="clear" w:color="auto" w:fill="CCFFFF"/>
          </w:tcPr>
          <w:p>
            <w:pPr>
              <w:spacing w:lineRule="auto" w:line="252"/>
              <w:ind w:hanging="57" w:left="53"/>
              <w:rPr>
                <w:rFonts w:ascii="Arial Narrow" w:hAnsi="Arial Narrow"/>
                <w:b w:val="1"/>
                <w:sz w:val="16"/>
              </w:rPr>
            </w:pPr>
            <w:r>
              <w:rPr>
                <w:rFonts w:ascii="Arial Narrow" w:hAnsi="Arial Narrow"/>
                <w:b w:val="1"/>
                <w:sz w:val="16"/>
              </w:rPr>
              <w:t>Размена / Exchanges and transfers, returns</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left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r>
      <w:tr>
        <w:trPr>
          <w:wAfter w:w="0" w:type="dxa"/>
        </w:trPr>
        <w:tc>
          <w:tcPr>
            <w:tcW w:w="3402" w:type="dxa"/>
            <w:tcBorders>
              <w:top w:val="single" w:sz="4" w:space="0" w:shadow="0" w:frame="0"/>
              <w:bottom w:val="single" w:sz="4"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 xml:space="preserve"> Размена производа / Products transferred</w:t>
            </w:r>
          </w:p>
        </w:tc>
        <w:tc>
          <w:tcPr>
            <w:tcW w:w="624"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left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6"/>
              </w:rPr>
            </w:pPr>
            <w:r>
              <w:rPr>
                <w:rFonts w:ascii="Arial Narrow" w:hAnsi="Arial Narrow"/>
                <w:b w:val="1"/>
                <w:sz w:val="16"/>
              </w:rPr>
              <w:t xml:space="preserve">Сопствена потрошња у енергетском сектору </w:t>
              <w:br w:type="textWrapping"/>
              <w:t xml:space="preserve">Consumption in the energy sector </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left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r>
      <w:tr>
        <w:trPr>
          <w:wAfter w:w="0" w:type="dxa"/>
        </w:trPr>
        <w:tc>
          <w:tcPr>
            <w:tcW w:w="3402" w:type="dxa"/>
            <w:tcBorders>
              <w:top w:val="single" w:sz="4"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Хидроелектране / Hydro power plants</w:t>
            </w:r>
          </w:p>
        </w:tc>
        <w:tc>
          <w:tcPr>
            <w:tcW w:w="624" w:type="dxa"/>
            <w:tcBorders>
              <w:top w:val="single" w:sz="4" w:space="0" w:shadow="0" w:frame="0"/>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Пумпање / Pump storage</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Термоелектране / Thermal power plants</w:t>
            </w:r>
          </w:p>
        </w:tc>
        <w:tc>
          <w:tcPr>
            <w:tcW w:w="624" w:type="dxa"/>
            <w:tcBorders>
              <w:left w:val="single" w:sz="4" w:space="0" w:shadow="0" w:frame="0"/>
              <w:bottom w:val="none" w:sz="0"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Термоелектране - топлане (ТЕ-ТО) / CHP-other</w:t>
            </w:r>
          </w:p>
        </w:tc>
        <w:tc>
          <w:tcPr>
            <w:tcW w:w="624" w:type="dxa"/>
            <w:tcBorders>
              <w:top w:val="none" w:sz="0" w:space="0" w:shadow="0" w:frame="0"/>
              <w:left w:val="single" w:sz="4" w:space="0" w:shadow="0" w:frame="0"/>
              <w:bottom w:val="none" w:sz="0"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left w:val="single" w:sz="4"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Индустријске енергане / Autoproducers</w:t>
            </w:r>
          </w:p>
        </w:tc>
        <w:tc>
          <w:tcPr>
            <w:tcW w:w="624" w:type="dxa"/>
            <w:tcBorders>
              <w:top w:val="none" w:sz="0" w:space="0" w:shadow="0" w:frame="0"/>
              <w:left w:val="single" w:sz="4" w:space="0" w:shadow="0" w:frame="0"/>
              <w:bottom w:val="none" w:sz="0"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left w:val="single" w:sz="4"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Топлане / District heating plants</w:t>
            </w:r>
          </w:p>
        </w:tc>
        <w:tc>
          <w:tcPr>
            <w:tcW w:w="624" w:type="dxa"/>
            <w:tcBorders>
              <w:top w:val="none" w:sz="0" w:space="0" w:shadow="0" w:frame="0"/>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Рафинерије / Refineries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Високe пећи / Blast Furnace plants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Рудници угља / Coal mines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single" w:sz="4"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Прерада угља / Coal transformation</w:t>
            </w:r>
          </w:p>
        </w:tc>
        <w:tc>
          <w:tcPr>
            <w:tcW w:w="624" w:type="dxa"/>
            <w:tcBorders>
              <w:left w:val="single" w:sz="4" w:space="0" w:shadow="0" w:frame="0"/>
              <w:bottom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6"/>
              </w:rPr>
            </w:pPr>
            <w:r>
              <w:rPr>
                <w:rFonts w:ascii="Arial Narrow" w:hAnsi="Arial Narrow"/>
                <w:b w:val="1"/>
                <w:sz w:val="16"/>
              </w:rPr>
              <w:t xml:space="preserve">Губици  / Losses</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2559</w:t>
            </w:r>
          </w:p>
        </w:tc>
        <w:tc>
          <w:tcPr>
            <w:tcW w:w="624" w:type="dxa"/>
            <w:tcBorders>
              <w:top w:val="single" w:sz="4" w:space="0" w:shadow="0" w:frame="0"/>
              <w:left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14</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147</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2398</w:t>
            </w:r>
          </w:p>
        </w:tc>
      </w:tr>
      <w:tr>
        <w:trPr>
          <w:wAfter w:w="0" w:type="dxa"/>
        </w:trPr>
        <w:tc>
          <w:tcPr>
            <w:tcW w:w="3402" w:type="dxa"/>
            <w:tcBorders>
              <w:top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6"/>
              </w:rPr>
            </w:pPr>
            <w:r>
              <w:rPr>
                <w:rFonts w:ascii="Arial Narrow" w:hAnsi="Arial Narrow"/>
                <w:b w:val="1"/>
                <w:sz w:val="16"/>
              </w:rPr>
              <w:t>Енергија расположива за финалну потрошњу</w:t>
              <w:br w:type="textWrapping"/>
              <w:t xml:space="preserve">Energy available for final consumption  </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50088</w:t>
            </w:r>
          </w:p>
        </w:tc>
        <w:tc>
          <w:tcPr>
            <w:tcW w:w="624" w:type="dxa"/>
            <w:tcBorders>
              <w:top w:val="single" w:sz="4" w:space="0" w:shadow="0" w:frame="0"/>
              <w:left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101</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1973</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2570</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16470</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8</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7455</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18045</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3465</w:t>
            </w:r>
          </w:p>
        </w:tc>
      </w:tr>
      <w:tr>
        <w:trPr>
          <w:wAfter w:w="0" w:type="dxa"/>
        </w:trPr>
        <w:tc>
          <w:tcPr>
            <w:tcW w:w="3402" w:type="dxa"/>
            <w:tcBorders>
              <w:top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6"/>
              </w:rPr>
            </w:pPr>
            <w:r>
              <w:rPr>
                <w:rFonts w:ascii="Arial Narrow" w:hAnsi="Arial Narrow"/>
                <w:b w:val="1"/>
                <w:sz w:val="16"/>
              </w:rPr>
              <w:t>Финална потрошња</w:t>
            </w:r>
            <w:r>
              <w:rPr>
                <w:rFonts w:ascii="Arial Narrow" w:hAnsi="Arial Narrow"/>
                <w:b w:val="1"/>
                <w:sz w:val="16"/>
              </w:rPr>
              <w:t xml:space="preserve"> / </w:t>
            </w:r>
            <w:r>
              <w:rPr>
                <w:rFonts w:ascii="Arial Narrow" w:hAnsi="Arial Narrow"/>
                <w:b w:val="1"/>
                <w:sz w:val="16"/>
              </w:rPr>
              <w:t>Final consumption</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50088</w:t>
            </w:r>
          </w:p>
        </w:tc>
        <w:tc>
          <w:tcPr>
            <w:tcW w:w="624" w:type="dxa"/>
            <w:tcBorders>
              <w:top w:val="single" w:sz="4" w:space="0" w:shadow="0" w:frame="0"/>
              <w:left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101</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1973</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2570</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16470</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8</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7455</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18045</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3465</w:t>
            </w:r>
          </w:p>
        </w:tc>
      </w:tr>
      <w:tr>
        <w:trPr>
          <w:wAfter w:w="0" w:type="dxa"/>
        </w:trPr>
        <w:tc>
          <w:tcPr>
            <w:tcW w:w="3402" w:type="dxa"/>
            <w:tcBorders>
              <w:top w:val="single" w:sz="4" w:space="0" w:shadow="0" w:frame="0"/>
              <w:bottom w:val="single" w:sz="4" w:space="0" w:shadow="0" w:frame="0"/>
              <w:right w:val="single" w:sz="4" w:space="0" w:shadow="0" w:frame="0"/>
            </w:tcBorders>
            <w:shd w:val="clear" w:color="auto" w:fill="CCFFFF"/>
            <w:vAlign w:val="bottom"/>
          </w:tcPr>
          <w:p>
            <w:pPr>
              <w:spacing w:lineRule="auto" w:line="252"/>
              <w:ind w:left="57"/>
              <w:rPr>
                <w:rFonts w:ascii="Arial Narrow" w:hAnsi="Arial Narrow"/>
                <w:b w:val="1"/>
                <w:sz w:val="16"/>
              </w:rPr>
            </w:pPr>
            <w:r>
              <w:rPr>
                <w:rFonts w:ascii="Arial Narrow" w:hAnsi="Arial Narrow"/>
                <w:b w:val="1"/>
                <w:sz w:val="16"/>
              </w:rPr>
              <w:t xml:space="preserve">Финална потрошња за неенергетске сврхе </w:t>
              <w:br w:type="textWrapping"/>
              <w:t>Final Non-Energy consumption</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1081</w:t>
            </w:r>
          </w:p>
        </w:tc>
        <w:tc>
          <w:tcPr>
            <w:tcW w:w="624" w:type="dxa"/>
            <w:tcBorders>
              <w:top w:val="single" w:sz="4" w:space="0" w:shadow="0" w:frame="0"/>
              <w:left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19</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1061</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r>
      <w:tr>
        <w:trPr>
          <w:wAfter w:w="0" w:type="dxa"/>
        </w:trPr>
        <w:tc>
          <w:tcPr>
            <w:tcW w:w="3402" w:type="dxa"/>
            <w:tcBorders>
              <w:top w:val="single" w:sz="4" w:space="0" w:shadow="0" w:frame="0"/>
              <w:bottom w:val="single" w:sz="4"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 xml:space="preserve">од тога за хемијску индустрију  </w:t>
              <w:br w:type="textWrapping"/>
              <w:t>of wich: Chemical industry</w:t>
            </w:r>
          </w:p>
        </w:tc>
        <w:tc>
          <w:tcPr>
            <w:tcW w:w="624"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left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single" w:sz="4" w:space="0" w:shadow="0" w:frame="0"/>
              <w:bottom w:val="single" w:sz="4" w:space="0" w:shadow="0" w:frame="0"/>
              <w:right w:val="single" w:sz="4" w:space="0" w:shadow="0" w:frame="0"/>
            </w:tcBorders>
            <w:shd w:val="clear" w:color="auto" w:fill="CCFFFF"/>
            <w:vAlign w:val="bottom"/>
          </w:tcPr>
          <w:p>
            <w:pPr>
              <w:spacing w:lineRule="auto" w:line="252"/>
              <w:ind w:left="57"/>
              <w:rPr>
                <w:rFonts w:ascii="Arial Narrow" w:hAnsi="Arial Narrow"/>
                <w:b w:val="1"/>
                <w:sz w:val="16"/>
              </w:rPr>
            </w:pPr>
            <w:r>
              <w:rPr>
                <w:rFonts w:ascii="Arial Narrow" w:hAnsi="Arial Narrow"/>
                <w:b w:val="1"/>
                <w:sz w:val="16"/>
              </w:rPr>
              <w:t xml:space="preserve">Финална потрошња за енергетске сврхе </w:t>
              <w:br w:type="textWrapping"/>
              <w:t>Final Energy consumption</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49007</w:t>
            </w:r>
          </w:p>
        </w:tc>
        <w:tc>
          <w:tcPr>
            <w:tcW w:w="624" w:type="dxa"/>
            <w:tcBorders>
              <w:top w:val="single" w:sz="4" w:space="0" w:shadow="0" w:frame="0"/>
              <w:left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82</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1973</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1509</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16470</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8</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7455</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18045</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3465</w:t>
            </w:r>
          </w:p>
        </w:tc>
      </w:tr>
      <w:tr>
        <w:trPr>
          <w:wAfter w:w="0" w:type="dxa"/>
        </w:trPr>
        <w:tc>
          <w:tcPr>
            <w:tcW w:w="3402" w:type="dxa"/>
            <w:tcBorders>
              <w:top w:val="single" w:sz="4"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 xml:space="preserve">Индустрија / Industry                                   </w:t>
            </w:r>
          </w:p>
        </w:tc>
        <w:tc>
          <w:tcPr>
            <w:tcW w:w="624" w:type="dxa"/>
            <w:tcBorders>
              <w:top w:val="single" w:sz="4" w:space="0" w:shadow="0" w:frame="0"/>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28421</w:t>
            </w:r>
          </w:p>
        </w:tc>
        <w:tc>
          <w:tcPr>
            <w:tcW w:w="624" w:type="dxa"/>
            <w:tcBorders>
              <w:top w:val="single" w:sz="4" w:space="0" w:shadow="0" w:frame="0"/>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82</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1973</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1427</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1188</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2241</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18045</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3465</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Грађевинарство / Construction</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61</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5</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48</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8</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Саобраћај / Transport</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14</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6</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8</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Домаћинства / Households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17652</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53</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12940</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8</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4651</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Пољопривреда / Agriculture</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41</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0</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24</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17</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single" w:sz="4"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Остали потрошачи / Other users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2818</w:t>
            </w:r>
          </w:p>
        </w:tc>
        <w:tc>
          <w:tcPr>
            <w:tcW w:w="624" w:type="dxa"/>
            <w:tcBorders>
              <w:left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24</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2264</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530</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bl>
    <w:p>
      <w:pPr>
        <w:tabs>
          <w:tab w:val="left" w:pos="5480" w:leader="none"/>
        </w:tabs>
        <w:spacing w:lineRule="auto" w:line="216"/>
        <w:rPr>
          <w:rFonts w:ascii="Arial Narrow" w:hAnsi="Arial Narrow"/>
          <w:b w:val="1"/>
        </w:rPr>
      </w:pPr>
      <w:r>
        <w:rPr>
          <w:rFonts w:ascii="Arial Narrow" w:hAnsi="Arial Narrow"/>
          <w:b w:val="1"/>
        </w:rPr>
        <w:tab/>
      </w:r>
    </w:p>
    <w:p>
      <w:pPr>
        <w:pStyle w:val="P23"/>
        <w:rPr>
          <w:rFonts w:ascii="Arial Narrow" w:hAnsi="Arial Narrow"/>
        </w:rPr>
      </w:pPr>
      <w:r>
        <w:rPr>
          <w:rFonts w:ascii="Arial Narrow" w:hAnsi="Arial Narrow"/>
        </w:rPr>
        <w:br w:type="page"/>
      </w:r>
    </w:p>
    <w:p>
      <w:pPr>
        <w:pStyle w:val="P23"/>
        <w:rPr>
          <w:rFonts w:ascii="Arial Narrow" w:hAnsi="Arial Narrow"/>
        </w:rPr>
      </w:pPr>
    </w:p>
    <w:p>
      <w:pPr>
        <w:pStyle w:val="P23"/>
        <w:rPr>
          <w:rFonts w:ascii="Arial Narrow" w:hAnsi="Arial Narrow"/>
        </w:rPr>
      </w:pPr>
    </w:p>
    <w:p>
      <w:pPr>
        <w:pStyle w:val="P23"/>
        <w:jc w:val="center"/>
        <w:rPr>
          <w:rFonts w:ascii="Arial Narrow" w:hAnsi="Arial Narrow"/>
        </w:rPr>
      </w:pPr>
    </w:p>
    <w:p>
      <w:pPr>
        <w:pStyle w:val="P20"/>
        <w:ind w:firstLine="0" w:left="510"/>
        <w:rPr>
          <w:rFonts w:ascii="Arial Narrow" w:hAnsi="Arial Narrow"/>
        </w:rPr>
      </w:pPr>
      <w:r>
        <w:rPr>
          <w:rFonts w:ascii="Arial Narrow" w:hAnsi="Arial Narrow"/>
        </w:rPr>
        <w:t>Рукопис припремили: Мр Љубица Живадиновић, Весна Ђурић, Иван Николић, Јелена Миливојевић</w:t>
      </w:r>
    </w:p>
    <w:p>
      <w:pPr>
        <w:pStyle w:val="P20"/>
        <w:ind w:firstLine="0" w:left="510"/>
        <w:rPr>
          <w:rFonts w:ascii="Arial Narrow" w:hAnsi="Arial Narrow"/>
        </w:rPr>
      </w:pPr>
      <w:r>
        <w:rPr>
          <w:rFonts w:ascii="Arial Narrow" w:hAnsi="Arial Narrow"/>
        </w:rPr>
        <w:t>The paper prepared by: MSc. Ljubica Živadinović, Vesna Đurić, Ivan Nikolić, Jelena Milivojević</w:t>
      </w:r>
    </w:p>
    <w:p>
      <w:pPr>
        <w:pStyle w:val="P20"/>
        <w:jc w:val="left"/>
        <w:rPr>
          <w:rFonts w:ascii="Arial Narrow" w:hAnsi="Arial Narrow"/>
          <w:b w:val="1"/>
        </w:rPr>
      </w:pPr>
      <w:r>
        <w:rPr>
          <w:rFonts w:ascii="Arial Narrow" w:hAnsi="Arial Narrow"/>
          <w:b w:val="1"/>
        </w:rPr>
        <w:tab/>
      </w: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r>
        <w:rPr>
          <w:rFonts w:ascii="Arial Narrow" w:hAnsi="Arial Narrow"/>
        </w:rPr>
        <w:t>Редакција - Editorial Staff</w:t>
      </w:r>
    </w:p>
    <w:p>
      <w:pPr>
        <w:pStyle w:val="P20"/>
        <w:rPr>
          <w:rFonts w:ascii="Arial Narrow" w:hAnsi="Arial Narrow"/>
        </w:rPr>
      </w:pPr>
    </w:p>
    <w:p>
      <w:pPr>
        <w:pStyle w:val="P20"/>
        <w:rPr>
          <w:rFonts w:ascii="Arial Narrow" w:hAnsi="Arial Narrow"/>
        </w:rPr>
      </w:pPr>
      <w:r>
        <w:rPr>
          <w:rFonts w:ascii="Arial Narrow" w:hAnsi="Arial Narrow"/>
        </w:rPr>
        <w:t>Руководилац: Мр Предраг Чановић</w:t>
      </w:r>
    </w:p>
    <w:p>
      <w:pPr>
        <w:pStyle w:val="P20"/>
        <w:rPr>
          <w:rFonts w:ascii="Arial Narrow" w:hAnsi="Arial Narrow"/>
        </w:rPr>
      </w:pPr>
      <w:r>
        <w:rPr>
          <w:rFonts w:ascii="Arial Narrow" w:hAnsi="Arial Narrow"/>
        </w:rPr>
        <w:t>Editor in chief: MSc. Predrag Čanović</w:t>
      </w:r>
    </w:p>
    <w:p>
      <w:pPr>
        <w:pStyle w:val="P20"/>
        <w:rPr>
          <w:rFonts w:ascii="Arial Narrow" w:hAnsi="Arial Narrow"/>
        </w:rPr>
      </w:pPr>
    </w:p>
    <w:p>
      <w:pPr>
        <w:pStyle w:val="P21"/>
        <w:spacing w:before="0"/>
        <w:ind w:firstLine="510"/>
        <w:jc w:val="left"/>
        <w:rPr>
          <w:rFonts w:ascii="Arial Narrow" w:hAnsi="Arial Narrow"/>
        </w:rPr>
      </w:pPr>
      <w:r>
        <w:rPr>
          <w:rFonts w:ascii="Arial Narrow" w:hAnsi="Arial Narrow"/>
        </w:rPr>
        <w:t xml:space="preserve">Чланови: Гордана Бјелобрк, мр Љубица Живадиновић, Мирјана Смолчић </w:t>
        <w:tab/>
        <w:t xml:space="preserve"> </w:t>
      </w:r>
    </w:p>
    <w:p>
      <w:pPr>
        <w:pStyle w:val="P20"/>
        <w:rPr>
          <w:rFonts w:ascii="Arial Narrow" w:hAnsi="Arial Narrow"/>
        </w:rPr>
      </w:pPr>
      <w:r>
        <w:rPr>
          <w:rFonts w:ascii="Arial Narrow" w:hAnsi="Arial Narrow"/>
        </w:rPr>
        <w:t>Members: Gordana Bjelobrk, MSc. Ljubica Živadinović, Mirjana Smolčić</w:t>
      </w: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b w:val="1"/>
        </w:rPr>
      </w:pPr>
      <w:r>
        <w:rPr>
          <w:rFonts w:ascii="Arial Narrow" w:hAnsi="Arial Narrow"/>
        </w:rPr>
        <w:t>Лектура:</w:t>
      </w:r>
      <w:r>
        <w:rPr>
          <w:rFonts w:ascii="Arial Narrow" w:hAnsi="Arial Narrow"/>
          <w:b w:val="1"/>
        </w:rPr>
        <w:t xml:space="preserve"> </w:t>
      </w:r>
      <w:r>
        <w:rPr>
          <w:rFonts w:ascii="Arial Narrow" w:hAnsi="Arial Narrow"/>
        </w:rPr>
        <w:t>Емилија Видановић</w:t>
      </w:r>
    </w:p>
    <w:p>
      <w:pPr>
        <w:pStyle w:val="P20"/>
        <w:rPr>
          <w:rFonts w:ascii="Arial Narrow" w:hAnsi="Arial Narrow"/>
        </w:rPr>
      </w:pPr>
      <w:r>
        <w:rPr>
          <w:rFonts w:ascii="Arial Narrow" w:hAnsi="Arial Narrow"/>
        </w:rPr>
        <w:t>Language editing: Emilija Vidanović</w:t>
      </w:r>
    </w:p>
    <w:p>
      <w:pPr>
        <w:pStyle w:val="P20"/>
        <w:rPr>
          <w:rFonts w:ascii="Arial Narrow" w:hAnsi="Arial Narrow"/>
        </w:rPr>
      </w:pPr>
    </w:p>
    <w:p>
      <w:pPr>
        <w:pStyle w:val="P20"/>
        <w:rPr>
          <w:rFonts w:ascii="Arial Narrow" w:hAnsi="Arial Narrow"/>
        </w:rPr>
      </w:pPr>
    </w:p>
    <w:p>
      <w:pPr>
        <w:pStyle w:val="P20"/>
        <w:rPr>
          <w:rFonts w:ascii="Arial Narrow" w:hAnsi="Arial Narrow"/>
        </w:rPr>
      </w:pPr>
      <w:r>
        <w:rPr>
          <w:rFonts w:ascii="Arial Narrow" w:hAnsi="Arial Narrow"/>
        </w:rPr>
        <w:t xml:space="preserve">Translated by: Gordana Nedeljković </w:t>
      </w: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r>
        <w:rPr>
          <w:rFonts w:ascii="Arial Narrow" w:hAnsi="Arial Narrow"/>
        </w:rPr>
        <w:t>Технички уредник: Ирена Димић</w:t>
      </w:r>
    </w:p>
    <w:p>
      <w:pPr>
        <w:pStyle w:val="P20"/>
        <w:rPr>
          <w:rFonts w:ascii="Arial Narrow" w:hAnsi="Arial Narrow"/>
        </w:rPr>
      </w:pPr>
      <w:r>
        <w:rPr>
          <w:rFonts w:ascii="Arial Narrow" w:hAnsi="Arial Narrow"/>
        </w:rPr>
        <w:t>Tehnical editors: Irena Dimić</w:t>
      </w:r>
    </w:p>
    <w:p>
      <w:pPr>
        <w:pStyle w:val="P19"/>
        <w:jc w:val="left"/>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jc w:val="center"/>
        <w:rPr>
          <w:rFonts w:ascii="Arial Narrow" w:hAnsi="Arial Narrow"/>
          <w:b w:val="1"/>
        </w:rPr>
      </w:pPr>
      <w:r>
        <w:rPr>
          <w:rFonts w:ascii="Arial Narrow" w:hAnsi="Arial Narrow"/>
          <w:b w:val="1"/>
        </w:rPr>
        <w:t>www.stat.gov.rs</w:t>
      </w:r>
    </w:p>
    <w:p>
      <w:pPr>
        <w:pStyle w:val="P20"/>
        <w:rPr>
          <w:rFonts w:ascii="Arial Narrow" w:hAnsi="Arial Narrow"/>
        </w:rPr>
      </w:pPr>
    </w:p>
    <w:p>
      <w:pPr>
        <w:pStyle w:val="P20"/>
        <w:pBdr>
          <w:top w:val="single" w:sz="6" w:space="0" w:shadow="0" w:frame="0"/>
        </w:pBdr>
        <w:spacing w:before="120"/>
        <w:ind w:firstLine="0"/>
        <w:jc w:val="center"/>
        <w:rPr>
          <w:rFonts w:ascii="Arial Narrow" w:hAnsi="Arial Narrow"/>
        </w:rPr>
      </w:pPr>
      <w:r>
        <w:rPr>
          <w:rFonts w:ascii="Arial Narrow" w:hAnsi="Arial Narrow"/>
          <w:b w:val="1"/>
        </w:rPr>
        <w:t>Издаје и штампа</w:t>
      </w:r>
    </w:p>
    <w:p>
      <w:pPr>
        <w:pStyle w:val="P20"/>
        <w:ind w:firstLine="0"/>
        <w:jc w:val="center"/>
        <w:rPr>
          <w:rFonts w:ascii="Arial Narrow" w:hAnsi="Arial Narrow"/>
        </w:rPr>
      </w:pPr>
      <w:r>
        <w:rPr>
          <w:rFonts w:ascii="Arial Narrow" w:hAnsi="Arial Narrow"/>
        </w:rPr>
        <w:t>Републички завод за статистику Србије,11050 Београд, Милана Ракића 5</w:t>
      </w:r>
    </w:p>
    <w:p>
      <w:pPr>
        <w:pStyle w:val="P20"/>
        <w:ind w:firstLine="0"/>
        <w:jc w:val="center"/>
        <w:rPr>
          <w:rFonts w:ascii="Arial Narrow" w:hAnsi="Arial Narrow"/>
        </w:rPr>
      </w:pPr>
      <w:r>
        <w:rPr>
          <w:rFonts w:ascii="Arial Narrow" w:hAnsi="Arial Narrow"/>
        </w:rPr>
        <w:t xml:space="preserve">Телефон: 011/2412-922;  Телефакс: 011/ 2411-260</w:t>
      </w:r>
    </w:p>
    <w:p>
      <w:pPr>
        <w:pStyle w:val="P20"/>
        <w:ind w:firstLine="0"/>
        <w:jc w:val="center"/>
        <w:rPr>
          <w:rFonts w:ascii="Arial Narrow" w:hAnsi="Arial Narrow"/>
        </w:rPr>
      </w:pPr>
      <w:r>
        <w:rPr>
          <w:rFonts w:ascii="Arial Narrow" w:hAnsi="Arial Narrow"/>
        </w:rPr>
        <w:t>Број страна: 15 ● Тираж: 120</w:t>
      </w:r>
    </w:p>
    <w:p>
      <w:pPr>
        <w:jc w:val="center"/>
        <w:rPr>
          <w:rFonts w:ascii="Arial Narrow" w:hAnsi="Arial Narrow"/>
        </w:rPr>
      </w:pPr>
    </w:p>
    <w:p>
      <w:pPr>
        <w:jc w:val="center"/>
        <w:rPr>
          <w:rFonts w:ascii="Arial Narrow" w:hAnsi="Arial Narrow"/>
          <w:b w:val="1"/>
        </w:rPr>
      </w:pPr>
      <w:r>
        <w:rPr>
          <w:rFonts w:ascii="Arial Narrow" w:hAnsi="Arial Narrow"/>
          <w:b w:val="1"/>
        </w:rPr>
        <w:t xml:space="preserve">Published and printed by </w:t>
      </w:r>
    </w:p>
    <w:p>
      <w:pPr>
        <w:jc w:val="center"/>
        <w:rPr>
          <w:rFonts w:ascii="Arial Narrow" w:hAnsi="Arial Narrow"/>
        </w:rPr>
      </w:pPr>
      <w:r>
        <w:rPr>
          <w:rFonts w:ascii="Arial Narrow" w:hAnsi="Arial Narrow"/>
        </w:rPr>
        <w:t>The Statistical Office of the Republic of Serbia,11050 Belgrade, Milana Rakica 5</w:t>
      </w:r>
    </w:p>
    <w:p>
      <w:pPr>
        <w:jc w:val="center"/>
        <w:rPr>
          <w:rFonts w:ascii="Arial Narrow" w:hAnsi="Arial Narrow"/>
        </w:rPr>
      </w:pPr>
      <w:r>
        <w:rPr>
          <w:rFonts w:ascii="Arial Narrow" w:hAnsi="Arial Narrow"/>
        </w:rPr>
        <w:t xml:space="preserve">Telephone: +381 11 2412922;  Fax: +381 11 2411260 </w:t>
      </w:r>
    </w:p>
    <w:p>
      <w:pPr>
        <w:jc w:val="center"/>
        <w:rPr>
          <w:rFonts w:ascii="Arial Narrow" w:hAnsi="Arial Narrow"/>
        </w:rPr>
      </w:pPr>
      <w:r>
        <w:rPr>
          <w:rFonts w:ascii="Arial Narrow" w:hAnsi="Arial Narrow"/>
        </w:rPr>
        <w:t>Number of pages: 15 ● Circulation: 120 copies</w:t>
      </w:r>
    </w:p>
    <w:sectPr>
      <w:type w:val="nextPage"/>
      <w:pgSz w:w="11907" w:h="16840" w:code="0"/>
      <w:pgMar w:left="1138" w:right="1138" w:top="1138" w:bottom="1138" w:header="720" w:footer="850" w:gutter="0"/>
      <w:cols w:equalWidth="1" w:space="567"/>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4" w:y="1"/>
      <w:rPr>
        <w:rStyle w:val="C3"/>
        <w:rFonts w:ascii="Arial Narrow" w:hAnsi="Arial Narrow"/>
      </w:rPr>
    </w:pPr>
    <w:r>
      <w:fldChar w:fldCharType="begin"/>
    </w:r>
    <w:r>
      <w:rPr>
        <w:rStyle w:val="C3"/>
        <w:rFonts w:ascii="Arial Narrow" w:hAnsi="Arial Narrow"/>
      </w:rPr>
      <w:instrText xml:space="preserve">PAGE  </w:instrText>
    </w:r>
    <w:r>
      <w:rPr>
        <w:rStyle w:val="C3"/>
        <w:rFonts w:ascii="Arial Narrow" w:hAnsi="Arial Narrow"/>
      </w:rPr>
      <w:fldChar w:fldCharType="separate"/>
    </w:r>
    <w:r>
      <w:rPr>
        <w:rStyle w:val="C3"/>
        <w:rFonts w:ascii="Arial Narrow" w:hAnsi="Arial Narrow"/>
      </w:rPr>
      <w:t>#</w:t>
    </w:r>
    <w:r>
      <w:rPr>
        <w:rStyle w:val="C3"/>
        <w:rFonts w:ascii="Arial Narrow" w:hAnsi="Arial Narrow"/>
      </w:rPr>
      <w:fldChar w:fldCharType="end"/>
    </w:r>
  </w:p>
  <w:p>
    <w:pPr>
      <w:pStyle w:val="P10"/>
      <w:rPr>
        <w:rFonts w:ascii="Arial Narrow" w:hAnsi="Arial Narrow"/>
      </w:rPr>
    </w:pPr>
    <w:r>
      <w:rPr>
        <w:rFonts w:ascii="Arial Narrow" w:hAnsi="Arial Narrow"/>
        <w:sz w:val="16"/>
      </w:rPr>
      <w:t xml:space="preserve">                                                                                                                                   </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0"/>
      <w:ind w:right="360"/>
      <w:rPr>
        <w:rStyle w:val="C3"/>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7"/>
      <w:pBdr>
        <w:bottom w:val="single" w:sz="4" w:space="0" w:shadow="0" w:frame="0"/>
      </w:pBdr>
      <w:jc w:val="center"/>
      <w:rPr>
        <w:rFonts w:ascii="Arial Narrow" w:hAnsi="Arial Narrow"/>
        <w:i w:val="1"/>
      </w:rPr>
    </w:pPr>
    <w:r>
      <w:rPr>
        <w:rFonts w:ascii="Arial Narrow" w:hAnsi="Arial Narrow"/>
        <w:i w:val="1"/>
      </w:rPr>
      <w:t xml:space="preserve">Радни документ / </w:t>
    </w:r>
    <w:r>
      <w:rPr>
        <w:rFonts w:ascii="Arial Narrow" w:hAnsi="Arial Narrow"/>
        <w:i w:val="1"/>
      </w:rPr>
      <w:t>Working document</w:t>
    </w:r>
  </w:p>
  <w:p>
    <w:pPr>
      <w:pStyle w:val="P17"/>
    </w:pPr>
  </w:p>
</w:hdr>
</file>

<file path=word/numbering.xml><?xml version="1.0" encoding="utf-8"?>
<w:numbering xmlns:w="http://schemas.openxmlformats.org/wordprocessingml/2006/main">
  <w:abstractNum w:abstractNumId="0">
    <w:nsid w:val="029F39DD"/>
    <w:multiLevelType w:val="multilevel"/>
    <w:lvl w:ilvl="0">
      <w:start w:val="1"/>
      <w:numFmt w:val="decimal"/>
      <w:suff w:val="tab"/>
      <w:lvlText w:val="%1)"/>
      <w:lvlJc w:val="left"/>
      <w:pPr>
        <w:ind w:hanging="360" w:left="720"/>
        <w:tabs>
          <w:tab w:val="left" w:pos="720" w:leader="none"/>
        </w:tabs>
      </w:pPr>
      <w:rPr>
        <w:b w:val="1"/>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03266543"/>
    <w:multiLevelType w:val="hybridMultilevel"/>
    <w:lvl w:ilvl="0" w:tplc="049DAB21">
      <w:start w:val="1"/>
      <w:numFmt w:val="bullet"/>
      <w:suff w:val="tab"/>
      <w:lvlText w:val=""/>
      <w:lvlJc w:val="left"/>
      <w:pPr>
        <w:ind w:firstLine="0" w:left="170"/>
        <w:tabs>
          <w:tab w:val="left" w:pos="530" w:leader="none"/>
        </w:tabs>
      </w:pPr>
      <w:rPr>
        <w:rFonts w:ascii="Wingdings" w:hAnsi="Wingdings"/>
      </w:rPr>
    </w:lvl>
    <w:lvl w:ilvl="1" w:tplc="0AF8D0A1">
      <w:start w:val="1"/>
      <w:numFmt w:val="bullet"/>
      <w:suff w:val="tab"/>
      <w:lvlText w:val="o"/>
      <w:lvlJc w:val="left"/>
      <w:pPr>
        <w:ind w:hanging="360" w:left="1440"/>
        <w:tabs>
          <w:tab w:val="left" w:pos="1440" w:leader="none"/>
        </w:tabs>
      </w:pPr>
      <w:rPr>
        <w:rFonts w:ascii="Courier New" w:hAnsi="Courier New"/>
      </w:rPr>
    </w:lvl>
    <w:lvl w:ilvl="2" w:tplc="51211028">
      <w:start w:val="1"/>
      <w:numFmt w:val="bullet"/>
      <w:suff w:val="tab"/>
      <w:lvlText w:val=""/>
      <w:lvlJc w:val="left"/>
      <w:pPr>
        <w:ind w:hanging="360" w:left="2160"/>
        <w:tabs>
          <w:tab w:val="left" w:pos="2160" w:leader="none"/>
        </w:tabs>
      </w:pPr>
      <w:rPr>
        <w:rFonts w:ascii="Wingdings" w:hAnsi="Wingdings"/>
      </w:rPr>
    </w:lvl>
    <w:lvl w:ilvl="3" w:tplc="11AF2D30">
      <w:start w:val="1"/>
      <w:numFmt w:val="bullet"/>
      <w:suff w:val="tab"/>
      <w:lvlText w:val=""/>
      <w:lvlJc w:val="left"/>
      <w:pPr>
        <w:ind w:hanging="360" w:left="2880"/>
        <w:tabs>
          <w:tab w:val="left" w:pos="2880" w:leader="none"/>
        </w:tabs>
      </w:pPr>
      <w:rPr>
        <w:rFonts w:ascii="Symbol" w:hAnsi="Symbol"/>
      </w:rPr>
    </w:lvl>
    <w:lvl w:ilvl="4" w:tplc="0A94801D">
      <w:start w:val="1"/>
      <w:numFmt w:val="bullet"/>
      <w:suff w:val="tab"/>
      <w:lvlText w:val="o"/>
      <w:lvlJc w:val="left"/>
      <w:pPr>
        <w:ind w:hanging="360" w:left="3600"/>
        <w:tabs>
          <w:tab w:val="left" w:pos="3600" w:leader="none"/>
        </w:tabs>
      </w:pPr>
      <w:rPr>
        <w:rFonts w:ascii="Courier New" w:hAnsi="Courier New"/>
      </w:rPr>
    </w:lvl>
    <w:lvl w:ilvl="5" w:tplc="47F5C037">
      <w:start w:val="1"/>
      <w:numFmt w:val="bullet"/>
      <w:suff w:val="tab"/>
      <w:lvlText w:val=""/>
      <w:lvlJc w:val="left"/>
      <w:pPr>
        <w:ind w:hanging="360" w:left="4320"/>
        <w:tabs>
          <w:tab w:val="left" w:pos="4320" w:leader="none"/>
        </w:tabs>
      </w:pPr>
      <w:rPr>
        <w:rFonts w:ascii="Wingdings" w:hAnsi="Wingdings"/>
      </w:rPr>
    </w:lvl>
    <w:lvl w:ilvl="6" w:tplc="272C8D1D">
      <w:start w:val="1"/>
      <w:numFmt w:val="bullet"/>
      <w:suff w:val="tab"/>
      <w:lvlText w:val=""/>
      <w:lvlJc w:val="left"/>
      <w:pPr>
        <w:ind w:hanging="360" w:left="5040"/>
        <w:tabs>
          <w:tab w:val="left" w:pos="5040" w:leader="none"/>
        </w:tabs>
      </w:pPr>
      <w:rPr>
        <w:rFonts w:ascii="Symbol" w:hAnsi="Symbol"/>
      </w:rPr>
    </w:lvl>
    <w:lvl w:ilvl="7" w:tplc="0DAE8992">
      <w:start w:val="1"/>
      <w:numFmt w:val="bullet"/>
      <w:suff w:val="tab"/>
      <w:lvlText w:val="o"/>
      <w:lvlJc w:val="left"/>
      <w:pPr>
        <w:ind w:hanging="360" w:left="5760"/>
        <w:tabs>
          <w:tab w:val="left" w:pos="5760" w:leader="none"/>
        </w:tabs>
      </w:pPr>
      <w:rPr>
        <w:rFonts w:ascii="Courier New" w:hAnsi="Courier New"/>
      </w:rPr>
    </w:lvl>
    <w:lvl w:ilvl="8" w:tplc="41EA59EB">
      <w:start w:val="1"/>
      <w:numFmt w:val="bullet"/>
      <w:suff w:val="tab"/>
      <w:lvlText w:val=""/>
      <w:lvlJc w:val="left"/>
      <w:pPr>
        <w:ind w:hanging="360" w:left="6480"/>
        <w:tabs>
          <w:tab w:val="left" w:pos="6480" w:leader="none"/>
        </w:tabs>
      </w:pPr>
      <w:rPr>
        <w:rFonts w:ascii="Wingdings" w:hAnsi="Wingdings"/>
      </w:rPr>
    </w:lvl>
  </w:abstractNum>
  <w:abstractNum w:abstractNumId="2">
    <w:nsid w:val="03395BA9"/>
    <w:multiLevelType w:val="hybridMultilevel"/>
    <w:lvl w:ilvl="0" w:tplc="7A45DF58">
      <w:start w:val="1"/>
      <w:numFmt w:val="bullet"/>
      <w:suff w:val="tab"/>
      <w:lvlText w:val=""/>
      <w:lvlJc w:val="left"/>
      <w:pPr>
        <w:ind w:hanging="360" w:left="360"/>
        <w:tabs>
          <w:tab w:val="left" w:pos="360" w:leader="none"/>
        </w:tabs>
      </w:pPr>
      <w:rPr>
        <w:rFonts w:ascii="Wingdings" w:hAnsi="Wingdings"/>
      </w:rPr>
    </w:lvl>
    <w:lvl w:ilvl="1" w:tplc="158EFA21">
      <w:start w:val="1"/>
      <w:numFmt w:val="bullet"/>
      <w:suff w:val="tab"/>
      <w:lvlText w:val=""/>
      <w:lvlJc w:val="left"/>
      <w:pPr>
        <w:ind w:hanging="360" w:left="720"/>
        <w:tabs>
          <w:tab w:val="left" w:pos="720" w:leader="none"/>
        </w:tabs>
      </w:pPr>
      <w:rPr>
        <w:rFonts w:ascii="Wingdings" w:hAnsi="Wingdings"/>
      </w:rPr>
    </w:lvl>
    <w:lvl w:ilvl="2" w:tplc="5F2E633C">
      <w:start w:val="1"/>
      <w:numFmt w:val="bullet"/>
      <w:suff w:val="tab"/>
      <w:lvlText w:val=""/>
      <w:lvlJc w:val="left"/>
      <w:pPr>
        <w:ind w:hanging="360" w:left="1080"/>
        <w:tabs>
          <w:tab w:val="left" w:pos="1080" w:leader="none"/>
        </w:tabs>
      </w:pPr>
      <w:rPr>
        <w:rFonts w:ascii="Wingdings" w:hAnsi="Wingdings"/>
      </w:rPr>
    </w:lvl>
    <w:lvl w:ilvl="3" w:tplc="38F8EC75">
      <w:start w:val="1"/>
      <w:numFmt w:val="bullet"/>
      <w:suff w:val="tab"/>
      <w:lvlText w:val=""/>
      <w:lvlJc w:val="left"/>
      <w:pPr>
        <w:ind w:hanging="360" w:left="1440"/>
        <w:tabs>
          <w:tab w:val="left" w:pos="1440" w:leader="none"/>
        </w:tabs>
      </w:pPr>
      <w:rPr>
        <w:rFonts w:ascii="Symbol" w:hAnsi="Symbol"/>
      </w:rPr>
    </w:lvl>
    <w:lvl w:ilvl="4" w:tplc="1B84BD10">
      <w:start w:val="1"/>
      <w:numFmt w:val="bullet"/>
      <w:suff w:val="tab"/>
      <w:lvlText w:val=""/>
      <w:lvlJc w:val="left"/>
      <w:pPr>
        <w:ind w:hanging="360" w:left="1800"/>
        <w:tabs>
          <w:tab w:val="left" w:pos="1800" w:leader="none"/>
        </w:tabs>
      </w:pPr>
      <w:rPr>
        <w:rFonts w:ascii="Symbol" w:hAnsi="Symbol"/>
      </w:rPr>
    </w:lvl>
    <w:lvl w:ilvl="5" w:tplc="12322973">
      <w:start w:val="1"/>
      <w:numFmt w:val="bullet"/>
      <w:suff w:val="tab"/>
      <w:lvlText w:val=""/>
      <w:lvlJc w:val="left"/>
      <w:pPr>
        <w:ind w:hanging="360" w:left="2160"/>
        <w:tabs>
          <w:tab w:val="left" w:pos="2160" w:leader="none"/>
        </w:tabs>
      </w:pPr>
      <w:rPr>
        <w:rFonts w:ascii="Wingdings" w:hAnsi="Wingdings"/>
      </w:rPr>
    </w:lvl>
    <w:lvl w:ilvl="6" w:tplc="4C044527">
      <w:start w:val="1"/>
      <w:numFmt w:val="bullet"/>
      <w:suff w:val="tab"/>
      <w:lvlText w:val=""/>
      <w:lvlJc w:val="left"/>
      <w:pPr>
        <w:ind w:hanging="360" w:left="2520"/>
        <w:tabs>
          <w:tab w:val="left" w:pos="2520" w:leader="none"/>
        </w:tabs>
      </w:pPr>
      <w:rPr>
        <w:rFonts w:ascii="Wingdings" w:hAnsi="Wingdings"/>
      </w:rPr>
    </w:lvl>
    <w:lvl w:ilvl="7" w:tplc="3577276D">
      <w:start w:val="1"/>
      <w:numFmt w:val="bullet"/>
      <w:suff w:val="tab"/>
      <w:lvlText w:val=""/>
      <w:lvlJc w:val="left"/>
      <w:pPr>
        <w:ind w:hanging="360" w:left="2880"/>
        <w:tabs>
          <w:tab w:val="left" w:pos="2880" w:leader="none"/>
        </w:tabs>
      </w:pPr>
      <w:rPr>
        <w:rFonts w:ascii="Symbol" w:hAnsi="Symbol"/>
      </w:rPr>
    </w:lvl>
    <w:lvl w:ilvl="8" w:tplc="103C6FE5">
      <w:start w:val="1"/>
      <w:numFmt w:val="bullet"/>
      <w:suff w:val="tab"/>
      <w:lvlText w:val=""/>
      <w:lvlJc w:val="left"/>
      <w:pPr>
        <w:ind w:hanging="360" w:left="3240"/>
        <w:tabs>
          <w:tab w:val="left" w:pos="3240" w:leader="none"/>
        </w:tabs>
      </w:pPr>
      <w:rPr>
        <w:rFonts w:ascii="Symbol" w:hAnsi="Symbol"/>
      </w:rPr>
    </w:lvl>
  </w:abstractNum>
  <w:abstractNum w:abstractNumId="3">
    <w:nsid w:val="035A4BF1"/>
    <w:multiLevelType w:val="hybridMultilevel"/>
    <w:lvl w:ilvl="0" w:tplc="30EEC706">
      <w:start w:val="1"/>
      <w:numFmt w:val="bullet"/>
      <w:suff w:val="tab"/>
      <w:lvlText w:val=""/>
      <w:lvlJc w:val="left"/>
      <w:pPr>
        <w:ind w:firstLine="0" w:left="170"/>
        <w:tabs>
          <w:tab w:val="left" w:pos="530" w:leader="none"/>
        </w:tabs>
      </w:pPr>
      <w:rPr>
        <w:rFonts w:ascii="Wingdings" w:hAnsi="Wingdings"/>
      </w:rPr>
    </w:lvl>
    <w:lvl w:ilvl="1" w:tplc="24EA9278">
      <w:start w:val="1"/>
      <w:numFmt w:val="bullet"/>
      <w:suff w:val="tab"/>
      <w:lvlText w:val="o"/>
      <w:lvlJc w:val="left"/>
      <w:pPr>
        <w:ind w:hanging="360" w:left="1440"/>
        <w:tabs>
          <w:tab w:val="left" w:pos="1440" w:leader="none"/>
        </w:tabs>
      </w:pPr>
      <w:rPr>
        <w:rFonts w:ascii="Courier New" w:hAnsi="Courier New"/>
      </w:rPr>
    </w:lvl>
    <w:lvl w:ilvl="2" w:tplc="1AB9D5C0">
      <w:start w:val="1"/>
      <w:numFmt w:val="bullet"/>
      <w:suff w:val="tab"/>
      <w:lvlText w:val=""/>
      <w:lvlJc w:val="left"/>
      <w:pPr>
        <w:ind w:hanging="360" w:left="2160"/>
        <w:tabs>
          <w:tab w:val="left" w:pos="2160" w:leader="none"/>
        </w:tabs>
      </w:pPr>
      <w:rPr>
        <w:rFonts w:ascii="Wingdings" w:hAnsi="Wingdings"/>
      </w:rPr>
    </w:lvl>
    <w:lvl w:ilvl="3" w:tplc="741B319C">
      <w:start w:val="1"/>
      <w:numFmt w:val="bullet"/>
      <w:suff w:val="tab"/>
      <w:lvlText w:val=""/>
      <w:lvlJc w:val="left"/>
      <w:pPr>
        <w:ind w:hanging="360" w:left="2880"/>
        <w:tabs>
          <w:tab w:val="left" w:pos="2880" w:leader="none"/>
        </w:tabs>
      </w:pPr>
      <w:rPr>
        <w:rFonts w:ascii="Symbol" w:hAnsi="Symbol"/>
      </w:rPr>
    </w:lvl>
    <w:lvl w:ilvl="4" w:tplc="7CE06EAE">
      <w:start w:val="1"/>
      <w:numFmt w:val="bullet"/>
      <w:suff w:val="tab"/>
      <w:lvlText w:val="o"/>
      <w:lvlJc w:val="left"/>
      <w:pPr>
        <w:ind w:hanging="360" w:left="3600"/>
        <w:tabs>
          <w:tab w:val="left" w:pos="3600" w:leader="none"/>
        </w:tabs>
      </w:pPr>
      <w:rPr>
        <w:rFonts w:ascii="Courier New" w:hAnsi="Courier New"/>
      </w:rPr>
    </w:lvl>
    <w:lvl w:ilvl="5" w:tplc="26F544BE">
      <w:start w:val="1"/>
      <w:numFmt w:val="bullet"/>
      <w:suff w:val="tab"/>
      <w:lvlText w:val=""/>
      <w:lvlJc w:val="left"/>
      <w:pPr>
        <w:ind w:hanging="360" w:left="4320"/>
        <w:tabs>
          <w:tab w:val="left" w:pos="4320" w:leader="none"/>
        </w:tabs>
      </w:pPr>
      <w:rPr>
        <w:rFonts w:ascii="Wingdings" w:hAnsi="Wingdings"/>
      </w:rPr>
    </w:lvl>
    <w:lvl w:ilvl="6" w:tplc="50451DA0">
      <w:start w:val="1"/>
      <w:numFmt w:val="bullet"/>
      <w:suff w:val="tab"/>
      <w:lvlText w:val=""/>
      <w:lvlJc w:val="left"/>
      <w:pPr>
        <w:ind w:hanging="360" w:left="5040"/>
        <w:tabs>
          <w:tab w:val="left" w:pos="5040" w:leader="none"/>
        </w:tabs>
      </w:pPr>
      <w:rPr>
        <w:rFonts w:ascii="Symbol" w:hAnsi="Symbol"/>
      </w:rPr>
    </w:lvl>
    <w:lvl w:ilvl="7" w:tplc="647EC83F">
      <w:start w:val="1"/>
      <w:numFmt w:val="bullet"/>
      <w:suff w:val="tab"/>
      <w:lvlText w:val="o"/>
      <w:lvlJc w:val="left"/>
      <w:pPr>
        <w:ind w:hanging="360" w:left="5760"/>
        <w:tabs>
          <w:tab w:val="left" w:pos="5760" w:leader="none"/>
        </w:tabs>
      </w:pPr>
      <w:rPr>
        <w:rFonts w:ascii="Courier New" w:hAnsi="Courier New"/>
      </w:rPr>
    </w:lvl>
    <w:lvl w:ilvl="8" w:tplc="4CABD7E0">
      <w:start w:val="1"/>
      <w:numFmt w:val="bullet"/>
      <w:suff w:val="tab"/>
      <w:lvlText w:val=""/>
      <w:lvlJc w:val="left"/>
      <w:pPr>
        <w:ind w:hanging="360" w:left="6480"/>
        <w:tabs>
          <w:tab w:val="left" w:pos="6480" w:leader="none"/>
        </w:tabs>
      </w:pPr>
      <w:rPr>
        <w:rFonts w:ascii="Wingdings" w:hAnsi="Wingdings"/>
      </w:rPr>
    </w:lvl>
  </w:abstractNum>
  <w:abstractNum w:abstractNumId="4">
    <w:nsid w:val="09507B0F"/>
    <w:multiLevelType w:val="hybridMultilevel"/>
    <w:lvl w:ilvl="0" w:tplc="71D3C48F">
      <w:start w:val="1"/>
      <w:numFmt w:val="bullet"/>
      <w:suff w:val="tab"/>
      <w:lvlText w:val=""/>
      <w:lvlJc w:val="left"/>
      <w:pPr>
        <w:ind w:firstLine="0" w:left="170"/>
        <w:tabs>
          <w:tab w:val="left" w:pos="530" w:leader="none"/>
        </w:tabs>
      </w:pPr>
      <w:rPr>
        <w:rFonts w:ascii="Wingdings" w:hAnsi="Wingdings"/>
      </w:rPr>
    </w:lvl>
    <w:lvl w:ilvl="1" w:tplc="4B747210">
      <w:start w:val="1"/>
      <w:numFmt w:val="bullet"/>
      <w:suff w:val="tab"/>
      <w:lvlText w:val="o"/>
      <w:lvlJc w:val="left"/>
      <w:pPr>
        <w:ind w:hanging="360" w:left="1440"/>
        <w:tabs>
          <w:tab w:val="left" w:pos="1440" w:leader="none"/>
        </w:tabs>
      </w:pPr>
      <w:rPr>
        <w:rFonts w:ascii="Courier New" w:hAnsi="Courier New"/>
      </w:rPr>
    </w:lvl>
    <w:lvl w:ilvl="2" w:tplc="4F8B7C81">
      <w:start w:val="1"/>
      <w:numFmt w:val="bullet"/>
      <w:suff w:val="tab"/>
      <w:lvlText w:val=""/>
      <w:lvlJc w:val="left"/>
      <w:pPr>
        <w:ind w:hanging="360" w:left="2160"/>
        <w:tabs>
          <w:tab w:val="left" w:pos="2160" w:leader="none"/>
        </w:tabs>
      </w:pPr>
      <w:rPr>
        <w:rFonts w:ascii="Wingdings" w:hAnsi="Wingdings"/>
      </w:rPr>
    </w:lvl>
    <w:lvl w:ilvl="3" w:tplc="1C1BAC9D">
      <w:start w:val="1"/>
      <w:numFmt w:val="bullet"/>
      <w:suff w:val="tab"/>
      <w:lvlText w:val=""/>
      <w:lvlJc w:val="left"/>
      <w:pPr>
        <w:ind w:hanging="360" w:left="2880"/>
        <w:tabs>
          <w:tab w:val="left" w:pos="2880" w:leader="none"/>
        </w:tabs>
      </w:pPr>
      <w:rPr>
        <w:rFonts w:ascii="Symbol" w:hAnsi="Symbol"/>
      </w:rPr>
    </w:lvl>
    <w:lvl w:ilvl="4" w:tplc="3FB4A70A">
      <w:start w:val="1"/>
      <w:numFmt w:val="bullet"/>
      <w:suff w:val="tab"/>
      <w:lvlText w:val="o"/>
      <w:lvlJc w:val="left"/>
      <w:pPr>
        <w:ind w:hanging="360" w:left="3600"/>
        <w:tabs>
          <w:tab w:val="left" w:pos="3600" w:leader="none"/>
        </w:tabs>
      </w:pPr>
      <w:rPr>
        <w:rFonts w:ascii="Courier New" w:hAnsi="Courier New"/>
      </w:rPr>
    </w:lvl>
    <w:lvl w:ilvl="5" w:tplc="04EAAD24">
      <w:start w:val="1"/>
      <w:numFmt w:val="bullet"/>
      <w:suff w:val="tab"/>
      <w:lvlText w:val=""/>
      <w:lvlJc w:val="left"/>
      <w:pPr>
        <w:ind w:hanging="360" w:left="4320"/>
        <w:tabs>
          <w:tab w:val="left" w:pos="4320" w:leader="none"/>
        </w:tabs>
      </w:pPr>
      <w:rPr>
        <w:rFonts w:ascii="Wingdings" w:hAnsi="Wingdings"/>
      </w:rPr>
    </w:lvl>
    <w:lvl w:ilvl="6" w:tplc="45278964">
      <w:start w:val="1"/>
      <w:numFmt w:val="bullet"/>
      <w:suff w:val="tab"/>
      <w:lvlText w:val=""/>
      <w:lvlJc w:val="left"/>
      <w:pPr>
        <w:ind w:hanging="360" w:left="5040"/>
        <w:tabs>
          <w:tab w:val="left" w:pos="5040" w:leader="none"/>
        </w:tabs>
      </w:pPr>
      <w:rPr>
        <w:rFonts w:ascii="Symbol" w:hAnsi="Symbol"/>
      </w:rPr>
    </w:lvl>
    <w:lvl w:ilvl="7" w:tplc="490D1F30">
      <w:start w:val="1"/>
      <w:numFmt w:val="bullet"/>
      <w:suff w:val="tab"/>
      <w:lvlText w:val="o"/>
      <w:lvlJc w:val="left"/>
      <w:pPr>
        <w:ind w:hanging="360" w:left="5760"/>
        <w:tabs>
          <w:tab w:val="left" w:pos="5760" w:leader="none"/>
        </w:tabs>
      </w:pPr>
      <w:rPr>
        <w:rFonts w:ascii="Courier New" w:hAnsi="Courier New"/>
      </w:rPr>
    </w:lvl>
    <w:lvl w:ilvl="8" w:tplc="05766915">
      <w:start w:val="1"/>
      <w:numFmt w:val="bullet"/>
      <w:suff w:val="tab"/>
      <w:lvlText w:val=""/>
      <w:lvlJc w:val="left"/>
      <w:pPr>
        <w:ind w:hanging="360" w:left="6480"/>
        <w:tabs>
          <w:tab w:val="left" w:pos="6480" w:leader="none"/>
        </w:tabs>
      </w:pPr>
      <w:rPr>
        <w:rFonts w:ascii="Wingdings" w:hAnsi="Wingdings"/>
      </w:rPr>
    </w:lvl>
  </w:abstractNum>
  <w:abstractNum w:abstractNumId="5">
    <w:nsid w:val="0A5B6E7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
    <w:nsid w:val="12F91E95"/>
    <w:multiLevelType w:val="hybridMultilevel"/>
    <w:lvl w:ilvl="0" w:tplc="36BE7B25">
      <w:start w:val="1"/>
      <w:numFmt w:val="bullet"/>
      <w:suff w:val="tab"/>
      <w:lvlText w:val=""/>
      <w:lvlJc w:val="left"/>
      <w:pPr>
        <w:ind w:firstLine="0" w:left="170"/>
        <w:tabs>
          <w:tab w:val="left" w:pos="530" w:leader="none"/>
        </w:tabs>
      </w:pPr>
      <w:rPr>
        <w:rFonts w:ascii="Wingdings" w:hAnsi="Wingdings"/>
      </w:rPr>
    </w:lvl>
    <w:lvl w:ilvl="1" w:tplc="3546AE24">
      <w:start w:val="1"/>
      <w:numFmt w:val="bullet"/>
      <w:suff w:val="tab"/>
      <w:lvlText w:val=""/>
      <w:lvlJc w:val="left"/>
      <w:pPr>
        <w:ind w:hanging="397" w:left="567"/>
        <w:tabs>
          <w:tab w:val="left" w:pos="567" w:leader="none"/>
        </w:tabs>
      </w:pPr>
      <w:rPr>
        <w:rFonts w:ascii="Wingdings" w:hAnsi="Wingdings"/>
      </w:rPr>
    </w:lvl>
    <w:lvl w:ilvl="2" w:tplc="7D0AB96E">
      <w:start w:val="1"/>
      <w:numFmt w:val="bullet"/>
      <w:suff w:val="tab"/>
      <w:lvlText w:val=""/>
      <w:lvlJc w:val="left"/>
      <w:pPr>
        <w:ind w:hanging="360" w:left="2160"/>
        <w:tabs>
          <w:tab w:val="left" w:pos="2160" w:leader="none"/>
        </w:tabs>
      </w:pPr>
      <w:rPr>
        <w:rFonts w:ascii="Wingdings" w:hAnsi="Wingdings"/>
      </w:rPr>
    </w:lvl>
    <w:lvl w:ilvl="3" w:tplc="6D1727A1">
      <w:start w:val="1"/>
      <w:numFmt w:val="bullet"/>
      <w:suff w:val="tab"/>
      <w:lvlText w:val=""/>
      <w:lvlJc w:val="left"/>
      <w:pPr>
        <w:ind w:hanging="360" w:left="2880"/>
        <w:tabs>
          <w:tab w:val="left" w:pos="2880" w:leader="none"/>
        </w:tabs>
      </w:pPr>
      <w:rPr>
        <w:rFonts w:ascii="Symbol" w:hAnsi="Symbol"/>
      </w:rPr>
    </w:lvl>
    <w:lvl w:ilvl="4" w:tplc="1823EF85">
      <w:start w:val="1"/>
      <w:numFmt w:val="bullet"/>
      <w:suff w:val="tab"/>
      <w:lvlText w:val="o"/>
      <w:lvlJc w:val="left"/>
      <w:pPr>
        <w:ind w:hanging="360" w:left="3600"/>
        <w:tabs>
          <w:tab w:val="left" w:pos="3600" w:leader="none"/>
        </w:tabs>
      </w:pPr>
      <w:rPr>
        <w:rFonts w:ascii="Courier New" w:hAnsi="Courier New"/>
      </w:rPr>
    </w:lvl>
    <w:lvl w:ilvl="5" w:tplc="28220D59">
      <w:start w:val="1"/>
      <w:numFmt w:val="bullet"/>
      <w:suff w:val="tab"/>
      <w:lvlText w:val=""/>
      <w:lvlJc w:val="left"/>
      <w:pPr>
        <w:ind w:hanging="360" w:left="4320"/>
        <w:tabs>
          <w:tab w:val="left" w:pos="4320" w:leader="none"/>
        </w:tabs>
      </w:pPr>
      <w:rPr>
        <w:rFonts w:ascii="Wingdings" w:hAnsi="Wingdings"/>
      </w:rPr>
    </w:lvl>
    <w:lvl w:ilvl="6" w:tplc="1F08DCD1">
      <w:start w:val="1"/>
      <w:numFmt w:val="bullet"/>
      <w:suff w:val="tab"/>
      <w:lvlText w:val=""/>
      <w:lvlJc w:val="left"/>
      <w:pPr>
        <w:ind w:hanging="360" w:left="5040"/>
        <w:tabs>
          <w:tab w:val="left" w:pos="5040" w:leader="none"/>
        </w:tabs>
      </w:pPr>
      <w:rPr>
        <w:rFonts w:ascii="Symbol" w:hAnsi="Symbol"/>
      </w:rPr>
    </w:lvl>
    <w:lvl w:ilvl="7" w:tplc="1B0418DB">
      <w:start w:val="1"/>
      <w:numFmt w:val="bullet"/>
      <w:suff w:val="tab"/>
      <w:lvlText w:val="o"/>
      <w:lvlJc w:val="left"/>
      <w:pPr>
        <w:ind w:hanging="360" w:left="5760"/>
        <w:tabs>
          <w:tab w:val="left" w:pos="5760" w:leader="none"/>
        </w:tabs>
      </w:pPr>
      <w:rPr>
        <w:rFonts w:ascii="Courier New" w:hAnsi="Courier New"/>
      </w:rPr>
    </w:lvl>
    <w:lvl w:ilvl="8" w:tplc="23F66932">
      <w:start w:val="1"/>
      <w:numFmt w:val="bullet"/>
      <w:suff w:val="tab"/>
      <w:lvlText w:val=""/>
      <w:lvlJc w:val="left"/>
      <w:pPr>
        <w:ind w:hanging="360" w:left="6480"/>
        <w:tabs>
          <w:tab w:val="left" w:pos="6480" w:leader="none"/>
        </w:tabs>
      </w:pPr>
      <w:rPr>
        <w:rFonts w:ascii="Wingdings" w:hAnsi="Wingdings"/>
      </w:rPr>
    </w:lvl>
  </w:abstractNum>
  <w:abstractNum w:abstractNumId="7">
    <w:nsid w:val="16E052A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2C253BCD"/>
    <w:multiLevelType w:val="hybridMultilevel"/>
    <w:lvl w:ilvl="0" w:tplc="017EC224">
      <w:start w:val="1"/>
      <w:numFmt w:val="bullet"/>
      <w:suff w:val="tab"/>
      <w:lvlText w:val=""/>
      <w:lvlJc w:val="left"/>
      <w:pPr>
        <w:ind w:firstLine="0" w:left="170"/>
        <w:tabs>
          <w:tab w:val="left" w:pos="530" w:leader="none"/>
        </w:tabs>
      </w:pPr>
      <w:rPr>
        <w:rFonts w:ascii="Wingdings" w:hAnsi="Wingdings"/>
      </w:rPr>
    </w:lvl>
    <w:lvl w:ilvl="1" w:tplc="2F2A7A0C">
      <w:start w:val="1"/>
      <w:numFmt w:val="bullet"/>
      <w:suff w:val="tab"/>
      <w:lvlText w:val="o"/>
      <w:lvlJc w:val="left"/>
      <w:pPr>
        <w:ind w:hanging="360" w:left="1440"/>
        <w:tabs>
          <w:tab w:val="left" w:pos="1440" w:leader="none"/>
        </w:tabs>
      </w:pPr>
      <w:rPr>
        <w:rFonts w:ascii="Courier New" w:hAnsi="Courier New"/>
      </w:rPr>
    </w:lvl>
    <w:lvl w:ilvl="2" w:tplc="5BF71491">
      <w:start w:val="1"/>
      <w:numFmt w:val="bullet"/>
      <w:suff w:val="tab"/>
      <w:lvlText w:val=""/>
      <w:lvlJc w:val="left"/>
      <w:pPr>
        <w:ind w:hanging="360" w:left="2160"/>
        <w:tabs>
          <w:tab w:val="left" w:pos="2160" w:leader="none"/>
        </w:tabs>
      </w:pPr>
      <w:rPr>
        <w:rFonts w:ascii="Wingdings" w:hAnsi="Wingdings"/>
      </w:rPr>
    </w:lvl>
    <w:lvl w:ilvl="3" w:tplc="05A2FA08">
      <w:start w:val="1"/>
      <w:numFmt w:val="bullet"/>
      <w:suff w:val="tab"/>
      <w:lvlText w:val=""/>
      <w:lvlJc w:val="left"/>
      <w:pPr>
        <w:ind w:hanging="360" w:left="2880"/>
        <w:tabs>
          <w:tab w:val="left" w:pos="2880" w:leader="none"/>
        </w:tabs>
      </w:pPr>
      <w:rPr>
        <w:rFonts w:ascii="Symbol" w:hAnsi="Symbol"/>
      </w:rPr>
    </w:lvl>
    <w:lvl w:ilvl="4" w:tplc="7FAF9ECF">
      <w:start w:val="1"/>
      <w:numFmt w:val="bullet"/>
      <w:suff w:val="tab"/>
      <w:lvlText w:val="o"/>
      <w:lvlJc w:val="left"/>
      <w:pPr>
        <w:ind w:hanging="360" w:left="3600"/>
        <w:tabs>
          <w:tab w:val="left" w:pos="3600" w:leader="none"/>
        </w:tabs>
      </w:pPr>
      <w:rPr>
        <w:rFonts w:ascii="Courier New" w:hAnsi="Courier New"/>
      </w:rPr>
    </w:lvl>
    <w:lvl w:ilvl="5" w:tplc="493A5D4F">
      <w:start w:val="1"/>
      <w:numFmt w:val="bullet"/>
      <w:suff w:val="tab"/>
      <w:lvlText w:val=""/>
      <w:lvlJc w:val="left"/>
      <w:pPr>
        <w:ind w:hanging="360" w:left="4320"/>
        <w:tabs>
          <w:tab w:val="left" w:pos="4320" w:leader="none"/>
        </w:tabs>
      </w:pPr>
      <w:rPr>
        <w:rFonts w:ascii="Wingdings" w:hAnsi="Wingdings"/>
      </w:rPr>
    </w:lvl>
    <w:lvl w:ilvl="6" w:tplc="5A899515">
      <w:start w:val="1"/>
      <w:numFmt w:val="bullet"/>
      <w:suff w:val="tab"/>
      <w:lvlText w:val=""/>
      <w:lvlJc w:val="left"/>
      <w:pPr>
        <w:ind w:hanging="360" w:left="5040"/>
        <w:tabs>
          <w:tab w:val="left" w:pos="5040" w:leader="none"/>
        </w:tabs>
      </w:pPr>
      <w:rPr>
        <w:rFonts w:ascii="Symbol" w:hAnsi="Symbol"/>
      </w:rPr>
    </w:lvl>
    <w:lvl w:ilvl="7" w:tplc="2B558493">
      <w:start w:val="1"/>
      <w:numFmt w:val="bullet"/>
      <w:suff w:val="tab"/>
      <w:lvlText w:val="o"/>
      <w:lvlJc w:val="left"/>
      <w:pPr>
        <w:ind w:hanging="360" w:left="5760"/>
        <w:tabs>
          <w:tab w:val="left" w:pos="5760" w:leader="none"/>
        </w:tabs>
      </w:pPr>
      <w:rPr>
        <w:rFonts w:ascii="Courier New" w:hAnsi="Courier New"/>
      </w:rPr>
    </w:lvl>
    <w:lvl w:ilvl="8" w:tplc="23FEF7D2">
      <w:start w:val="1"/>
      <w:numFmt w:val="bullet"/>
      <w:suff w:val="tab"/>
      <w:lvlText w:val=""/>
      <w:lvlJc w:val="left"/>
      <w:pPr>
        <w:ind w:hanging="360" w:left="6480"/>
        <w:tabs>
          <w:tab w:val="left" w:pos="6480" w:leader="none"/>
        </w:tabs>
      </w:pPr>
      <w:rPr>
        <w:rFonts w:ascii="Wingdings" w:hAnsi="Wingdings"/>
      </w:rPr>
    </w:lvl>
  </w:abstractNum>
  <w:abstractNum w:abstractNumId="9">
    <w:nsid w:val="2E2D3ADB"/>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
    <w:nsid w:val="2EC60B62"/>
    <w:multiLevelType w:val="hybridMultilevel"/>
    <w:lvl w:ilvl="0" w:tplc="4F278AA8">
      <w:start w:val="1"/>
      <w:numFmt w:val="bullet"/>
      <w:suff w:val="tab"/>
      <w:lvlText w:val=""/>
      <w:lvlJc w:val="left"/>
      <w:pPr>
        <w:ind w:hanging="397" w:left="567"/>
        <w:tabs>
          <w:tab w:val="left" w:pos="567" w:leader="none"/>
        </w:tabs>
      </w:pPr>
      <w:rPr>
        <w:rFonts w:ascii="Wingdings" w:hAnsi="Wingdings"/>
      </w:rPr>
    </w:lvl>
    <w:lvl w:ilvl="1" w:tplc="10827983">
      <w:start w:val="1"/>
      <w:numFmt w:val="bullet"/>
      <w:suff w:val="tab"/>
      <w:lvlText w:val="o"/>
      <w:lvlJc w:val="left"/>
      <w:pPr>
        <w:ind w:hanging="360" w:left="1440"/>
        <w:tabs>
          <w:tab w:val="left" w:pos="1440" w:leader="none"/>
        </w:tabs>
      </w:pPr>
      <w:rPr>
        <w:rFonts w:ascii="Courier New" w:hAnsi="Courier New"/>
      </w:rPr>
    </w:lvl>
    <w:lvl w:ilvl="2" w:tplc="0E1861F1">
      <w:start w:val="1"/>
      <w:numFmt w:val="bullet"/>
      <w:suff w:val="tab"/>
      <w:lvlText w:val=""/>
      <w:lvlJc w:val="left"/>
      <w:pPr>
        <w:ind w:hanging="360" w:left="2160"/>
        <w:tabs>
          <w:tab w:val="left" w:pos="2160" w:leader="none"/>
        </w:tabs>
      </w:pPr>
      <w:rPr>
        <w:rFonts w:ascii="Wingdings" w:hAnsi="Wingdings"/>
      </w:rPr>
    </w:lvl>
    <w:lvl w:ilvl="3" w:tplc="2A2BCC6A">
      <w:start w:val="1"/>
      <w:numFmt w:val="bullet"/>
      <w:suff w:val="tab"/>
      <w:lvlText w:val=""/>
      <w:lvlJc w:val="left"/>
      <w:pPr>
        <w:ind w:hanging="360" w:left="2880"/>
        <w:tabs>
          <w:tab w:val="left" w:pos="2880" w:leader="none"/>
        </w:tabs>
      </w:pPr>
      <w:rPr>
        <w:rFonts w:ascii="Symbol" w:hAnsi="Symbol"/>
      </w:rPr>
    </w:lvl>
    <w:lvl w:ilvl="4" w:tplc="416A0F8F">
      <w:start w:val="1"/>
      <w:numFmt w:val="bullet"/>
      <w:suff w:val="tab"/>
      <w:lvlText w:val="o"/>
      <w:lvlJc w:val="left"/>
      <w:pPr>
        <w:ind w:hanging="360" w:left="3600"/>
        <w:tabs>
          <w:tab w:val="left" w:pos="3600" w:leader="none"/>
        </w:tabs>
      </w:pPr>
      <w:rPr>
        <w:rFonts w:ascii="Courier New" w:hAnsi="Courier New"/>
      </w:rPr>
    </w:lvl>
    <w:lvl w:ilvl="5" w:tplc="2615B7DD">
      <w:start w:val="1"/>
      <w:numFmt w:val="bullet"/>
      <w:suff w:val="tab"/>
      <w:lvlText w:val=""/>
      <w:lvlJc w:val="left"/>
      <w:pPr>
        <w:ind w:hanging="360" w:left="4320"/>
        <w:tabs>
          <w:tab w:val="left" w:pos="4320" w:leader="none"/>
        </w:tabs>
      </w:pPr>
      <w:rPr>
        <w:rFonts w:ascii="Wingdings" w:hAnsi="Wingdings"/>
      </w:rPr>
    </w:lvl>
    <w:lvl w:ilvl="6" w:tplc="7B49E855">
      <w:start w:val="1"/>
      <w:numFmt w:val="bullet"/>
      <w:suff w:val="tab"/>
      <w:lvlText w:val=""/>
      <w:lvlJc w:val="left"/>
      <w:pPr>
        <w:ind w:hanging="360" w:left="5040"/>
        <w:tabs>
          <w:tab w:val="left" w:pos="5040" w:leader="none"/>
        </w:tabs>
      </w:pPr>
      <w:rPr>
        <w:rFonts w:ascii="Symbol" w:hAnsi="Symbol"/>
      </w:rPr>
    </w:lvl>
    <w:lvl w:ilvl="7" w:tplc="3558C88D">
      <w:start w:val="1"/>
      <w:numFmt w:val="bullet"/>
      <w:suff w:val="tab"/>
      <w:lvlText w:val="o"/>
      <w:lvlJc w:val="left"/>
      <w:pPr>
        <w:ind w:hanging="360" w:left="5760"/>
        <w:tabs>
          <w:tab w:val="left" w:pos="5760" w:leader="none"/>
        </w:tabs>
      </w:pPr>
      <w:rPr>
        <w:rFonts w:ascii="Courier New" w:hAnsi="Courier New"/>
      </w:rPr>
    </w:lvl>
    <w:lvl w:ilvl="8" w:tplc="423A1781">
      <w:start w:val="1"/>
      <w:numFmt w:val="bullet"/>
      <w:suff w:val="tab"/>
      <w:lvlText w:val=""/>
      <w:lvlJc w:val="left"/>
      <w:pPr>
        <w:ind w:hanging="360" w:left="6480"/>
        <w:tabs>
          <w:tab w:val="left" w:pos="6480" w:leader="none"/>
        </w:tabs>
      </w:pPr>
      <w:rPr>
        <w:rFonts w:ascii="Wingdings" w:hAnsi="Wingdings"/>
      </w:rPr>
    </w:lvl>
  </w:abstractNum>
  <w:abstractNum w:abstractNumId="11">
    <w:nsid w:val="3132784F"/>
    <w:multiLevelType w:val="hybridMultilevel"/>
    <w:lvl w:ilvl="0" w:tplc="725EDD68">
      <w:start w:val="1"/>
      <w:numFmt w:val="bullet"/>
      <w:suff w:val="tab"/>
      <w:lvlText w:val=""/>
      <w:lvlJc w:val="left"/>
      <w:pPr>
        <w:ind w:hanging="283" w:left="1134"/>
        <w:tabs>
          <w:tab w:val="left" w:pos="530" w:leader="none"/>
        </w:tabs>
      </w:pPr>
      <w:rPr>
        <w:rFonts w:ascii="Wingdings" w:hAnsi="Wingdings"/>
      </w:rPr>
    </w:lvl>
    <w:lvl w:ilvl="1" w:tplc="5E2A33BA">
      <w:start w:val="1"/>
      <w:numFmt w:val="bullet"/>
      <w:suff w:val="tab"/>
      <w:lvlText w:val="o"/>
      <w:lvlJc w:val="left"/>
      <w:pPr>
        <w:ind w:hanging="360" w:left="1440"/>
        <w:tabs>
          <w:tab w:val="left" w:pos="1440" w:leader="none"/>
        </w:tabs>
      </w:pPr>
      <w:rPr>
        <w:rFonts w:ascii="Courier New" w:hAnsi="Courier New"/>
      </w:rPr>
    </w:lvl>
    <w:lvl w:ilvl="2" w:tplc="55DA5316">
      <w:start w:val="1"/>
      <w:numFmt w:val="bullet"/>
      <w:suff w:val="tab"/>
      <w:lvlText w:val=""/>
      <w:lvlJc w:val="left"/>
      <w:pPr>
        <w:ind w:hanging="360" w:left="2160"/>
        <w:tabs>
          <w:tab w:val="left" w:pos="2160" w:leader="none"/>
        </w:tabs>
      </w:pPr>
      <w:rPr>
        <w:rFonts w:ascii="Wingdings" w:hAnsi="Wingdings"/>
      </w:rPr>
    </w:lvl>
    <w:lvl w:ilvl="3" w:tplc="5A43B718">
      <w:start w:val="1"/>
      <w:numFmt w:val="bullet"/>
      <w:suff w:val="tab"/>
      <w:lvlText w:val=""/>
      <w:lvlJc w:val="left"/>
      <w:pPr>
        <w:ind w:hanging="360" w:left="2880"/>
        <w:tabs>
          <w:tab w:val="left" w:pos="2880" w:leader="none"/>
        </w:tabs>
      </w:pPr>
      <w:rPr>
        <w:rFonts w:ascii="Symbol" w:hAnsi="Symbol"/>
      </w:rPr>
    </w:lvl>
    <w:lvl w:ilvl="4" w:tplc="73D1630F">
      <w:start w:val="1"/>
      <w:numFmt w:val="bullet"/>
      <w:suff w:val="tab"/>
      <w:lvlText w:val="o"/>
      <w:lvlJc w:val="left"/>
      <w:pPr>
        <w:ind w:hanging="360" w:left="3600"/>
        <w:tabs>
          <w:tab w:val="left" w:pos="3600" w:leader="none"/>
        </w:tabs>
      </w:pPr>
      <w:rPr>
        <w:rFonts w:ascii="Courier New" w:hAnsi="Courier New"/>
      </w:rPr>
    </w:lvl>
    <w:lvl w:ilvl="5" w:tplc="52779DDF">
      <w:start w:val="1"/>
      <w:numFmt w:val="bullet"/>
      <w:suff w:val="tab"/>
      <w:lvlText w:val=""/>
      <w:lvlJc w:val="left"/>
      <w:pPr>
        <w:ind w:hanging="360" w:left="4320"/>
        <w:tabs>
          <w:tab w:val="left" w:pos="4320" w:leader="none"/>
        </w:tabs>
      </w:pPr>
      <w:rPr>
        <w:rFonts w:ascii="Wingdings" w:hAnsi="Wingdings"/>
      </w:rPr>
    </w:lvl>
    <w:lvl w:ilvl="6" w:tplc="0CBBC15E">
      <w:start w:val="1"/>
      <w:numFmt w:val="bullet"/>
      <w:suff w:val="tab"/>
      <w:lvlText w:val=""/>
      <w:lvlJc w:val="left"/>
      <w:pPr>
        <w:ind w:hanging="360" w:left="5040"/>
        <w:tabs>
          <w:tab w:val="left" w:pos="5040" w:leader="none"/>
        </w:tabs>
      </w:pPr>
      <w:rPr>
        <w:rFonts w:ascii="Symbol" w:hAnsi="Symbol"/>
      </w:rPr>
    </w:lvl>
    <w:lvl w:ilvl="7" w:tplc="1545CB02">
      <w:start w:val="1"/>
      <w:numFmt w:val="bullet"/>
      <w:suff w:val="tab"/>
      <w:lvlText w:val="o"/>
      <w:lvlJc w:val="left"/>
      <w:pPr>
        <w:ind w:hanging="360" w:left="5760"/>
        <w:tabs>
          <w:tab w:val="left" w:pos="5760" w:leader="none"/>
        </w:tabs>
      </w:pPr>
      <w:rPr>
        <w:rFonts w:ascii="Courier New" w:hAnsi="Courier New"/>
      </w:rPr>
    </w:lvl>
    <w:lvl w:ilvl="8" w:tplc="00307A48">
      <w:start w:val="1"/>
      <w:numFmt w:val="bullet"/>
      <w:suff w:val="tab"/>
      <w:lvlText w:val=""/>
      <w:lvlJc w:val="left"/>
      <w:pPr>
        <w:ind w:hanging="360" w:left="6480"/>
        <w:tabs>
          <w:tab w:val="left" w:pos="6480" w:leader="none"/>
        </w:tabs>
      </w:pPr>
      <w:rPr>
        <w:rFonts w:ascii="Wingdings" w:hAnsi="Wingdings"/>
      </w:rPr>
    </w:lvl>
  </w:abstractNum>
  <w:abstractNum w:abstractNumId="12">
    <w:nsid w:val="33FE5F62"/>
    <w:multiLevelType w:val="hybridMultilevel"/>
    <w:lvl w:ilvl="0" w:tplc="1331B675">
      <w:start w:val="1"/>
      <w:numFmt w:val="bullet"/>
      <w:suff w:val="tab"/>
      <w:lvlText w:val=""/>
      <w:lvlJc w:val="left"/>
      <w:pPr>
        <w:ind w:firstLine="0" w:left="170"/>
        <w:tabs>
          <w:tab w:val="left" w:pos="530" w:leader="none"/>
        </w:tabs>
      </w:pPr>
      <w:rPr>
        <w:rFonts w:ascii="Wingdings" w:hAnsi="Wingdings"/>
      </w:rPr>
    </w:lvl>
    <w:lvl w:ilvl="1" w:tplc="43D79F63">
      <w:start w:val="1"/>
      <w:numFmt w:val="bullet"/>
      <w:suff w:val="tab"/>
      <w:lvlText w:val="o"/>
      <w:lvlJc w:val="left"/>
      <w:pPr>
        <w:ind w:hanging="360" w:left="1440"/>
        <w:tabs>
          <w:tab w:val="left" w:pos="1440" w:leader="none"/>
        </w:tabs>
      </w:pPr>
      <w:rPr>
        <w:rFonts w:ascii="Courier New" w:hAnsi="Courier New"/>
      </w:rPr>
    </w:lvl>
    <w:lvl w:ilvl="2" w:tplc="0CC6A3F2">
      <w:start w:val="1"/>
      <w:numFmt w:val="bullet"/>
      <w:suff w:val="tab"/>
      <w:lvlText w:val=""/>
      <w:lvlJc w:val="left"/>
      <w:pPr>
        <w:ind w:hanging="360" w:left="2160"/>
        <w:tabs>
          <w:tab w:val="left" w:pos="2160" w:leader="none"/>
        </w:tabs>
      </w:pPr>
      <w:rPr>
        <w:rFonts w:ascii="Wingdings" w:hAnsi="Wingdings"/>
      </w:rPr>
    </w:lvl>
    <w:lvl w:ilvl="3" w:tplc="7297C865">
      <w:start w:val="1"/>
      <w:numFmt w:val="bullet"/>
      <w:suff w:val="tab"/>
      <w:lvlText w:val=""/>
      <w:lvlJc w:val="left"/>
      <w:pPr>
        <w:ind w:hanging="360" w:left="2880"/>
        <w:tabs>
          <w:tab w:val="left" w:pos="2880" w:leader="none"/>
        </w:tabs>
      </w:pPr>
      <w:rPr>
        <w:rFonts w:ascii="Symbol" w:hAnsi="Symbol"/>
      </w:rPr>
    </w:lvl>
    <w:lvl w:ilvl="4" w:tplc="551255CA">
      <w:start w:val="1"/>
      <w:numFmt w:val="bullet"/>
      <w:suff w:val="tab"/>
      <w:lvlText w:val="o"/>
      <w:lvlJc w:val="left"/>
      <w:pPr>
        <w:ind w:hanging="360" w:left="3600"/>
        <w:tabs>
          <w:tab w:val="left" w:pos="3600" w:leader="none"/>
        </w:tabs>
      </w:pPr>
      <w:rPr>
        <w:rFonts w:ascii="Courier New" w:hAnsi="Courier New"/>
      </w:rPr>
    </w:lvl>
    <w:lvl w:ilvl="5" w:tplc="61DC56D2">
      <w:start w:val="1"/>
      <w:numFmt w:val="bullet"/>
      <w:suff w:val="tab"/>
      <w:lvlText w:val=""/>
      <w:lvlJc w:val="left"/>
      <w:pPr>
        <w:ind w:hanging="360" w:left="4320"/>
        <w:tabs>
          <w:tab w:val="left" w:pos="4320" w:leader="none"/>
        </w:tabs>
      </w:pPr>
      <w:rPr>
        <w:rFonts w:ascii="Wingdings" w:hAnsi="Wingdings"/>
      </w:rPr>
    </w:lvl>
    <w:lvl w:ilvl="6" w:tplc="02FEDC8C">
      <w:start w:val="1"/>
      <w:numFmt w:val="bullet"/>
      <w:suff w:val="tab"/>
      <w:lvlText w:val=""/>
      <w:lvlJc w:val="left"/>
      <w:pPr>
        <w:ind w:hanging="360" w:left="5040"/>
        <w:tabs>
          <w:tab w:val="left" w:pos="5040" w:leader="none"/>
        </w:tabs>
      </w:pPr>
      <w:rPr>
        <w:rFonts w:ascii="Symbol" w:hAnsi="Symbol"/>
      </w:rPr>
    </w:lvl>
    <w:lvl w:ilvl="7" w:tplc="4EC65C7C">
      <w:start w:val="1"/>
      <w:numFmt w:val="bullet"/>
      <w:suff w:val="tab"/>
      <w:lvlText w:val="o"/>
      <w:lvlJc w:val="left"/>
      <w:pPr>
        <w:ind w:hanging="360" w:left="5760"/>
        <w:tabs>
          <w:tab w:val="left" w:pos="5760" w:leader="none"/>
        </w:tabs>
      </w:pPr>
      <w:rPr>
        <w:rFonts w:ascii="Courier New" w:hAnsi="Courier New"/>
      </w:rPr>
    </w:lvl>
    <w:lvl w:ilvl="8" w:tplc="35544F32">
      <w:start w:val="1"/>
      <w:numFmt w:val="bullet"/>
      <w:suff w:val="tab"/>
      <w:lvlText w:val=""/>
      <w:lvlJc w:val="left"/>
      <w:pPr>
        <w:ind w:hanging="360" w:left="6480"/>
        <w:tabs>
          <w:tab w:val="left" w:pos="6480" w:leader="none"/>
        </w:tabs>
      </w:pPr>
      <w:rPr>
        <w:rFonts w:ascii="Wingdings" w:hAnsi="Wingdings"/>
      </w:rPr>
    </w:lvl>
  </w:abstractNum>
  <w:abstractNum w:abstractNumId="13">
    <w:nsid w:val="38415E99"/>
    <w:multiLevelType w:val="hybridMultilevel"/>
    <w:lvl w:ilvl="0" w:tplc="70B4C34E">
      <w:start w:val="1"/>
      <w:numFmt w:val="bullet"/>
      <w:suff w:val="tab"/>
      <w:lvlText w:val=""/>
      <w:lvlJc w:val="left"/>
      <w:pPr>
        <w:ind w:firstLine="0" w:left="170"/>
        <w:tabs>
          <w:tab w:val="left" w:pos="530" w:leader="none"/>
        </w:tabs>
      </w:pPr>
      <w:rPr>
        <w:rFonts w:ascii="Wingdings" w:hAnsi="Wingdings"/>
      </w:rPr>
    </w:lvl>
    <w:lvl w:ilvl="1" w:tplc="6C30CB86">
      <w:start w:val="1"/>
      <w:numFmt w:val="bullet"/>
      <w:suff w:val="tab"/>
      <w:lvlText w:val=""/>
      <w:lvlJc w:val="left"/>
      <w:pPr>
        <w:ind w:hanging="397" w:left="1477"/>
        <w:tabs>
          <w:tab w:val="left" w:pos="1477" w:leader="none"/>
        </w:tabs>
      </w:pPr>
      <w:rPr>
        <w:rFonts w:ascii="Wingdings" w:hAnsi="Wingdings"/>
      </w:rPr>
    </w:lvl>
    <w:lvl w:ilvl="2" w:tplc="4BC4D33F">
      <w:start w:val="1"/>
      <w:numFmt w:val="bullet"/>
      <w:suff w:val="tab"/>
      <w:lvlText w:val=""/>
      <w:lvlJc w:val="left"/>
      <w:pPr>
        <w:ind w:hanging="360" w:left="2160"/>
        <w:tabs>
          <w:tab w:val="left" w:pos="2160" w:leader="none"/>
        </w:tabs>
      </w:pPr>
      <w:rPr>
        <w:rFonts w:ascii="Wingdings" w:hAnsi="Wingdings"/>
      </w:rPr>
    </w:lvl>
    <w:lvl w:ilvl="3" w:tplc="06512032">
      <w:start w:val="1"/>
      <w:numFmt w:val="bullet"/>
      <w:suff w:val="tab"/>
      <w:lvlText w:val=""/>
      <w:lvlJc w:val="left"/>
      <w:pPr>
        <w:ind w:hanging="360" w:left="2880"/>
        <w:tabs>
          <w:tab w:val="left" w:pos="2880" w:leader="none"/>
        </w:tabs>
      </w:pPr>
      <w:rPr>
        <w:rFonts w:ascii="Symbol" w:hAnsi="Symbol"/>
      </w:rPr>
    </w:lvl>
    <w:lvl w:ilvl="4" w:tplc="41921786">
      <w:start w:val="1"/>
      <w:numFmt w:val="bullet"/>
      <w:suff w:val="tab"/>
      <w:lvlText w:val="o"/>
      <w:lvlJc w:val="left"/>
      <w:pPr>
        <w:ind w:hanging="360" w:left="3600"/>
        <w:tabs>
          <w:tab w:val="left" w:pos="3600" w:leader="none"/>
        </w:tabs>
      </w:pPr>
      <w:rPr>
        <w:rFonts w:ascii="Courier New" w:hAnsi="Courier New"/>
      </w:rPr>
    </w:lvl>
    <w:lvl w:ilvl="5" w:tplc="145F2377">
      <w:start w:val="1"/>
      <w:numFmt w:val="bullet"/>
      <w:suff w:val="tab"/>
      <w:lvlText w:val=""/>
      <w:lvlJc w:val="left"/>
      <w:pPr>
        <w:ind w:hanging="360" w:left="4320"/>
        <w:tabs>
          <w:tab w:val="left" w:pos="4320" w:leader="none"/>
        </w:tabs>
      </w:pPr>
      <w:rPr>
        <w:rFonts w:ascii="Wingdings" w:hAnsi="Wingdings"/>
      </w:rPr>
    </w:lvl>
    <w:lvl w:ilvl="6" w:tplc="60EBB551">
      <w:start w:val="1"/>
      <w:numFmt w:val="bullet"/>
      <w:suff w:val="tab"/>
      <w:lvlText w:val=""/>
      <w:lvlJc w:val="left"/>
      <w:pPr>
        <w:ind w:hanging="360" w:left="5040"/>
        <w:tabs>
          <w:tab w:val="left" w:pos="5040" w:leader="none"/>
        </w:tabs>
      </w:pPr>
      <w:rPr>
        <w:rFonts w:ascii="Symbol" w:hAnsi="Symbol"/>
      </w:rPr>
    </w:lvl>
    <w:lvl w:ilvl="7" w:tplc="75FFFEBB">
      <w:start w:val="1"/>
      <w:numFmt w:val="bullet"/>
      <w:suff w:val="tab"/>
      <w:lvlText w:val="o"/>
      <w:lvlJc w:val="left"/>
      <w:pPr>
        <w:ind w:hanging="360" w:left="5760"/>
        <w:tabs>
          <w:tab w:val="left" w:pos="5760" w:leader="none"/>
        </w:tabs>
      </w:pPr>
      <w:rPr>
        <w:rFonts w:ascii="Courier New" w:hAnsi="Courier New"/>
      </w:rPr>
    </w:lvl>
    <w:lvl w:ilvl="8" w:tplc="388AA6AC">
      <w:start w:val="1"/>
      <w:numFmt w:val="bullet"/>
      <w:suff w:val="tab"/>
      <w:lvlText w:val=""/>
      <w:lvlJc w:val="left"/>
      <w:pPr>
        <w:ind w:hanging="360" w:left="6480"/>
        <w:tabs>
          <w:tab w:val="left" w:pos="6480" w:leader="none"/>
        </w:tabs>
      </w:pPr>
      <w:rPr>
        <w:rFonts w:ascii="Wingdings" w:hAnsi="Wingdings"/>
      </w:rPr>
    </w:lvl>
  </w:abstractNum>
  <w:abstractNum w:abstractNumId="14">
    <w:nsid w:val="4A37626F"/>
    <w:multiLevelType w:val="hybridMultilevel"/>
    <w:lvl w:ilvl="0" w:tplc="775E0722">
      <w:start w:val="1"/>
      <w:numFmt w:val="bullet"/>
      <w:suff w:val="tab"/>
      <w:lvlText w:val=""/>
      <w:lvlJc w:val="left"/>
      <w:pPr>
        <w:ind w:hanging="283" w:left="1134"/>
        <w:tabs>
          <w:tab w:val="left" w:pos="530" w:leader="none"/>
        </w:tabs>
      </w:pPr>
      <w:rPr>
        <w:rFonts w:ascii="Wingdings" w:hAnsi="Wingdings"/>
      </w:rPr>
    </w:lvl>
    <w:lvl w:ilvl="1" w:tplc="0C92AFBA">
      <w:start w:val="1"/>
      <w:numFmt w:val="bullet"/>
      <w:suff w:val="tab"/>
      <w:lvlText w:val="o"/>
      <w:lvlJc w:val="left"/>
      <w:pPr>
        <w:ind w:hanging="360" w:left="1440"/>
        <w:tabs>
          <w:tab w:val="left" w:pos="1440" w:leader="none"/>
        </w:tabs>
      </w:pPr>
      <w:rPr>
        <w:rFonts w:ascii="Courier New" w:hAnsi="Courier New"/>
      </w:rPr>
    </w:lvl>
    <w:lvl w:ilvl="2" w:tplc="73DC9E94">
      <w:start w:val="1"/>
      <w:numFmt w:val="bullet"/>
      <w:suff w:val="tab"/>
      <w:lvlText w:val=""/>
      <w:lvlJc w:val="left"/>
      <w:pPr>
        <w:ind w:hanging="360" w:left="2160"/>
        <w:tabs>
          <w:tab w:val="left" w:pos="2160" w:leader="none"/>
        </w:tabs>
      </w:pPr>
      <w:rPr>
        <w:rFonts w:ascii="Wingdings" w:hAnsi="Wingdings"/>
      </w:rPr>
    </w:lvl>
    <w:lvl w:ilvl="3" w:tplc="56F50291">
      <w:start w:val="1"/>
      <w:numFmt w:val="bullet"/>
      <w:suff w:val="tab"/>
      <w:lvlText w:val=""/>
      <w:lvlJc w:val="left"/>
      <w:pPr>
        <w:ind w:hanging="360" w:left="2880"/>
        <w:tabs>
          <w:tab w:val="left" w:pos="2880" w:leader="none"/>
        </w:tabs>
      </w:pPr>
      <w:rPr>
        <w:rFonts w:ascii="Symbol" w:hAnsi="Symbol"/>
      </w:rPr>
    </w:lvl>
    <w:lvl w:ilvl="4" w:tplc="71CD3F4B">
      <w:start w:val="1"/>
      <w:numFmt w:val="bullet"/>
      <w:suff w:val="tab"/>
      <w:lvlText w:val="o"/>
      <w:lvlJc w:val="left"/>
      <w:pPr>
        <w:ind w:hanging="360" w:left="3600"/>
        <w:tabs>
          <w:tab w:val="left" w:pos="3600" w:leader="none"/>
        </w:tabs>
      </w:pPr>
      <w:rPr>
        <w:rFonts w:ascii="Courier New" w:hAnsi="Courier New"/>
      </w:rPr>
    </w:lvl>
    <w:lvl w:ilvl="5" w:tplc="62CB26F7">
      <w:start w:val="1"/>
      <w:numFmt w:val="bullet"/>
      <w:suff w:val="tab"/>
      <w:lvlText w:val=""/>
      <w:lvlJc w:val="left"/>
      <w:pPr>
        <w:ind w:hanging="360" w:left="4320"/>
        <w:tabs>
          <w:tab w:val="left" w:pos="4320" w:leader="none"/>
        </w:tabs>
      </w:pPr>
      <w:rPr>
        <w:rFonts w:ascii="Wingdings" w:hAnsi="Wingdings"/>
      </w:rPr>
    </w:lvl>
    <w:lvl w:ilvl="6" w:tplc="65E7F5D7">
      <w:start w:val="1"/>
      <w:numFmt w:val="bullet"/>
      <w:suff w:val="tab"/>
      <w:lvlText w:val=""/>
      <w:lvlJc w:val="left"/>
      <w:pPr>
        <w:ind w:hanging="360" w:left="5040"/>
        <w:tabs>
          <w:tab w:val="left" w:pos="5040" w:leader="none"/>
        </w:tabs>
      </w:pPr>
      <w:rPr>
        <w:rFonts w:ascii="Symbol" w:hAnsi="Symbol"/>
      </w:rPr>
    </w:lvl>
    <w:lvl w:ilvl="7" w:tplc="2CA9FF68">
      <w:start w:val="1"/>
      <w:numFmt w:val="bullet"/>
      <w:suff w:val="tab"/>
      <w:lvlText w:val="o"/>
      <w:lvlJc w:val="left"/>
      <w:pPr>
        <w:ind w:hanging="360" w:left="5760"/>
        <w:tabs>
          <w:tab w:val="left" w:pos="5760" w:leader="none"/>
        </w:tabs>
      </w:pPr>
      <w:rPr>
        <w:rFonts w:ascii="Courier New" w:hAnsi="Courier New"/>
      </w:rPr>
    </w:lvl>
    <w:lvl w:ilvl="8" w:tplc="3CD9E520">
      <w:start w:val="1"/>
      <w:numFmt w:val="bullet"/>
      <w:suff w:val="tab"/>
      <w:lvlText w:val=""/>
      <w:lvlJc w:val="left"/>
      <w:pPr>
        <w:ind w:hanging="360" w:left="6480"/>
        <w:tabs>
          <w:tab w:val="left" w:pos="6480" w:leader="none"/>
        </w:tabs>
      </w:pPr>
      <w:rPr>
        <w:rFonts w:ascii="Wingdings" w:hAnsi="Wingdings"/>
      </w:rPr>
    </w:lvl>
  </w:abstractNum>
  <w:abstractNum w:abstractNumId="15">
    <w:nsid w:val="4B6B15B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
    <w:nsid w:val="4BC62E9B"/>
    <w:multiLevelType w:val="hybridMultilevel"/>
    <w:lvl w:ilvl="0" w:tplc="4E1C161A">
      <w:start w:val="1"/>
      <w:numFmt w:val="bullet"/>
      <w:suff w:val="tab"/>
      <w:lvlText w:val=""/>
      <w:lvlJc w:val="left"/>
      <w:pPr>
        <w:ind w:hanging="397" w:left="567"/>
        <w:tabs>
          <w:tab w:val="left" w:pos="567" w:leader="none"/>
        </w:tabs>
      </w:pPr>
      <w:rPr>
        <w:rFonts w:ascii="Wingdings" w:hAnsi="Wingdings"/>
      </w:rPr>
    </w:lvl>
    <w:lvl w:ilvl="1" w:tplc="273B0B0A">
      <w:start w:val="1"/>
      <w:numFmt w:val="bullet"/>
      <w:suff w:val="tab"/>
      <w:lvlText w:val="o"/>
      <w:lvlJc w:val="left"/>
      <w:pPr>
        <w:ind w:hanging="360" w:left="1440"/>
        <w:tabs>
          <w:tab w:val="left" w:pos="1440" w:leader="none"/>
        </w:tabs>
      </w:pPr>
      <w:rPr>
        <w:rFonts w:ascii="Courier New" w:hAnsi="Courier New"/>
      </w:rPr>
    </w:lvl>
    <w:lvl w:ilvl="2" w:tplc="3B5916FC">
      <w:start w:val="1"/>
      <w:numFmt w:val="bullet"/>
      <w:suff w:val="tab"/>
      <w:lvlText w:val=""/>
      <w:lvlJc w:val="left"/>
      <w:pPr>
        <w:ind w:hanging="360" w:left="2160"/>
        <w:tabs>
          <w:tab w:val="left" w:pos="2160" w:leader="none"/>
        </w:tabs>
      </w:pPr>
      <w:rPr>
        <w:rFonts w:ascii="Wingdings" w:hAnsi="Wingdings"/>
      </w:rPr>
    </w:lvl>
    <w:lvl w:ilvl="3" w:tplc="097F77B2">
      <w:start w:val="1"/>
      <w:numFmt w:val="bullet"/>
      <w:suff w:val="tab"/>
      <w:lvlText w:val=""/>
      <w:lvlJc w:val="left"/>
      <w:pPr>
        <w:ind w:hanging="360" w:left="2880"/>
        <w:tabs>
          <w:tab w:val="left" w:pos="2880" w:leader="none"/>
        </w:tabs>
      </w:pPr>
      <w:rPr>
        <w:rFonts w:ascii="Symbol" w:hAnsi="Symbol"/>
      </w:rPr>
    </w:lvl>
    <w:lvl w:ilvl="4" w:tplc="78E738A9">
      <w:start w:val="1"/>
      <w:numFmt w:val="bullet"/>
      <w:suff w:val="tab"/>
      <w:lvlText w:val="o"/>
      <w:lvlJc w:val="left"/>
      <w:pPr>
        <w:ind w:hanging="360" w:left="3600"/>
        <w:tabs>
          <w:tab w:val="left" w:pos="3600" w:leader="none"/>
        </w:tabs>
      </w:pPr>
      <w:rPr>
        <w:rFonts w:ascii="Courier New" w:hAnsi="Courier New"/>
      </w:rPr>
    </w:lvl>
    <w:lvl w:ilvl="5" w:tplc="6A69D4CD">
      <w:start w:val="1"/>
      <w:numFmt w:val="bullet"/>
      <w:suff w:val="tab"/>
      <w:lvlText w:val=""/>
      <w:lvlJc w:val="left"/>
      <w:pPr>
        <w:ind w:hanging="360" w:left="4320"/>
        <w:tabs>
          <w:tab w:val="left" w:pos="4320" w:leader="none"/>
        </w:tabs>
      </w:pPr>
      <w:rPr>
        <w:rFonts w:ascii="Wingdings" w:hAnsi="Wingdings"/>
      </w:rPr>
    </w:lvl>
    <w:lvl w:ilvl="6" w:tplc="4909E406">
      <w:start w:val="1"/>
      <w:numFmt w:val="bullet"/>
      <w:suff w:val="tab"/>
      <w:lvlText w:val=""/>
      <w:lvlJc w:val="left"/>
      <w:pPr>
        <w:ind w:hanging="360" w:left="5040"/>
        <w:tabs>
          <w:tab w:val="left" w:pos="5040" w:leader="none"/>
        </w:tabs>
      </w:pPr>
      <w:rPr>
        <w:rFonts w:ascii="Symbol" w:hAnsi="Symbol"/>
      </w:rPr>
    </w:lvl>
    <w:lvl w:ilvl="7" w:tplc="4757DFA0">
      <w:start w:val="1"/>
      <w:numFmt w:val="bullet"/>
      <w:suff w:val="tab"/>
      <w:lvlText w:val="o"/>
      <w:lvlJc w:val="left"/>
      <w:pPr>
        <w:ind w:hanging="360" w:left="5760"/>
        <w:tabs>
          <w:tab w:val="left" w:pos="5760" w:leader="none"/>
        </w:tabs>
      </w:pPr>
      <w:rPr>
        <w:rFonts w:ascii="Courier New" w:hAnsi="Courier New"/>
      </w:rPr>
    </w:lvl>
    <w:lvl w:ilvl="8" w:tplc="677DE52F">
      <w:start w:val="1"/>
      <w:numFmt w:val="bullet"/>
      <w:suff w:val="tab"/>
      <w:lvlText w:val=""/>
      <w:lvlJc w:val="left"/>
      <w:pPr>
        <w:ind w:hanging="360" w:left="6480"/>
        <w:tabs>
          <w:tab w:val="left" w:pos="6480" w:leader="none"/>
        </w:tabs>
      </w:pPr>
      <w:rPr>
        <w:rFonts w:ascii="Wingdings" w:hAnsi="Wingdings"/>
      </w:rPr>
    </w:lvl>
  </w:abstractNum>
  <w:abstractNum w:abstractNumId="17">
    <w:nsid w:val="4E8E551E"/>
    <w:multiLevelType w:val="hybridMultilevel"/>
    <w:lvl w:ilvl="0" w:tplc="173854DF">
      <w:start w:val="1"/>
      <w:numFmt w:val="bullet"/>
      <w:suff w:val="tab"/>
      <w:lvlText w:val=""/>
      <w:lvlJc w:val="left"/>
      <w:pPr>
        <w:ind w:hanging="397" w:left="567"/>
        <w:tabs>
          <w:tab w:val="left" w:pos="567" w:leader="none"/>
        </w:tabs>
      </w:pPr>
      <w:rPr>
        <w:rFonts w:ascii="Wingdings" w:hAnsi="Wingdings"/>
      </w:rPr>
    </w:lvl>
    <w:lvl w:ilvl="1" w:tplc="5C8FC241">
      <w:start w:val="3"/>
      <w:numFmt w:val="bullet"/>
      <w:suff w:val="tab"/>
      <w:lvlText w:val="-"/>
      <w:lvlJc w:val="left"/>
      <w:pPr>
        <w:ind w:hanging="360" w:left="1440"/>
        <w:tabs>
          <w:tab w:val="left" w:pos="1440" w:leader="none"/>
        </w:tabs>
      </w:pPr>
      <w:rPr>
        <w:rFonts w:ascii="Times New Roman" w:hAnsi="Times New Roman"/>
      </w:rPr>
    </w:lvl>
    <w:lvl w:ilvl="2" w:tplc="3B7023B8">
      <w:start w:val="1"/>
      <w:numFmt w:val="bullet"/>
      <w:suff w:val="tab"/>
      <w:lvlText w:val=""/>
      <w:lvlJc w:val="left"/>
      <w:pPr>
        <w:ind w:hanging="360" w:left="2160"/>
        <w:tabs>
          <w:tab w:val="left" w:pos="2160" w:leader="none"/>
        </w:tabs>
      </w:pPr>
      <w:rPr>
        <w:rFonts w:ascii="Wingdings" w:hAnsi="Wingdings"/>
      </w:rPr>
    </w:lvl>
    <w:lvl w:ilvl="3" w:tplc="2C3C0B1E">
      <w:start w:val="1"/>
      <w:numFmt w:val="bullet"/>
      <w:suff w:val="tab"/>
      <w:lvlText w:val=""/>
      <w:lvlJc w:val="left"/>
      <w:pPr>
        <w:ind w:hanging="360" w:left="2880"/>
        <w:tabs>
          <w:tab w:val="left" w:pos="2880" w:leader="none"/>
        </w:tabs>
      </w:pPr>
      <w:rPr>
        <w:rFonts w:ascii="Symbol" w:hAnsi="Symbol"/>
      </w:rPr>
    </w:lvl>
    <w:lvl w:ilvl="4" w:tplc="272CF0DE">
      <w:start w:val="1"/>
      <w:numFmt w:val="bullet"/>
      <w:suff w:val="tab"/>
      <w:lvlText w:val="o"/>
      <w:lvlJc w:val="left"/>
      <w:pPr>
        <w:ind w:hanging="360" w:left="3600"/>
        <w:tabs>
          <w:tab w:val="left" w:pos="3600" w:leader="none"/>
        </w:tabs>
      </w:pPr>
      <w:rPr>
        <w:rFonts w:ascii="Courier New" w:hAnsi="Courier New"/>
      </w:rPr>
    </w:lvl>
    <w:lvl w:ilvl="5" w:tplc="72A3B311">
      <w:start w:val="1"/>
      <w:numFmt w:val="bullet"/>
      <w:suff w:val="tab"/>
      <w:lvlText w:val=""/>
      <w:lvlJc w:val="left"/>
      <w:pPr>
        <w:ind w:hanging="360" w:left="4320"/>
        <w:tabs>
          <w:tab w:val="left" w:pos="4320" w:leader="none"/>
        </w:tabs>
      </w:pPr>
      <w:rPr>
        <w:rFonts w:ascii="Wingdings" w:hAnsi="Wingdings"/>
      </w:rPr>
    </w:lvl>
    <w:lvl w:ilvl="6" w:tplc="70C168AA">
      <w:start w:val="1"/>
      <w:numFmt w:val="bullet"/>
      <w:suff w:val="tab"/>
      <w:lvlText w:val=""/>
      <w:lvlJc w:val="left"/>
      <w:pPr>
        <w:ind w:hanging="360" w:left="5040"/>
        <w:tabs>
          <w:tab w:val="left" w:pos="5040" w:leader="none"/>
        </w:tabs>
      </w:pPr>
      <w:rPr>
        <w:rFonts w:ascii="Symbol" w:hAnsi="Symbol"/>
      </w:rPr>
    </w:lvl>
    <w:lvl w:ilvl="7" w:tplc="0A952606">
      <w:start w:val="1"/>
      <w:numFmt w:val="bullet"/>
      <w:suff w:val="tab"/>
      <w:lvlText w:val="o"/>
      <w:lvlJc w:val="left"/>
      <w:pPr>
        <w:ind w:hanging="360" w:left="5760"/>
        <w:tabs>
          <w:tab w:val="left" w:pos="5760" w:leader="none"/>
        </w:tabs>
      </w:pPr>
      <w:rPr>
        <w:rFonts w:ascii="Courier New" w:hAnsi="Courier New"/>
      </w:rPr>
    </w:lvl>
    <w:lvl w:ilvl="8" w:tplc="4927FD05">
      <w:start w:val="1"/>
      <w:numFmt w:val="bullet"/>
      <w:suff w:val="tab"/>
      <w:lvlText w:val=""/>
      <w:lvlJc w:val="left"/>
      <w:pPr>
        <w:ind w:hanging="360" w:left="6480"/>
        <w:tabs>
          <w:tab w:val="left" w:pos="6480" w:leader="none"/>
        </w:tabs>
      </w:pPr>
      <w:rPr>
        <w:rFonts w:ascii="Wingdings" w:hAnsi="Wingdings"/>
      </w:rPr>
    </w:lvl>
  </w:abstractNum>
  <w:abstractNum w:abstractNumId="18">
    <w:nsid w:val="55B837BB"/>
    <w:multiLevelType w:val="hybridMultilevel"/>
    <w:lvl w:ilvl="0" w:tplc="76754441">
      <w:start w:val="1"/>
      <w:numFmt w:val="bullet"/>
      <w:suff w:val="tab"/>
      <w:lvlText w:val=""/>
      <w:lvlJc w:val="left"/>
      <w:pPr>
        <w:ind w:hanging="360" w:left="360"/>
        <w:tabs>
          <w:tab w:val="left" w:pos="360" w:leader="none"/>
        </w:tabs>
      </w:pPr>
      <w:rPr>
        <w:rFonts w:ascii="Wingdings" w:hAnsi="Wingdings"/>
      </w:rPr>
    </w:lvl>
    <w:lvl w:ilvl="1" w:tplc="6C0DBE35">
      <w:start w:val="1"/>
      <w:numFmt w:val="bullet"/>
      <w:suff w:val="tab"/>
      <w:lvlText w:val=""/>
      <w:lvlJc w:val="left"/>
      <w:pPr>
        <w:ind w:hanging="360" w:left="720"/>
        <w:tabs>
          <w:tab w:val="left" w:pos="720" w:leader="none"/>
        </w:tabs>
      </w:pPr>
      <w:rPr>
        <w:rFonts w:ascii="Wingdings" w:hAnsi="Wingdings"/>
      </w:rPr>
    </w:lvl>
    <w:lvl w:ilvl="2" w:tplc="1C981D33">
      <w:start w:val="1"/>
      <w:numFmt w:val="bullet"/>
      <w:suff w:val="tab"/>
      <w:lvlText w:val=""/>
      <w:lvlJc w:val="left"/>
      <w:pPr>
        <w:ind w:hanging="360" w:left="1080"/>
        <w:tabs>
          <w:tab w:val="left" w:pos="1080" w:leader="none"/>
        </w:tabs>
      </w:pPr>
      <w:rPr>
        <w:rFonts w:ascii="Wingdings" w:hAnsi="Wingdings"/>
      </w:rPr>
    </w:lvl>
    <w:lvl w:ilvl="3" w:tplc="417B309F">
      <w:start w:val="1"/>
      <w:numFmt w:val="bullet"/>
      <w:suff w:val="tab"/>
      <w:lvlText w:val=""/>
      <w:lvlJc w:val="left"/>
      <w:pPr>
        <w:ind w:hanging="360" w:left="1440"/>
        <w:tabs>
          <w:tab w:val="left" w:pos="1440" w:leader="none"/>
        </w:tabs>
      </w:pPr>
      <w:rPr>
        <w:rFonts w:ascii="Symbol" w:hAnsi="Symbol"/>
      </w:rPr>
    </w:lvl>
    <w:lvl w:ilvl="4" w:tplc="795801C6">
      <w:start w:val="1"/>
      <w:numFmt w:val="bullet"/>
      <w:suff w:val="tab"/>
      <w:lvlText w:val=""/>
      <w:lvlJc w:val="left"/>
      <w:pPr>
        <w:ind w:hanging="360" w:left="1800"/>
        <w:tabs>
          <w:tab w:val="left" w:pos="1800" w:leader="none"/>
        </w:tabs>
      </w:pPr>
      <w:rPr>
        <w:rFonts w:ascii="Symbol" w:hAnsi="Symbol"/>
      </w:rPr>
    </w:lvl>
    <w:lvl w:ilvl="5" w:tplc="7DD16453">
      <w:start w:val="1"/>
      <w:numFmt w:val="bullet"/>
      <w:suff w:val="tab"/>
      <w:lvlText w:val=""/>
      <w:lvlJc w:val="left"/>
      <w:pPr>
        <w:ind w:hanging="360" w:left="2160"/>
        <w:tabs>
          <w:tab w:val="left" w:pos="2160" w:leader="none"/>
        </w:tabs>
      </w:pPr>
      <w:rPr>
        <w:rFonts w:ascii="Wingdings" w:hAnsi="Wingdings"/>
      </w:rPr>
    </w:lvl>
    <w:lvl w:ilvl="6" w:tplc="19ECF832">
      <w:start w:val="1"/>
      <w:numFmt w:val="bullet"/>
      <w:suff w:val="tab"/>
      <w:lvlText w:val=""/>
      <w:lvlJc w:val="left"/>
      <w:pPr>
        <w:ind w:hanging="360" w:left="2520"/>
        <w:tabs>
          <w:tab w:val="left" w:pos="2520" w:leader="none"/>
        </w:tabs>
      </w:pPr>
      <w:rPr>
        <w:rFonts w:ascii="Wingdings" w:hAnsi="Wingdings"/>
      </w:rPr>
    </w:lvl>
    <w:lvl w:ilvl="7" w:tplc="155DBA3B">
      <w:start w:val="1"/>
      <w:numFmt w:val="bullet"/>
      <w:suff w:val="tab"/>
      <w:lvlText w:val=""/>
      <w:lvlJc w:val="left"/>
      <w:pPr>
        <w:ind w:hanging="360" w:left="2880"/>
        <w:tabs>
          <w:tab w:val="left" w:pos="2880" w:leader="none"/>
        </w:tabs>
      </w:pPr>
      <w:rPr>
        <w:rFonts w:ascii="Symbol" w:hAnsi="Symbol"/>
      </w:rPr>
    </w:lvl>
    <w:lvl w:ilvl="8" w:tplc="08B31C47">
      <w:start w:val="1"/>
      <w:numFmt w:val="bullet"/>
      <w:suff w:val="tab"/>
      <w:lvlText w:val=""/>
      <w:lvlJc w:val="left"/>
      <w:pPr>
        <w:ind w:hanging="360" w:left="3240"/>
        <w:tabs>
          <w:tab w:val="left" w:pos="3240" w:leader="none"/>
        </w:tabs>
      </w:pPr>
      <w:rPr>
        <w:rFonts w:ascii="Symbol" w:hAnsi="Symbol"/>
      </w:rPr>
    </w:lvl>
  </w:abstractNum>
  <w:abstractNum w:abstractNumId="19">
    <w:nsid w:val="560E10DA"/>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0">
    <w:nsid w:val="5811472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
    <w:nsid w:val="58B611CE"/>
    <w:multiLevelType w:val="hybridMultilevel"/>
    <w:lvl w:ilvl="0" w:tplc="0C53DBB3">
      <w:start w:val="1"/>
      <w:numFmt w:val="bullet"/>
      <w:suff w:val="tab"/>
      <w:lvlText w:val=""/>
      <w:lvlJc w:val="left"/>
      <w:pPr>
        <w:ind w:hanging="397" w:left="567"/>
        <w:tabs>
          <w:tab w:val="left" w:pos="567" w:leader="none"/>
        </w:tabs>
      </w:pPr>
      <w:rPr>
        <w:rFonts w:ascii="Wingdings" w:hAnsi="Wingdings"/>
      </w:rPr>
    </w:lvl>
    <w:lvl w:ilvl="1" w:tplc="3C3CB3E3">
      <w:start w:val="1"/>
      <w:numFmt w:val="bullet"/>
      <w:suff w:val="tab"/>
      <w:lvlText w:val="o"/>
      <w:lvlJc w:val="left"/>
      <w:pPr>
        <w:ind w:hanging="360" w:left="1440"/>
        <w:tabs>
          <w:tab w:val="left" w:pos="1440" w:leader="none"/>
        </w:tabs>
      </w:pPr>
      <w:rPr>
        <w:rFonts w:ascii="Courier New" w:hAnsi="Courier New"/>
      </w:rPr>
    </w:lvl>
    <w:lvl w:ilvl="2" w:tplc="520A6016">
      <w:start w:val="1"/>
      <w:numFmt w:val="bullet"/>
      <w:suff w:val="tab"/>
      <w:lvlText w:val=""/>
      <w:lvlJc w:val="left"/>
      <w:pPr>
        <w:ind w:hanging="360" w:left="2160"/>
        <w:tabs>
          <w:tab w:val="left" w:pos="2160" w:leader="none"/>
        </w:tabs>
      </w:pPr>
      <w:rPr>
        <w:rFonts w:ascii="Wingdings" w:hAnsi="Wingdings"/>
      </w:rPr>
    </w:lvl>
    <w:lvl w:ilvl="3" w:tplc="29FB7CFA">
      <w:start w:val="1"/>
      <w:numFmt w:val="bullet"/>
      <w:suff w:val="tab"/>
      <w:lvlText w:val=""/>
      <w:lvlJc w:val="left"/>
      <w:pPr>
        <w:ind w:hanging="360" w:left="2880"/>
        <w:tabs>
          <w:tab w:val="left" w:pos="2880" w:leader="none"/>
        </w:tabs>
      </w:pPr>
      <w:rPr>
        <w:rFonts w:ascii="Symbol" w:hAnsi="Symbol"/>
      </w:rPr>
    </w:lvl>
    <w:lvl w:ilvl="4" w:tplc="0CAFD38E">
      <w:start w:val="1"/>
      <w:numFmt w:val="bullet"/>
      <w:suff w:val="tab"/>
      <w:lvlText w:val="o"/>
      <w:lvlJc w:val="left"/>
      <w:pPr>
        <w:ind w:hanging="360" w:left="3600"/>
        <w:tabs>
          <w:tab w:val="left" w:pos="3600" w:leader="none"/>
        </w:tabs>
      </w:pPr>
      <w:rPr>
        <w:rFonts w:ascii="Courier New" w:hAnsi="Courier New"/>
      </w:rPr>
    </w:lvl>
    <w:lvl w:ilvl="5" w:tplc="28685762">
      <w:start w:val="1"/>
      <w:numFmt w:val="bullet"/>
      <w:suff w:val="tab"/>
      <w:lvlText w:val=""/>
      <w:lvlJc w:val="left"/>
      <w:pPr>
        <w:ind w:hanging="360" w:left="4320"/>
        <w:tabs>
          <w:tab w:val="left" w:pos="4320" w:leader="none"/>
        </w:tabs>
      </w:pPr>
      <w:rPr>
        <w:rFonts w:ascii="Wingdings" w:hAnsi="Wingdings"/>
      </w:rPr>
    </w:lvl>
    <w:lvl w:ilvl="6" w:tplc="250272B1">
      <w:start w:val="1"/>
      <w:numFmt w:val="bullet"/>
      <w:suff w:val="tab"/>
      <w:lvlText w:val=""/>
      <w:lvlJc w:val="left"/>
      <w:pPr>
        <w:ind w:hanging="360" w:left="5040"/>
        <w:tabs>
          <w:tab w:val="left" w:pos="5040" w:leader="none"/>
        </w:tabs>
      </w:pPr>
      <w:rPr>
        <w:rFonts w:ascii="Symbol" w:hAnsi="Symbol"/>
      </w:rPr>
    </w:lvl>
    <w:lvl w:ilvl="7" w:tplc="34E2C670">
      <w:start w:val="1"/>
      <w:numFmt w:val="bullet"/>
      <w:suff w:val="tab"/>
      <w:lvlText w:val="o"/>
      <w:lvlJc w:val="left"/>
      <w:pPr>
        <w:ind w:hanging="360" w:left="5760"/>
        <w:tabs>
          <w:tab w:val="left" w:pos="5760" w:leader="none"/>
        </w:tabs>
      </w:pPr>
      <w:rPr>
        <w:rFonts w:ascii="Courier New" w:hAnsi="Courier New"/>
      </w:rPr>
    </w:lvl>
    <w:lvl w:ilvl="8" w:tplc="278B5271">
      <w:start w:val="1"/>
      <w:numFmt w:val="bullet"/>
      <w:suff w:val="tab"/>
      <w:lvlText w:val=""/>
      <w:lvlJc w:val="left"/>
      <w:pPr>
        <w:ind w:hanging="360" w:left="6480"/>
        <w:tabs>
          <w:tab w:val="left" w:pos="6480" w:leader="none"/>
        </w:tabs>
      </w:pPr>
      <w:rPr>
        <w:rFonts w:ascii="Wingdings" w:hAnsi="Wingdings"/>
      </w:rPr>
    </w:lvl>
  </w:abstractNum>
  <w:abstractNum w:abstractNumId="22">
    <w:nsid w:val="5CEC1CA5"/>
    <w:multiLevelType w:val="hybridMultilevel"/>
    <w:lvl w:ilvl="0" w:tplc="79FB3835">
      <w:start w:val="1"/>
      <w:numFmt w:val="bullet"/>
      <w:suff w:val="tab"/>
      <w:lvlText w:val=""/>
      <w:lvlJc w:val="left"/>
      <w:pPr>
        <w:ind w:hanging="397" w:left="567"/>
        <w:tabs>
          <w:tab w:val="left" w:pos="567" w:leader="none"/>
        </w:tabs>
      </w:pPr>
      <w:rPr>
        <w:rFonts w:ascii="Wingdings" w:hAnsi="Wingdings"/>
      </w:rPr>
    </w:lvl>
    <w:lvl w:ilvl="1" w:tplc="67354C9C">
      <w:start w:val="1"/>
      <w:numFmt w:val="bullet"/>
      <w:suff w:val="tab"/>
      <w:lvlText w:val="o"/>
      <w:lvlJc w:val="left"/>
      <w:pPr>
        <w:ind w:hanging="360" w:left="1440"/>
        <w:tabs>
          <w:tab w:val="left" w:pos="1440" w:leader="none"/>
        </w:tabs>
      </w:pPr>
      <w:rPr>
        <w:rFonts w:ascii="Courier New" w:hAnsi="Courier New"/>
      </w:rPr>
    </w:lvl>
    <w:lvl w:ilvl="2" w:tplc="734992DC">
      <w:start w:val="1"/>
      <w:numFmt w:val="bullet"/>
      <w:suff w:val="tab"/>
      <w:lvlText w:val=""/>
      <w:lvlJc w:val="left"/>
      <w:pPr>
        <w:ind w:hanging="360" w:left="2160"/>
        <w:tabs>
          <w:tab w:val="left" w:pos="2160" w:leader="none"/>
        </w:tabs>
      </w:pPr>
      <w:rPr>
        <w:rFonts w:ascii="Wingdings" w:hAnsi="Wingdings"/>
      </w:rPr>
    </w:lvl>
    <w:lvl w:ilvl="3" w:tplc="615AFE71">
      <w:start w:val="1"/>
      <w:numFmt w:val="bullet"/>
      <w:suff w:val="tab"/>
      <w:lvlText w:val=""/>
      <w:lvlJc w:val="left"/>
      <w:pPr>
        <w:ind w:hanging="360" w:left="2880"/>
        <w:tabs>
          <w:tab w:val="left" w:pos="2880" w:leader="none"/>
        </w:tabs>
      </w:pPr>
      <w:rPr>
        <w:rFonts w:ascii="Symbol" w:hAnsi="Symbol"/>
      </w:rPr>
    </w:lvl>
    <w:lvl w:ilvl="4" w:tplc="3D473C2A">
      <w:start w:val="1"/>
      <w:numFmt w:val="bullet"/>
      <w:suff w:val="tab"/>
      <w:lvlText w:val="o"/>
      <w:lvlJc w:val="left"/>
      <w:pPr>
        <w:ind w:hanging="360" w:left="3600"/>
        <w:tabs>
          <w:tab w:val="left" w:pos="3600" w:leader="none"/>
        </w:tabs>
      </w:pPr>
      <w:rPr>
        <w:rFonts w:ascii="Courier New" w:hAnsi="Courier New"/>
      </w:rPr>
    </w:lvl>
    <w:lvl w:ilvl="5" w:tplc="7A3A37E5">
      <w:start w:val="1"/>
      <w:numFmt w:val="bullet"/>
      <w:suff w:val="tab"/>
      <w:lvlText w:val=""/>
      <w:lvlJc w:val="left"/>
      <w:pPr>
        <w:ind w:hanging="360" w:left="4320"/>
        <w:tabs>
          <w:tab w:val="left" w:pos="4320" w:leader="none"/>
        </w:tabs>
      </w:pPr>
      <w:rPr>
        <w:rFonts w:ascii="Wingdings" w:hAnsi="Wingdings"/>
      </w:rPr>
    </w:lvl>
    <w:lvl w:ilvl="6" w:tplc="2CE13E47">
      <w:start w:val="1"/>
      <w:numFmt w:val="bullet"/>
      <w:suff w:val="tab"/>
      <w:lvlText w:val=""/>
      <w:lvlJc w:val="left"/>
      <w:pPr>
        <w:ind w:hanging="360" w:left="5040"/>
        <w:tabs>
          <w:tab w:val="left" w:pos="5040" w:leader="none"/>
        </w:tabs>
      </w:pPr>
      <w:rPr>
        <w:rFonts w:ascii="Symbol" w:hAnsi="Symbol"/>
      </w:rPr>
    </w:lvl>
    <w:lvl w:ilvl="7" w:tplc="49B36171">
      <w:start w:val="1"/>
      <w:numFmt w:val="bullet"/>
      <w:suff w:val="tab"/>
      <w:lvlText w:val="o"/>
      <w:lvlJc w:val="left"/>
      <w:pPr>
        <w:ind w:hanging="360" w:left="5760"/>
        <w:tabs>
          <w:tab w:val="left" w:pos="5760" w:leader="none"/>
        </w:tabs>
      </w:pPr>
      <w:rPr>
        <w:rFonts w:ascii="Courier New" w:hAnsi="Courier New"/>
      </w:rPr>
    </w:lvl>
    <w:lvl w:ilvl="8" w:tplc="19703D79">
      <w:start w:val="1"/>
      <w:numFmt w:val="bullet"/>
      <w:suff w:val="tab"/>
      <w:lvlText w:val=""/>
      <w:lvlJc w:val="left"/>
      <w:pPr>
        <w:ind w:hanging="360" w:left="6480"/>
        <w:tabs>
          <w:tab w:val="left" w:pos="6480" w:leader="none"/>
        </w:tabs>
      </w:pPr>
      <w:rPr>
        <w:rFonts w:ascii="Wingdings" w:hAnsi="Wingdings"/>
      </w:rPr>
    </w:lvl>
  </w:abstractNum>
  <w:abstractNum w:abstractNumId="23">
    <w:nsid w:val="6D0107AC"/>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4">
    <w:nsid w:val="7173190F"/>
    <w:multiLevelType w:val="hybridMultilevel"/>
    <w:lvl w:ilvl="0" w:tplc="7D1A82F3">
      <w:start w:val="1"/>
      <w:numFmt w:val="bullet"/>
      <w:suff w:val="tab"/>
      <w:lvlText w:val=""/>
      <w:lvlJc w:val="left"/>
      <w:pPr>
        <w:ind w:firstLine="0" w:left="170"/>
        <w:tabs>
          <w:tab w:val="left" w:pos="530" w:leader="none"/>
        </w:tabs>
      </w:pPr>
      <w:rPr>
        <w:rFonts w:ascii="Wingdings" w:hAnsi="Wingdings"/>
      </w:rPr>
    </w:lvl>
    <w:lvl w:ilvl="1" w:tplc="4B21FD03">
      <w:start w:val="1"/>
      <w:numFmt w:val="bullet"/>
      <w:suff w:val="tab"/>
      <w:lvlText w:val="o"/>
      <w:lvlJc w:val="left"/>
      <w:pPr>
        <w:ind w:hanging="360" w:left="1440"/>
        <w:tabs>
          <w:tab w:val="left" w:pos="1440" w:leader="none"/>
        </w:tabs>
      </w:pPr>
      <w:rPr>
        <w:rFonts w:ascii="Courier New" w:hAnsi="Courier New"/>
      </w:rPr>
    </w:lvl>
    <w:lvl w:ilvl="2" w:tplc="6565BEDB">
      <w:start w:val="1"/>
      <w:numFmt w:val="bullet"/>
      <w:suff w:val="tab"/>
      <w:lvlText w:val=""/>
      <w:lvlJc w:val="left"/>
      <w:pPr>
        <w:ind w:hanging="360" w:left="2160"/>
        <w:tabs>
          <w:tab w:val="left" w:pos="2160" w:leader="none"/>
        </w:tabs>
      </w:pPr>
      <w:rPr>
        <w:rFonts w:ascii="Wingdings" w:hAnsi="Wingdings"/>
      </w:rPr>
    </w:lvl>
    <w:lvl w:ilvl="3" w:tplc="0138EC82">
      <w:start w:val="1"/>
      <w:numFmt w:val="bullet"/>
      <w:suff w:val="tab"/>
      <w:lvlText w:val=""/>
      <w:lvlJc w:val="left"/>
      <w:pPr>
        <w:ind w:hanging="360" w:left="2880"/>
        <w:tabs>
          <w:tab w:val="left" w:pos="2880" w:leader="none"/>
        </w:tabs>
      </w:pPr>
      <w:rPr>
        <w:rFonts w:ascii="Symbol" w:hAnsi="Symbol"/>
      </w:rPr>
    </w:lvl>
    <w:lvl w:ilvl="4" w:tplc="663399E5">
      <w:start w:val="1"/>
      <w:numFmt w:val="bullet"/>
      <w:suff w:val="tab"/>
      <w:lvlText w:val="o"/>
      <w:lvlJc w:val="left"/>
      <w:pPr>
        <w:ind w:hanging="360" w:left="3600"/>
        <w:tabs>
          <w:tab w:val="left" w:pos="3600" w:leader="none"/>
        </w:tabs>
      </w:pPr>
      <w:rPr>
        <w:rFonts w:ascii="Courier New" w:hAnsi="Courier New"/>
      </w:rPr>
    </w:lvl>
    <w:lvl w:ilvl="5" w:tplc="67381A44">
      <w:start w:val="1"/>
      <w:numFmt w:val="bullet"/>
      <w:suff w:val="tab"/>
      <w:lvlText w:val=""/>
      <w:lvlJc w:val="left"/>
      <w:pPr>
        <w:ind w:hanging="360" w:left="4320"/>
        <w:tabs>
          <w:tab w:val="left" w:pos="4320" w:leader="none"/>
        </w:tabs>
      </w:pPr>
      <w:rPr>
        <w:rFonts w:ascii="Wingdings" w:hAnsi="Wingdings"/>
      </w:rPr>
    </w:lvl>
    <w:lvl w:ilvl="6" w:tplc="19A32AF1">
      <w:start w:val="1"/>
      <w:numFmt w:val="bullet"/>
      <w:suff w:val="tab"/>
      <w:lvlText w:val=""/>
      <w:lvlJc w:val="left"/>
      <w:pPr>
        <w:ind w:hanging="360" w:left="5040"/>
        <w:tabs>
          <w:tab w:val="left" w:pos="5040" w:leader="none"/>
        </w:tabs>
      </w:pPr>
      <w:rPr>
        <w:rFonts w:ascii="Symbol" w:hAnsi="Symbol"/>
      </w:rPr>
    </w:lvl>
    <w:lvl w:ilvl="7" w:tplc="6F72B195">
      <w:start w:val="1"/>
      <w:numFmt w:val="bullet"/>
      <w:suff w:val="tab"/>
      <w:lvlText w:val="o"/>
      <w:lvlJc w:val="left"/>
      <w:pPr>
        <w:ind w:hanging="360" w:left="5760"/>
        <w:tabs>
          <w:tab w:val="left" w:pos="5760" w:leader="none"/>
        </w:tabs>
      </w:pPr>
      <w:rPr>
        <w:rFonts w:ascii="Courier New" w:hAnsi="Courier New"/>
      </w:rPr>
    </w:lvl>
    <w:lvl w:ilvl="8" w:tplc="409C4131">
      <w:start w:val="1"/>
      <w:numFmt w:val="bullet"/>
      <w:suff w:val="tab"/>
      <w:lvlText w:val=""/>
      <w:lvlJc w:val="left"/>
      <w:pPr>
        <w:ind w:hanging="360" w:left="6480"/>
        <w:tabs>
          <w:tab w:val="left" w:pos="6480" w:leader="none"/>
        </w:tabs>
      </w:pPr>
      <w:rPr>
        <w:rFonts w:ascii="Wingdings" w:hAnsi="Wingdings"/>
      </w:rPr>
    </w:lvl>
  </w:abstractNum>
  <w:abstractNum w:abstractNumId="25">
    <w:nsid w:val="72C946C4"/>
    <w:multiLevelType w:val="hybridMultilevel"/>
    <w:lvl w:ilvl="0" w:tplc="2041C8EC">
      <w:start w:val="1"/>
      <w:numFmt w:val="bullet"/>
      <w:suff w:val="tab"/>
      <w:lvlText w:val=""/>
      <w:lvlJc w:val="left"/>
      <w:pPr>
        <w:ind w:hanging="397" w:left="567"/>
        <w:tabs>
          <w:tab w:val="left" w:pos="567" w:leader="none"/>
        </w:tabs>
      </w:pPr>
      <w:rPr>
        <w:rFonts w:ascii="Wingdings" w:hAnsi="Wingdings"/>
      </w:rPr>
    </w:lvl>
    <w:lvl w:ilvl="1" w:tplc="0CA0E67B">
      <w:start w:val="1"/>
      <w:numFmt w:val="bullet"/>
      <w:suff w:val="tab"/>
      <w:lvlText w:val="o"/>
      <w:lvlJc w:val="left"/>
      <w:pPr>
        <w:ind w:hanging="360" w:left="1440"/>
        <w:tabs>
          <w:tab w:val="left" w:pos="1440" w:leader="none"/>
        </w:tabs>
      </w:pPr>
      <w:rPr>
        <w:rFonts w:ascii="Courier New" w:hAnsi="Courier New"/>
      </w:rPr>
    </w:lvl>
    <w:lvl w:ilvl="2" w:tplc="2DE30943">
      <w:start w:val="1"/>
      <w:numFmt w:val="bullet"/>
      <w:suff w:val="tab"/>
      <w:lvlText w:val=""/>
      <w:lvlJc w:val="left"/>
      <w:pPr>
        <w:ind w:hanging="360" w:left="2160"/>
        <w:tabs>
          <w:tab w:val="left" w:pos="2160" w:leader="none"/>
        </w:tabs>
      </w:pPr>
      <w:rPr>
        <w:rFonts w:ascii="Wingdings" w:hAnsi="Wingdings"/>
      </w:rPr>
    </w:lvl>
    <w:lvl w:ilvl="3" w:tplc="3D87B2A7">
      <w:start w:val="1"/>
      <w:numFmt w:val="bullet"/>
      <w:suff w:val="tab"/>
      <w:lvlText w:val=""/>
      <w:lvlJc w:val="left"/>
      <w:pPr>
        <w:ind w:hanging="360" w:left="2880"/>
        <w:tabs>
          <w:tab w:val="left" w:pos="2880" w:leader="none"/>
        </w:tabs>
      </w:pPr>
      <w:rPr>
        <w:rFonts w:ascii="Symbol" w:hAnsi="Symbol"/>
      </w:rPr>
    </w:lvl>
    <w:lvl w:ilvl="4" w:tplc="6F927F7E">
      <w:start w:val="1"/>
      <w:numFmt w:val="bullet"/>
      <w:suff w:val="tab"/>
      <w:lvlText w:val="o"/>
      <w:lvlJc w:val="left"/>
      <w:pPr>
        <w:ind w:hanging="360" w:left="3600"/>
        <w:tabs>
          <w:tab w:val="left" w:pos="3600" w:leader="none"/>
        </w:tabs>
      </w:pPr>
      <w:rPr>
        <w:rFonts w:ascii="Courier New" w:hAnsi="Courier New"/>
      </w:rPr>
    </w:lvl>
    <w:lvl w:ilvl="5" w:tplc="63897F6D">
      <w:start w:val="1"/>
      <w:numFmt w:val="bullet"/>
      <w:suff w:val="tab"/>
      <w:lvlText w:val=""/>
      <w:lvlJc w:val="left"/>
      <w:pPr>
        <w:ind w:hanging="360" w:left="4320"/>
        <w:tabs>
          <w:tab w:val="left" w:pos="4320" w:leader="none"/>
        </w:tabs>
      </w:pPr>
      <w:rPr>
        <w:rFonts w:ascii="Wingdings" w:hAnsi="Wingdings"/>
      </w:rPr>
    </w:lvl>
    <w:lvl w:ilvl="6" w:tplc="61B6B985">
      <w:start w:val="1"/>
      <w:numFmt w:val="bullet"/>
      <w:suff w:val="tab"/>
      <w:lvlText w:val=""/>
      <w:lvlJc w:val="left"/>
      <w:pPr>
        <w:ind w:hanging="360" w:left="5040"/>
        <w:tabs>
          <w:tab w:val="left" w:pos="5040" w:leader="none"/>
        </w:tabs>
      </w:pPr>
      <w:rPr>
        <w:rFonts w:ascii="Symbol" w:hAnsi="Symbol"/>
      </w:rPr>
    </w:lvl>
    <w:lvl w:ilvl="7" w:tplc="3CB60953">
      <w:start w:val="1"/>
      <w:numFmt w:val="bullet"/>
      <w:suff w:val="tab"/>
      <w:lvlText w:val="o"/>
      <w:lvlJc w:val="left"/>
      <w:pPr>
        <w:ind w:hanging="360" w:left="5760"/>
        <w:tabs>
          <w:tab w:val="left" w:pos="5760" w:leader="none"/>
        </w:tabs>
      </w:pPr>
      <w:rPr>
        <w:rFonts w:ascii="Courier New" w:hAnsi="Courier New"/>
      </w:rPr>
    </w:lvl>
    <w:lvl w:ilvl="8" w:tplc="0B1B2CBC">
      <w:start w:val="1"/>
      <w:numFmt w:val="bullet"/>
      <w:suff w:val="tab"/>
      <w:lvlText w:val=""/>
      <w:lvlJc w:val="left"/>
      <w:pPr>
        <w:ind w:hanging="360" w:left="6480"/>
        <w:tabs>
          <w:tab w:val="left" w:pos="6480" w:leader="none"/>
        </w:tabs>
      </w:pPr>
      <w:rPr>
        <w:rFonts w:ascii="Wingdings" w:hAnsi="Wingdings"/>
      </w:rPr>
    </w:lvl>
  </w:abstractNum>
  <w:abstractNum w:abstractNumId="26">
    <w:nsid w:val="795A3FB2"/>
    <w:multiLevelType w:val="multilevel"/>
    <w:lvl w:ilvl="0">
      <w:start w:val="4"/>
      <w:numFmt w:val="decimal"/>
      <w:suff w:val="tab"/>
      <w:lvlText w:val="(%1)"/>
      <w:lvlJc w:val="left"/>
      <w:pPr>
        <w:ind w:hanging="720" w:left="1620"/>
        <w:tabs>
          <w:tab w:val="left" w:pos="1620" w:leader="none"/>
        </w:tabs>
      </w:pPr>
      <w:rPr/>
    </w:lvl>
    <w:lvl w:ilvl="1">
      <w:start w:val="1"/>
      <w:numFmt w:val="lowerLetter"/>
      <w:suff w:val="tab"/>
      <w:lvlText w:val="%2."/>
      <w:lvlJc w:val="left"/>
      <w:pPr>
        <w:ind w:hanging="360" w:left="1980"/>
        <w:tabs>
          <w:tab w:val="left" w:pos="1980" w:leader="none"/>
        </w:tabs>
      </w:pPr>
      <w:rPr/>
    </w:lvl>
    <w:lvl w:ilvl="2">
      <w:start w:val="1"/>
      <w:numFmt w:val="lowerRoman"/>
      <w:suff w:val="tab"/>
      <w:lvlText w:val="%3."/>
      <w:lvlJc w:val="right"/>
      <w:pPr>
        <w:ind w:hanging="180" w:left="2700"/>
        <w:tabs>
          <w:tab w:val="left" w:pos="2700" w:leader="none"/>
        </w:tabs>
      </w:pPr>
      <w:rPr/>
    </w:lvl>
    <w:lvl w:ilvl="3">
      <w:start w:val="1"/>
      <w:numFmt w:val="decimal"/>
      <w:suff w:val="tab"/>
      <w:lvlText w:val="%4."/>
      <w:lvlJc w:val="left"/>
      <w:pPr>
        <w:ind w:hanging="360" w:left="3420"/>
        <w:tabs>
          <w:tab w:val="left" w:pos="3420" w:leader="none"/>
        </w:tabs>
      </w:pPr>
      <w:rPr/>
    </w:lvl>
    <w:lvl w:ilvl="4">
      <w:start w:val="1"/>
      <w:numFmt w:val="lowerLetter"/>
      <w:suff w:val="tab"/>
      <w:lvlText w:val="%5."/>
      <w:lvlJc w:val="left"/>
      <w:pPr>
        <w:ind w:hanging="360" w:left="4140"/>
        <w:tabs>
          <w:tab w:val="left" w:pos="4140" w:leader="none"/>
        </w:tabs>
      </w:pPr>
      <w:rPr/>
    </w:lvl>
    <w:lvl w:ilvl="5">
      <w:start w:val="1"/>
      <w:numFmt w:val="lowerRoman"/>
      <w:suff w:val="tab"/>
      <w:lvlText w:val="%6."/>
      <w:lvlJc w:val="right"/>
      <w:pPr>
        <w:ind w:hanging="180" w:left="4860"/>
        <w:tabs>
          <w:tab w:val="left" w:pos="4860" w:leader="none"/>
        </w:tabs>
      </w:pPr>
      <w:rPr/>
    </w:lvl>
    <w:lvl w:ilvl="6">
      <w:start w:val="1"/>
      <w:numFmt w:val="decimal"/>
      <w:suff w:val="tab"/>
      <w:lvlText w:val="%7."/>
      <w:lvlJc w:val="left"/>
      <w:pPr>
        <w:ind w:hanging="360" w:left="5580"/>
        <w:tabs>
          <w:tab w:val="left" w:pos="5580" w:leader="none"/>
        </w:tabs>
      </w:pPr>
      <w:rPr/>
    </w:lvl>
    <w:lvl w:ilvl="7">
      <w:start w:val="1"/>
      <w:numFmt w:val="lowerLetter"/>
      <w:suff w:val="tab"/>
      <w:lvlText w:val="%8."/>
      <w:lvlJc w:val="left"/>
      <w:pPr>
        <w:ind w:hanging="360" w:left="6300"/>
        <w:tabs>
          <w:tab w:val="left" w:pos="6300" w:leader="none"/>
        </w:tabs>
      </w:pPr>
      <w:rPr/>
    </w:lvl>
    <w:lvl w:ilvl="8">
      <w:start w:val="1"/>
      <w:numFmt w:val="lowerRoman"/>
      <w:suff w:val="tab"/>
      <w:lvlText w:val="%9."/>
      <w:lvlJc w:val="right"/>
      <w:pPr>
        <w:ind w:hanging="180" w:left="7020"/>
        <w:tabs>
          <w:tab w:val="left" w:pos="7020" w:leader="none"/>
        </w:tabs>
      </w:pPr>
      <w:rPr/>
    </w:lvl>
  </w:abstractNum>
  <w:abstractNum w:abstractNumId="27">
    <w:nsid w:val="7C7C71AC"/>
    <w:multiLevelType w:val="hybridMultilevel"/>
    <w:lvl w:ilvl="0" w:tplc="15738618">
      <w:start w:val="1"/>
      <w:numFmt w:val="bullet"/>
      <w:suff w:val="tab"/>
      <w:lvlText w:val=""/>
      <w:lvlJc w:val="left"/>
      <w:pPr>
        <w:ind w:firstLine="0" w:left="170"/>
        <w:tabs>
          <w:tab w:val="left" w:pos="530" w:leader="none"/>
        </w:tabs>
      </w:pPr>
      <w:rPr>
        <w:rFonts w:ascii="Wingdings" w:hAnsi="Wingdings"/>
      </w:rPr>
    </w:lvl>
    <w:lvl w:ilvl="1" w:tplc="6D3CD7E4">
      <w:start w:val="1"/>
      <w:numFmt w:val="bullet"/>
      <w:suff w:val="tab"/>
      <w:lvlText w:val=""/>
      <w:lvlJc w:val="left"/>
      <w:pPr>
        <w:ind w:hanging="397" w:left="567"/>
        <w:tabs>
          <w:tab w:val="left" w:pos="567" w:leader="none"/>
        </w:tabs>
      </w:pPr>
      <w:rPr>
        <w:rFonts w:ascii="Wingdings" w:hAnsi="Wingdings"/>
      </w:rPr>
    </w:lvl>
    <w:lvl w:ilvl="2" w:tplc="4FDFEFB3">
      <w:start w:val="1"/>
      <w:numFmt w:val="bullet"/>
      <w:suff w:val="tab"/>
      <w:lvlText w:val=""/>
      <w:lvlJc w:val="left"/>
      <w:pPr>
        <w:ind w:hanging="360" w:left="2160"/>
        <w:tabs>
          <w:tab w:val="left" w:pos="2160" w:leader="none"/>
        </w:tabs>
      </w:pPr>
      <w:rPr>
        <w:rFonts w:ascii="Wingdings" w:hAnsi="Wingdings"/>
      </w:rPr>
    </w:lvl>
    <w:lvl w:ilvl="3" w:tplc="1307CD55">
      <w:start w:val="1"/>
      <w:numFmt w:val="bullet"/>
      <w:suff w:val="tab"/>
      <w:lvlText w:val=""/>
      <w:lvlJc w:val="left"/>
      <w:pPr>
        <w:ind w:hanging="360" w:left="2880"/>
        <w:tabs>
          <w:tab w:val="left" w:pos="2880" w:leader="none"/>
        </w:tabs>
      </w:pPr>
      <w:rPr>
        <w:rFonts w:ascii="Symbol" w:hAnsi="Symbol"/>
      </w:rPr>
    </w:lvl>
    <w:lvl w:ilvl="4" w:tplc="0739996C">
      <w:start w:val="1"/>
      <w:numFmt w:val="bullet"/>
      <w:suff w:val="tab"/>
      <w:lvlText w:val="o"/>
      <w:lvlJc w:val="left"/>
      <w:pPr>
        <w:ind w:hanging="360" w:left="3600"/>
        <w:tabs>
          <w:tab w:val="left" w:pos="3600" w:leader="none"/>
        </w:tabs>
      </w:pPr>
      <w:rPr>
        <w:rFonts w:ascii="Courier New" w:hAnsi="Courier New"/>
      </w:rPr>
    </w:lvl>
    <w:lvl w:ilvl="5" w:tplc="724A2A6D">
      <w:start w:val="1"/>
      <w:numFmt w:val="bullet"/>
      <w:suff w:val="tab"/>
      <w:lvlText w:val=""/>
      <w:lvlJc w:val="left"/>
      <w:pPr>
        <w:ind w:hanging="360" w:left="4320"/>
        <w:tabs>
          <w:tab w:val="left" w:pos="4320" w:leader="none"/>
        </w:tabs>
      </w:pPr>
      <w:rPr>
        <w:rFonts w:ascii="Wingdings" w:hAnsi="Wingdings"/>
      </w:rPr>
    </w:lvl>
    <w:lvl w:ilvl="6" w:tplc="4B18619F">
      <w:start w:val="1"/>
      <w:numFmt w:val="bullet"/>
      <w:suff w:val="tab"/>
      <w:lvlText w:val=""/>
      <w:lvlJc w:val="left"/>
      <w:pPr>
        <w:ind w:hanging="360" w:left="5040"/>
        <w:tabs>
          <w:tab w:val="left" w:pos="5040" w:leader="none"/>
        </w:tabs>
      </w:pPr>
      <w:rPr>
        <w:rFonts w:ascii="Symbol" w:hAnsi="Symbol"/>
      </w:rPr>
    </w:lvl>
    <w:lvl w:ilvl="7" w:tplc="76C63074">
      <w:start w:val="1"/>
      <w:numFmt w:val="bullet"/>
      <w:suff w:val="tab"/>
      <w:lvlText w:val="o"/>
      <w:lvlJc w:val="left"/>
      <w:pPr>
        <w:ind w:hanging="360" w:left="5760"/>
        <w:tabs>
          <w:tab w:val="left" w:pos="5760" w:leader="none"/>
        </w:tabs>
      </w:pPr>
      <w:rPr>
        <w:rFonts w:ascii="Courier New" w:hAnsi="Courier New"/>
      </w:rPr>
    </w:lvl>
    <w:lvl w:ilvl="8" w:tplc="235FD969">
      <w:start w:val="1"/>
      <w:numFmt w:val="bullet"/>
      <w:suff w:val="tab"/>
      <w:lvlText w:val=""/>
      <w:lvlJc w:val="left"/>
      <w:pPr>
        <w:ind w:hanging="360" w:left="6480"/>
        <w:tabs>
          <w:tab w:val="left" w:pos="6480" w:leader="none"/>
        </w:tabs>
      </w:pPr>
      <w:rPr>
        <w:rFonts w:ascii="Wingdings" w:hAnsi="Wingdings"/>
      </w:rPr>
    </w:lvl>
  </w:abstractNum>
  <w:abstractNum w:abstractNumId="28">
    <w:nsid w:val="7DE35464"/>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9">
    <w:nsid w:val="7F826340"/>
    <w:multiLevelType w:val="hybridMultilevel"/>
    <w:lvl w:ilvl="0">
      <w:start w:val="1"/>
      <w:numFmt w:val="lowerLetter"/>
      <w:suff w:val="tab"/>
      <w:lvlText w:val="%1)"/>
      <w:lvlJc w:val="left"/>
      <w:pPr>
        <w:ind w:hanging="360" w:left="720"/>
        <w:tabs>
          <w:tab w:val="left" w:pos="720" w:leader="none"/>
        </w:tabs>
      </w:pPr>
      <w:rPr/>
    </w:lvl>
    <w:lvl w:ilvl="1" w:tplc="55DE6A28">
      <w:start w:val="2"/>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5"/>
  </w:num>
  <w:num w:numId="2">
    <w:abstractNumId w:val="7"/>
  </w:num>
  <w:num w:numId="3">
    <w:abstractNumId w:val="20"/>
  </w:num>
  <w:num w:numId="4">
    <w:abstractNumId w:val="26"/>
  </w:num>
  <w:num w:numId="5">
    <w:abstractNumId w:val="9"/>
  </w:num>
  <w:num w:numId="6">
    <w:abstractNumId w:val="5"/>
  </w:num>
  <w:num w:numId="7">
    <w:abstractNumId w:val="28"/>
  </w:num>
  <w:num w:numId="8">
    <w:abstractNumId w:val="29"/>
  </w:num>
  <w:num w:numId="9">
    <w:abstractNumId w:val="19"/>
  </w:num>
  <w:num w:numId="10">
    <w:abstractNumId w:val="23"/>
  </w:num>
  <w:num w:numId="11">
    <w:abstractNumId w:val="1"/>
  </w:num>
  <w:num w:numId="12">
    <w:abstractNumId w:val="24"/>
  </w:num>
  <w:num w:numId="13">
    <w:abstractNumId w:val="16"/>
  </w:num>
  <w:num w:numId="14">
    <w:abstractNumId w:val="22"/>
  </w:num>
  <w:num w:numId="15">
    <w:abstractNumId w:val="6"/>
  </w:num>
  <w:num w:numId="16">
    <w:abstractNumId w:val="21"/>
  </w:num>
  <w:num w:numId="17">
    <w:abstractNumId w:val="17"/>
  </w:num>
  <w:num w:numId="18">
    <w:abstractNumId w:val="10"/>
  </w:num>
  <w:num w:numId="19">
    <w:abstractNumId w:val="27"/>
  </w:num>
  <w:num w:numId="20">
    <w:abstractNumId w:val="25"/>
  </w:num>
  <w:num w:numId="21">
    <w:abstractNumId w:val="3"/>
  </w:num>
  <w:num w:numId="22">
    <w:abstractNumId w:val="8"/>
  </w:num>
  <w:num w:numId="23">
    <w:abstractNumId w:val="12"/>
  </w:num>
  <w:num w:numId="24">
    <w:abstractNumId w:val="13"/>
  </w:num>
  <w:num w:numId="25">
    <w:abstractNumId w:val="18"/>
  </w:num>
  <w:num w:numId="26">
    <w:abstractNumId w:val="2"/>
  </w:num>
  <w:num w:numId="27">
    <w:abstractNumId w:val="4"/>
  </w:num>
  <w:num w:numId="28">
    <w:abstractNumId w:val="11"/>
  </w:num>
  <w:num w:numId="29">
    <w:abstractNumId w:val="0"/>
  </w:num>
  <w:num w:numId="30">
    <w:abstractNumId w:val="14"/>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Heading 1"/>
    <w:basedOn w:val="P0"/>
    <w:next w:val="P0"/>
    <w:pPr>
      <w:keepNext w:val="1"/>
      <w:spacing w:before="240" w:after="60"/>
      <w:outlineLvl w:val="0"/>
    </w:pPr>
    <w:rPr>
      <w:b w:val="1"/>
      <w:sz w:val="28"/>
    </w:rPr>
  </w:style>
  <w:style w:type="paragraph" w:styleId="P2">
    <w:name w:val="Heading 2"/>
    <w:basedOn w:val="P0"/>
    <w:next w:val="P0"/>
    <w:pPr>
      <w:keepNext w:val="1"/>
      <w:outlineLvl w:val="1"/>
    </w:pPr>
    <w:rPr>
      <w:rFonts w:ascii="CTimesRoman" w:hAnsi="CTimesRoman"/>
      <w:b w:val="1"/>
      <w:color w:val="000000"/>
      <w:sz w:val="14"/>
    </w:rPr>
  </w:style>
  <w:style w:type="paragraph" w:styleId="P3">
    <w:name w:val="Heading 3"/>
    <w:basedOn w:val="P0"/>
    <w:next w:val="P0"/>
    <w:pPr>
      <w:keepNext w:val="1"/>
      <w:spacing w:before="240" w:after="60"/>
      <w:outlineLvl w:val="2"/>
    </w:pPr>
    <w:rPr>
      <w:b w:val="1"/>
      <w:sz w:val="26"/>
    </w:rPr>
  </w:style>
  <w:style w:type="paragraph" w:styleId="P4">
    <w:name w:val="Heading 4"/>
    <w:basedOn w:val="P0"/>
    <w:next w:val="P0"/>
    <w:pPr>
      <w:keepNext w:val="1"/>
      <w:outlineLvl w:val="3"/>
    </w:pPr>
    <w:rPr>
      <w:b w:val="1"/>
      <w:sz w:val="1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keepNext w:val="1"/>
      <w:tabs>
        <w:tab w:val="left" w:pos="9923" w:leader="none"/>
      </w:tabs>
      <w:jc w:val="center"/>
      <w:outlineLvl w:val="6"/>
    </w:pPr>
    <w:rPr>
      <w:b w:val="1"/>
    </w:rPr>
  </w:style>
  <w:style w:type="paragraph" w:styleId="P8">
    <w:name w:val="Heading 8"/>
    <w:basedOn w:val="P0"/>
    <w:next w:val="P0"/>
    <w:pPr>
      <w:keepNext w:val="1"/>
      <w:tabs>
        <w:tab w:val="left" w:pos="-2694" w:leader="none"/>
      </w:tabs>
      <w:ind w:left="-142" w:right="-123"/>
      <w:jc w:val="center"/>
      <w:outlineLvl w:val="7"/>
    </w:pPr>
    <w:rPr>
      <w:rFonts w:ascii="C_TimesRoman" w:hAnsi="C_TimesRoman"/>
      <w:b w:val="1"/>
    </w:rPr>
  </w:style>
  <w:style w:type="paragraph" w:styleId="P9">
    <w:name w:val="Heading 9"/>
    <w:basedOn w:val="P0"/>
    <w:next w:val="P0"/>
    <w:pPr>
      <w:keepNext w:val="1"/>
      <w:tabs>
        <w:tab w:val="left" w:pos="9923" w:leader="none"/>
      </w:tabs>
      <w:ind w:left="-142"/>
      <w:jc w:val="center"/>
      <w:outlineLvl w:val="8"/>
    </w:pPr>
    <w:rPr>
      <w:rFonts w:ascii="C_TimesRoman" w:hAnsi="C_TimesRoman"/>
      <w:b w:val="1"/>
    </w:rPr>
  </w:style>
  <w:style w:type="paragraph" w:styleId="P10">
    <w:name w:val="Footer"/>
    <w:basedOn w:val="P0"/>
    <w:next w:val="P10"/>
    <w:pPr>
      <w:tabs>
        <w:tab w:val="center" w:pos="4320" w:leader="none"/>
        <w:tab w:val="right" w:pos="8640" w:leader="none"/>
      </w:tabs>
    </w:pPr>
    <w:rPr/>
  </w:style>
  <w:style w:type="paragraph" w:styleId="P11">
    <w:name w:val="Title"/>
    <w:basedOn w:val="P0"/>
    <w:next w:val="P11"/>
    <w:pPr>
      <w:tabs>
        <w:tab w:val="left" w:pos="9923" w:leader="none"/>
      </w:tabs>
      <w:jc w:val="center"/>
    </w:pPr>
    <w:rPr>
      <w:rFonts w:ascii="C_TimesRoman" w:hAnsi="C_TimesRoman"/>
      <w:b w:val="1"/>
      <w:sz w:val="24"/>
    </w:rPr>
  </w:style>
  <w:style w:type="paragraph" w:styleId="P12">
    <w:name w:val="Body Text"/>
    <w:basedOn w:val="P0"/>
    <w:next w:val="P12"/>
    <w:pPr>
      <w:tabs>
        <w:tab w:val="left" w:pos="9923" w:leader="none"/>
      </w:tabs>
      <w:jc w:val="both"/>
    </w:pPr>
    <w:rPr>
      <w:rFonts w:ascii="C_TimesRoman" w:hAnsi="C_TimesRoman"/>
    </w:rPr>
  </w:style>
  <w:style w:type="paragraph" w:styleId="P13">
    <w:name w:val="Body Text Indent 3"/>
    <w:basedOn w:val="P0"/>
    <w:next w:val="P13"/>
    <w:pPr>
      <w:tabs>
        <w:tab w:val="left" w:pos="9923" w:leader="none"/>
      </w:tabs>
      <w:ind w:firstLine="567"/>
      <w:jc w:val="both"/>
    </w:pPr>
    <w:rPr>
      <w:rFonts w:ascii="C_TimesRoman" w:hAnsi="C_TimesRoman"/>
    </w:rPr>
  </w:style>
  <w:style w:type="paragraph" w:styleId="P14">
    <w:name w:val="Body Text Indent"/>
    <w:basedOn w:val="P0"/>
    <w:next w:val="P14"/>
    <w:pPr>
      <w:spacing w:after="120"/>
      <w:ind w:left="283"/>
    </w:pPr>
    <w:rPr/>
  </w:style>
  <w:style w:type="paragraph" w:styleId="P15">
    <w:name w:val="Block Text"/>
    <w:basedOn w:val="P0"/>
    <w:next w:val="P15"/>
    <w:pPr>
      <w:tabs>
        <w:tab w:val="left" w:pos="9923" w:leader="none"/>
      </w:tabs>
      <w:ind w:firstLine="709" w:left="-142" w:right="-123"/>
      <w:jc w:val="both"/>
    </w:pPr>
    <w:rPr>
      <w:rFonts w:ascii="C_TimesRoman" w:hAnsi="C_TimesRoman"/>
    </w:rPr>
  </w:style>
  <w:style w:type="paragraph" w:styleId="P16">
    <w:name w:val="Body Text Indent 2"/>
    <w:basedOn w:val="P0"/>
    <w:next w:val="P16"/>
    <w:pPr>
      <w:spacing w:lineRule="auto" w:line="480" w:after="120"/>
      <w:ind w:left="283"/>
    </w:pPr>
    <w:rPr/>
  </w:style>
  <w:style w:type="paragraph" w:styleId="P17">
    <w:name w:val="Header"/>
    <w:basedOn w:val="P0"/>
    <w:next w:val="P17"/>
    <w:pPr>
      <w:tabs>
        <w:tab w:val="center" w:pos="4320" w:leader="none"/>
        <w:tab w:val="right" w:pos="8640" w:leader="none"/>
      </w:tabs>
    </w:pPr>
    <w:rPr/>
  </w:style>
  <w:style w:type="paragraph" w:styleId="P18">
    <w:name w:val="Body Text 3"/>
    <w:basedOn w:val="P0"/>
    <w:next w:val="P18"/>
    <w:pPr>
      <w:spacing w:after="120"/>
    </w:pPr>
    <w:rPr>
      <w:sz w:val="16"/>
    </w:rPr>
  </w:style>
  <w:style w:type="paragraph" w:styleId="P19">
    <w:name w:val="cpp"/>
    <w:basedOn w:val="P0"/>
    <w:next w:val="P19"/>
    <w:pPr>
      <w:spacing w:before="120"/>
      <w:ind w:firstLine="510"/>
      <w:jc w:val="both"/>
    </w:pPr>
    <w:rPr>
      <w:rFonts w:ascii="CHelvPlain" w:hAnsi="CHelvPlain"/>
    </w:rPr>
  </w:style>
  <w:style w:type="paragraph" w:styleId="P20">
    <w:name w:val="cp"/>
    <w:basedOn w:val="P0"/>
    <w:next w:val="P20"/>
    <w:pPr>
      <w:ind w:firstLine="510"/>
      <w:jc w:val="both"/>
    </w:pPr>
    <w:rPr>
      <w:rFonts w:ascii="CHelvPlain" w:hAnsi="CHelvPlain"/>
    </w:rPr>
  </w:style>
  <w:style w:type="paragraph" w:styleId="P21">
    <w:name w:val="paramica"/>
    <w:basedOn w:val="P0"/>
    <w:next w:val="P21"/>
    <w:pPr>
      <w:spacing w:before="120"/>
      <w:ind w:firstLine="851"/>
      <w:jc w:val="both"/>
    </w:pPr>
    <w:rPr>
      <w:rFonts w:ascii="CTimesRoman" w:hAnsi="CTimesRoman"/>
    </w:rPr>
  </w:style>
  <w:style w:type="paragraph" w:styleId="P22">
    <w:name w:val="Balloon Text"/>
    <w:basedOn w:val="P0"/>
    <w:next w:val="P22"/>
    <w:pPr/>
    <w:rPr>
      <w:rFonts w:ascii="Tahoma" w:hAnsi="Tahoma"/>
      <w:sz w:val="16"/>
    </w:rPr>
  </w:style>
  <w:style w:type="paragraph" w:styleId="P23">
    <w:name w:val="Footnote Text"/>
    <w:basedOn w:val="P0"/>
    <w:next w:val="P23"/>
    <w:pPr/>
    <w:rPr>
      <w:rFonts w:ascii="Times New Roman" w:hAnsi="Times New Roman"/>
    </w:rPr>
  </w:style>
  <w:style w:type="paragraph" w:styleId="P24">
    <w:name w:val="Body Text 2"/>
    <w:basedOn w:val="P0"/>
    <w:next w:val="P24"/>
    <w:pPr>
      <w:jc w:val="both"/>
    </w:pPr>
    <w:rPr>
      <w:rFonts w:ascii="Times New Roman" w:hAnsi="Times New Roman"/>
      <w:sz w:val="22"/>
    </w:rPr>
  </w:style>
  <w:style w:type="paragraph" w:styleId="P25">
    <w:name w:val="Document Map"/>
    <w:basedOn w:val="P0"/>
    <w:next w:val="P25"/>
    <w:pPr>
      <w:shd w:val="clear" w:fill="000080"/>
    </w:pPr>
    <w:rPr>
      <w:rFonts w:ascii="Tahoma" w:hAnsi="Tahoma"/>
    </w:rPr>
  </w:style>
  <w:style w:type="paragraph" w:styleId="P26">
    <w:name w:val="Plain Text"/>
    <w:basedOn w:val="P0"/>
    <w:next w:val="P26"/>
    <w:pPr/>
    <w:rPr>
      <w:rFonts w:ascii="Courier New" w:hAnsi="Courier New"/>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Page Number"/>
    <w:basedOn w:val="C0"/>
    <w:rPr/>
  </w:style>
  <w:style w:type="character" w:styleId="C4">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2008-10-02T07:09:00Z</dcterms:created>
  <cp:lastModifiedBy>Nikola Kapetanovic</cp:lastModifiedBy>
  <cp:lastPrinted>2008-10-10T08:11:00Z</cp:lastPrinted>
  <dcterms:modified xsi:type="dcterms:W3CDTF">2020-01-09T15:39:52Z</dcterms:modified>
  <cp:revision>124</cp:revision>
  <dc:title>REPUBLI^KI ZAVOD ZA STATISTIKU</dc:title>
</cp:coreProperties>
</file>