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6789" w:rsidRPr="00C223D4" w:rsidRDefault="00BE6789" w:rsidP="00BE6789">
      <w:pPr>
        <w:pStyle w:val="Naslov1"/>
        <w:rPr>
          <w:lang w:val="en-GB"/>
        </w:rPr>
      </w:pPr>
      <w:r w:rsidRPr="00C223D4">
        <w:rPr>
          <w:lang w:val="en-GB"/>
        </w:rPr>
        <w:t xml:space="preserve">QUARTERLY SURVEY ON </w:t>
      </w:r>
      <w:r w:rsidR="002F5849" w:rsidRPr="00C223D4">
        <w:rPr>
          <w:lang w:val="en-GB"/>
        </w:rPr>
        <w:t>TELECOMMUNICATION</w:t>
      </w:r>
      <w:r w:rsidRPr="00C223D4">
        <w:rPr>
          <w:lang w:val="en-GB"/>
        </w:rPr>
        <w:t xml:space="preserve"> </w:t>
      </w:r>
      <w:r w:rsidR="0018634A" w:rsidRPr="00C223D4">
        <w:rPr>
          <w:lang w:val="en-GB"/>
        </w:rPr>
        <w:t>TRANSACTION</w:t>
      </w:r>
      <w:r w:rsidRPr="00C223D4">
        <w:rPr>
          <w:lang w:val="en-GB"/>
        </w:rPr>
        <w:t xml:space="preserve">S </w:t>
      </w:r>
    </w:p>
    <w:p w:rsidR="00BE6789" w:rsidRPr="00C223D4" w:rsidRDefault="00BE6789" w:rsidP="00BE6789">
      <w:pPr>
        <w:pStyle w:val="Naslov2"/>
        <w:rPr>
          <w:lang w:val="en-GB"/>
        </w:rPr>
      </w:pPr>
      <w:r w:rsidRPr="00C223D4">
        <w:rPr>
          <w:lang w:val="en-GB"/>
        </w:rPr>
        <w:t xml:space="preserve">LEGAL BASIS </w:t>
      </w:r>
    </w:p>
    <w:p w:rsidR="00BE6789" w:rsidRPr="00C223D4" w:rsidRDefault="00BE6789" w:rsidP="00BE6789">
      <w:pPr>
        <w:ind w:firstLine="397"/>
      </w:pPr>
      <w:r w:rsidRPr="00C223D4">
        <w:t>The survey is conducted according to the Law on Official Statistics (“Official Gazette of RS”, No 104/2009) and Program of Official Statistics in the period 2016-2020 (“Official Gazette of RS”, No 55/15).</w:t>
      </w:r>
    </w:p>
    <w:p w:rsidR="00BE6789" w:rsidRPr="00C223D4" w:rsidRDefault="00BE6789" w:rsidP="00BE6789">
      <w:pPr>
        <w:pStyle w:val="Naslov2"/>
        <w:rPr>
          <w:lang w:val="en-GB"/>
        </w:rPr>
      </w:pPr>
      <w:r w:rsidRPr="00C223D4">
        <w:rPr>
          <w:lang w:val="en-GB"/>
        </w:rPr>
        <w:t xml:space="preserve">METHODOLOGICAL BASIS </w:t>
      </w:r>
    </w:p>
    <w:p w:rsidR="00BE6789" w:rsidRPr="00C223D4" w:rsidRDefault="00BE6789" w:rsidP="00BE6789">
      <w:pPr>
        <w:pStyle w:val="Naslov3"/>
        <w:spacing w:after="120"/>
        <w:ind w:left="397"/>
        <w:rPr>
          <w:lang w:val="en-GB"/>
        </w:rPr>
      </w:pPr>
      <w:r w:rsidRPr="00C223D4">
        <w:rPr>
          <w:lang w:val="en-GB"/>
        </w:rPr>
        <w:t>Aim of the statistical survey</w:t>
      </w:r>
    </w:p>
    <w:p w:rsidR="00BE6789" w:rsidRPr="00C223D4" w:rsidRDefault="00BE6789" w:rsidP="00BE6789">
      <w:pPr>
        <w:pStyle w:val="Pasus"/>
        <w:spacing w:before="120" w:after="120"/>
        <w:ind w:left="397" w:firstLine="0"/>
        <w:rPr>
          <w:lang w:val="en-GB"/>
        </w:rPr>
      </w:pPr>
      <w:r w:rsidRPr="00C223D4">
        <w:rPr>
          <w:lang w:val="en-GB"/>
        </w:rPr>
        <w:t xml:space="preserve">The aim of the quarterly survey on </w:t>
      </w:r>
      <w:r w:rsidR="0018634A" w:rsidRPr="00C223D4">
        <w:rPr>
          <w:lang w:val="en-GB"/>
        </w:rPr>
        <w:t>telecommunication transaction</w:t>
      </w:r>
      <w:r w:rsidRPr="00C223D4">
        <w:rPr>
          <w:lang w:val="en-GB"/>
        </w:rPr>
        <w:t xml:space="preserve">s is collecting the data on the activities of </w:t>
      </w:r>
      <w:r w:rsidR="0018634A" w:rsidRPr="00C223D4">
        <w:rPr>
          <w:lang w:val="en-GB"/>
        </w:rPr>
        <w:t>telecommunication</w:t>
      </w:r>
      <w:r w:rsidRPr="00C223D4">
        <w:rPr>
          <w:lang w:val="en-GB"/>
        </w:rPr>
        <w:t xml:space="preserve"> enterprises in order to provide an insight into the work dynamics on quarterly basis.  </w:t>
      </w:r>
    </w:p>
    <w:p w:rsidR="00BE6789" w:rsidRPr="00C223D4" w:rsidRDefault="00BE6789" w:rsidP="00BE6789">
      <w:pPr>
        <w:pStyle w:val="Naslov3"/>
        <w:spacing w:after="120"/>
        <w:ind w:left="397"/>
        <w:rPr>
          <w:lang w:val="en-GB"/>
        </w:rPr>
      </w:pPr>
      <w:r w:rsidRPr="00C223D4">
        <w:rPr>
          <w:lang w:val="en-GB"/>
        </w:rPr>
        <w:t>Reporting units, statistical units</w:t>
      </w:r>
    </w:p>
    <w:p w:rsidR="00BE6789" w:rsidRPr="00E50250" w:rsidRDefault="00BE6789" w:rsidP="00BE6789">
      <w:pPr>
        <w:pStyle w:val="Pasus"/>
        <w:spacing w:before="120" w:after="120"/>
        <w:ind w:firstLine="0"/>
        <w:rPr>
          <w:lang w:val="en-GB"/>
        </w:rPr>
      </w:pPr>
      <w:r w:rsidRPr="00C223D4">
        <w:rPr>
          <w:lang w:val="en-GB"/>
        </w:rPr>
        <w:t xml:space="preserve">Reporting units for the quarterly survey on </w:t>
      </w:r>
      <w:r w:rsidR="0018634A" w:rsidRPr="00C223D4">
        <w:rPr>
          <w:lang w:val="en-GB"/>
        </w:rPr>
        <w:t>telecommunication transactions</w:t>
      </w:r>
      <w:r w:rsidRPr="00C223D4">
        <w:rPr>
          <w:lang w:val="en-GB"/>
        </w:rPr>
        <w:t xml:space="preserve"> are all enterprises which, according to the Classification of Activities (2010), are classified in Sector </w:t>
      </w:r>
      <w:r w:rsidR="0018634A" w:rsidRPr="00C223D4">
        <w:rPr>
          <w:lang w:val="en-GB"/>
        </w:rPr>
        <w:t>J</w:t>
      </w:r>
      <w:r w:rsidRPr="00C223D4">
        <w:rPr>
          <w:lang w:val="en-GB"/>
        </w:rPr>
        <w:t xml:space="preserve"> </w:t>
      </w:r>
      <w:r w:rsidR="0018634A" w:rsidRPr="00C223D4">
        <w:rPr>
          <w:lang w:val="en-GB"/>
        </w:rPr>
        <w:t>–</w:t>
      </w:r>
      <w:r w:rsidRPr="00C223D4">
        <w:rPr>
          <w:lang w:val="en-GB"/>
        </w:rPr>
        <w:t xml:space="preserve"> </w:t>
      </w:r>
      <w:r w:rsidR="0018634A" w:rsidRPr="00C223D4">
        <w:rPr>
          <w:lang w:val="en-GB"/>
        </w:rPr>
        <w:t xml:space="preserve">Information and </w:t>
      </w:r>
      <w:r w:rsidR="0018634A" w:rsidRPr="00E50250">
        <w:rPr>
          <w:lang w:val="en-GB"/>
        </w:rPr>
        <w:t>communication</w:t>
      </w:r>
      <w:r w:rsidRPr="00E50250">
        <w:rPr>
          <w:lang w:val="en-GB"/>
        </w:rPr>
        <w:t xml:space="preserve">, division </w:t>
      </w:r>
      <w:r w:rsidR="00717901" w:rsidRPr="00E50250">
        <w:rPr>
          <w:lang w:val="en-GB"/>
        </w:rPr>
        <w:t>61</w:t>
      </w:r>
      <w:r w:rsidRPr="00E50250">
        <w:rPr>
          <w:lang w:val="en-GB"/>
        </w:rPr>
        <w:t xml:space="preserve"> - </w:t>
      </w:r>
      <w:r w:rsidR="0018634A" w:rsidRPr="00E50250">
        <w:rPr>
          <w:lang w:val="en-GB"/>
        </w:rPr>
        <w:t>Telecommunications</w:t>
      </w:r>
      <w:r w:rsidRPr="00E50250">
        <w:rPr>
          <w:lang w:val="en-GB"/>
        </w:rPr>
        <w:t>.</w:t>
      </w:r>
    </w:p>
    <w:p w:rsidR="00BE6789" w:rsidRPr="00C223D4" w:rsidRDefault="00BE6789" w:rsidP="00BE6789">
      <w:pPr>
        <w:pStyle w:val="Naslov3"/>
        <w:spacing w:after="120"/>
        <w:ind w:left="397"/>
        <w:rPr>
          <w:lang w:val="en-GB"/>
        </w:rPr>
      </w:pPr>
      <w:r w:rsidRPr="00C223D4">
        <w:rPr>
          <w:lang w:val="en-GB"/>
        </w:rPr>
        <w:t xml:space="preserve">Contents of the statistical survey </w:t>
      </w:r>
    </w:p>
    <w:p w:rsidR="00BE6789" w:rsidRPr="00C223D4" w:rsidRDefault="00BE6789" w:rsidP="00BE6789">
      <w:pPr>
        <w:pStyle w:val="Pasus"/>
        <w:spacing w:before="120" w:after="120"/>
        <w:ind w:left="397" w:firstLine="0"/>
        <w:rPr>
          <w:lang w:val="en-GB"/>
        </w:rPr>
      </w:pPr>
      <w:r w:rsidRPr="00C223D4">
        <w:rPr>
          <w:lang w:val="en-GB"/>
        </w:rPr>
        <w:t xml:space="preserve">Collected are the data on </w:t>
      </w:r>
      <w:r w:rsidR="0018634A" w:rsidRPr="00C223D4">
        <w:rPr>
          <w:lang w:val="en-GB"/>
        </w:rPr>
        <w:t xml:space="preserve">telecommunication </w:t>
      </w:r>
      <w:r w:rsidR="005446F0" w:rsidRPr="00C223D4">
        <w:rPr>
          <w:lang w:val="en-GB"/>
        </w:rPr>
        <w:t>services</w:t>
      </w:r>
      <w:r w:rsidRPr="00C223D4">
        <w:rPr>
          <w:lang w:val="en-GB"/>
        </w:rPr>
        <w:t xml:space="preserve"> in domestic and international </w:t>
      </w:r>
      <w:r w:rsidR="005446F0" w:rsidRPr="00C223D4">
        <w:rPr>
          <w:lang w:val="en-GB"/>
        </w:rPr>
        <w:t>transport</w:t>
      </w:r>
      <w:r w:rsidRPr="00C223D4">
        <w:rPr>
          <w:lang w:val="en-GB"/>
        </w:rPr>
        <w:t>, as well as data on the number of employees in enterprises that are the reporting units</w:t>
      </w:r>
      <w:r w:rsidR="005446F0" w:rsidRPr="00C223D4">
        <w:rPr>
          <w:lang w:val="en-GB"/>
        </w:rPr>
        <w:t>.</w:t>
      </w:r>
    </w:p>
    <w:p w:rsidR="00BE6789" w:rsidRPr="00C223D4" w:rsidRDefault="00BE6789" w:rsidP="00BE6789">
      <w:pPr>
        <w:pStyle w:val="Naslov3"/>
        <w:spacing w:after="120"/>
        <w:ind w:left="397"/>
        <w:rPr>
          <w:lang w:val="en-GB"/>
        </w:rPr>
      </w:pPr>
      <w:r w:rsidRPr="00C223D4">
        <w:rPr>
          <w:lang w:val="en-GB"/>
        </w:rPr>
        <w:t xml:space="preserve">Method, time and sources for data collection </w:t>
      </w:r>
    </w:p>
    <w:p w:rsidR="00BE6789" w:rsidRPr="00C223D4" w:rsidRDefault="00BE6789" w:rsidP="00BE6789">
      <w:pPr>
        <w:pStyle w:val="Pasus"/>
        <w:ind w:left="397" w:firstLine="0"/>
        <w:rPr>
          <w:lang w:val="en-GB"/>
        </w:rPr>
      </w:pPr>
      <w:r w:rsidRPr="00C223D4">
        <w:rPr>
          <w:lang w:val="en-GB"/>
        </w:rPr>
        <w:t xml:space="preserve">Data are collected by the reporting method, quarterly, using the </w:t>
      </w:r>
      <w:r w:rsidR="005446F0" w:rsidRPr="00C223D4">
        <w:rPr>
          <w:lang w:val="en-GB"/>
        </w:rPr>
        <w:t>T</w:t>
      </w:r>
      <w:r w:rsidRPr="00C223D4">
        <w:rPr>
          <w:lang w:val="en-GB"/>
        </w:rPr>
        <w:t>/ T-11</w:t>
      </w:r>
      <w:r w:rsidR="005446F0" w:rsidRPr="00C223D4">
        <w:rPr>
          <w:lang w:val="en-GB"/>
        </w:rPr>
        <w:t>a</w:t>
      </w:r>
      <w:r w:rsidRPr="00C223D4">
        <w:rPr>
          <w:lang w:val="en-GB"/>
        </w:rPr>
        <w:t xml:space="preserve"> questionnaire. The reporting  unit submits a quarterly report within the deadline set on the basis of the Program of Statistical Surveys.</w:t>
      </w:r>
    </w:p>
    <w:p w:rsidR="00BE6789" w:rsidRPr="00C223D4" w:rsidRDefault="00BE6789" w:rsidP="00BE6789">
      <w:pPr>
        <w:pStyle w:val="Naslov3"/>
        <w:rPr>
          <w:lang w:val="en-GB"/>
        </w:rPr>
      </w:pPr>
      <w:r w:rsidRPr="00C223D4">
        <w:rPr>
          <w:lang w:val="en-GB"/>
        </w:rPr>
        <w:t>Obligation to protect individual data</w:t>
      </w:r>
    </w:p>
    <w:p w:rsidR="00BE6789" w:rsidRPr="00C223D4" w:rsidRDefault="00BE6789" w:rsidP="00BE6789">
      <w:pPr>
        <w:pStyle w:val="Pasus"/>
        <w:ind w:firstLine="113"/>
        <w:rPr>
          <w:lang w:val="en-GB"/>
        </w:rPr>
      </w:pPr>
      <w:r w:rsidRPr="00C223D4">
        <w:rPr>
          <w:lang w:val="en-GB"/>
        </w:rPr>
        <w:t xml:space="preserve">Obligation to protect individual data is based on article 3 of the regulation on data providers protection, articles 44, 45, 46, 47, 48 and 49 of the regulation on confidentiality of the Law on Official Statistics (“Official Gazette of RS”, No. 104/09). </w:t>
      </w:r>
    </w:p>
    <w:p w:rsidR="00BE6789" w:rsidRPr="00C223D4" w:rsidRDefault="00BE6789" w:rsidP="00BE6789">
      <w:pPr>
        <w:pStyle w:val="Naslov3"/>
        <w:rPr>
          <w:lang w:val="en-GB"/>
        </w:rPr>
      </w:pPr>
      <w:r w:rsidRPr="00C223D4">
        <w:rPr>
          <w:lang w:val="en-GB"/>
        </w:rPr>
        <w:t>List and definitions of main items – indicators</w:t>
      </w:r>
    </w:p>
    <w:p w:rsidR="000B1D56" w:rsidRPr="00C223D4" w:rsidRDefault="000B1D56" w:rsidP="005C3897">
      <w:pPr>
        <w:pStyle w:val="Pasus"/>
        <w:spacing w:before="120" w:after="120"/>
        <w:rPr>
          <w:b/>
          <w:i/>
          <w:lang w:val="en-GB"/>
        </w:rPr>
      </w:pPr>
      <w:r w:rsidRPr="00C223D4">
        <w:rPr>
          <w:b/>
          <w:i/>
          <w:lang w:val="en-GB"/>
        </w:rPr>
        <w:t xml:space="preserve">A fixed telephone line </w:t>
      </w:r>
      <w:r w:rsidRPr="00C223D4">
        <w:rPr>
          <w:lang w:val="en-GB"/>
        </w:rPr>
        <w:t>is a telephone line that connects the user's terminal equipment (e.g. telephone, fax) to the Public Switched Telephone Network (PSTN), and which has a designated connection point at the phone network. This term is synonymous with the term ‘Direct Exchange Line’ (DEL). It does not have to be the same as the access line or subscriber.</w:t>
      </w:r>
    </w:p>
    <w:p w:rsidR="000B1D56" w:rsidRPr="00C223D4" w:rsidRDefault="000B1D56" w:rsidP="005C3897">
      <w:pPr>
        <w:pStyle w:val="Pasus"/>
        <w:spacing w:before="120" w:after="120"/>
        <w:rPr>
          <w:lang w:val="en-GB"/>
        </w:rPr>
      </w:pPr>
      <w:r w:rsidRPr="00C223D4">
        <w:rPr>
          <w:b/>
          <w:i/>
          <w:lang w:val="en-GB"/>
        </w:rPr>
        <w:t>A mobile phone</w:t>
      </w:r>
      <w:r w:rsidRPr="00C223D4">
        <w:rPr>
          <w:lang w:val="en-GB"/>
        </w:rPr>
        <w:t xml:space="preserve"> is a portable phone with a subscription to a public mobile phone service that uses mobile technology and provides access to the PSTN (Public Switched Telephone Network). An individual owns a mobile phone if he</w:t>
      </w:r>
      <w:r w:rsidR="00790864" w:rsidRPr="00C223D4">
        <w:rPr>
          <w:lang w:val="en-GB"/>
        </w:rPr>
        <w:t>/ she</w:t>
      </w:r>
      <w:r w:rsidRPr="00C223D4">
        <w:rPr>
          <w:lang w:val="en-GB"/>
        </w:rPr>
        <w:t xml:space="preserve"> has a mobile device with at least one active SIM card for personal use. Also included are mobile phones supplied by employers (official phone), which can be used for personal reasons (for making personal calls, sending short messages, accessing the Internet, etc.), as well as mobile phones registered under some</w:t>
      </w:r>
      <w:r w:rsidR="00790864" w:rsidRPr="00C223D4">
        <w:rPr>
          <w:lang w:val="en-GB"/>
        </w:rPr>
        <w:t>body</w:t>
      </w:r>
      <w:r w:rsidRPr="00C223D4">
        <w:rPr>
          <w:lang w:val="en-GB"/>
        </w:rPr>
        <w:t xml:space="preserve"> else's name. An active SIM card is a SIM card that has been used in the previous three months. This includes analog and digital mobile </w:t>
      </w:r>
      <w:r w:rsidR="00F5020F" w:rsidRPr="00C223D4">
        <w:rPr>
          <w:lang w:val="en-GB"/>
        </w:rPr>
        <w:t xml:space="preserve">cellular </w:t>
      </w:r>
      <w:r w:rsidRPr="00C223D4">
        <w:rPr>
          <w:lang w:val="en-GB"/>
        </w:rPr>
        <w:t xml:space="preserve">systems, as well as IMT-2000 (3G), </w:t>
      </w:r>
      <w:r w:rsidR="00790864" w:rsidRPr="00C223D4">
        <w:rPr>
          <w:lang w:val="en-GB"/>
        </w:rPr>
        <w:t>and</w:t>
      </w:r>
      <w:r w:rsidRPr="00C223D4">
        <w:rPr>
          <w:lang w:val="en-GB"/>
        </w:rPr>
        <w:t xml:space="preserve"> 4G systems. Both prepaid and </w:t>
      </w:r>
      <w:r w:rsidR="00E74E65" w:rsidRPr="00C223D4">
        <w:rPr>
          <w:lang w:val="en-GB"/>
        </w:rPr>
        <w:t>post-paid</w:t>
      </w:r>
      <w:r w:rsidRPr="00C223D4">
        <w:rPr>
          <w:lang w:val="en-GB"/>
        </w:rPr>
        <w:t xml:space="preserve"> users are included.</w:t>
      </w:r>
    </w:p>
    <w:p w:rsidR="00790864" w:rsidRPr="00C223D4" w:rsidRDefault="00790864" w:rsidP="005C3897">
      <w:pPr>
        <w:pStyle w:val="Pasus"/>
        <w:spacing w:before="120" w:after="120"/>
        <w:rPr>
          <w:lang w:val="en-GB"/>
        </w:rPr>
      </w:pPr>
      <w:r w:rsidRPr="00C223D4">
        <w:rPr>
          <w:b/>
          <w:i/>
          <w:lang w:val="en-GB"/>
        </w:rPr>
        <w:t>Employees</w:t>
      </w:r>
      <w:r w:rsidRPr="00C223D4">
        <w:rPr>
          <w:lang w:val="en-GB"/>
        </w:rPr>
        <w:t xml:space="preserve"> are all workers who work in a telecommunication business entity, including the owners who work in it, partners who perform permanent activities in that business entity, as well as persons who work outside the business entity but are bound by the same employment contract and directly receive compensation from business entity regardless of whether they work full-time or part-time. Students of schools that do internships in a business entity are not included in the category of employed persons.</w:t>
      </w:r>
    </w:p>
    <w:p w:rsidR="005C3897" w:rsidRPr="00C223D4" w:rsidRDefault="005C3897" w:rsidP="005C3897">
      <w:pPr>
        <w:pStyle w:val="Pasus"/>
        <w:spacing w:before="120" w:after="120"/>
        <w:rPr>
          <w:color w:val="FF0000"/>
          <w:lang w:val="en-GB"/>
        </w:rPr>
      </w:pPr>
    </w:p>
    <w:p w:rsidR="00BE6789" w:rsidRPr="00C223D4" w:rsidRDefault="00BE6789" w:rsidP="00BE6789">
      <w:pPr>
        <w:pStyle w:val="Naslov3"/>
        <w:rPr>
          <w:lang w:val="en-GB"/>
        </w:rPr>
      </w:pPr>
      <w:r w:rsidRPr="00C223D4">
        <w:rPr>
          <w:lang w:val="en-GB"/>
        </w:rPr>
        <w:lastRenderedPageBreak/>
        <w:t>Level of data representativeness (</w:t>
      </w:r>
      <w:r w:rsidRPr="00C223D4">
        <w:rPr>
          <w:i/>
          <w:lang w:val="en-GB"/>
        </w:rPr>
        <w:t>territorial, CA</w:t>
      </w:r>
      <w:r w:rsidRPr="00C223D4">
        <w:rPr>
          <w:lang w:val="en-GB"/>
        </w:rPr>
        <w:t>)</w:t>
      </w:r>
    </w:p>
    <w:p w:rsidR="00BE6789" w:rsidRPr="00C223D4" w:rsidRDefault="00BE6789" w:rsidP="00BE6789">
      <w:pPr>
        <w:pStyle w:val="Pasus"/>
        <w:ind w:left="0" w:firstLine="284"/>
        <w:rPr>
          <w:lang w:val="en-GB"/>
        </w:rPr>
      </w:pPr>
      <w:r w:rsidRPr="00C223D4">
        <w:rPr>
          <w:lang w:val="en-GB"/>
        </w:rPr>
        <w:t xml:space="preserve">Data are representative for the territory of the Republic of Serbia. </w:t>
      </w:r>
    </w:p>
    <w:p w:rsidR="00BE6789" w:rsidRPr="00C223D4" w:rsidRDefault="00BE6789" w:rsidP="00BE6789">
      <w:pPr>
        <w:pStyle w:val="Pasus"/>
        <w:ind w:left="0" w:firstLine="284"/>
        <w:rPr>
          <w:lang w:val="en-GB"/>
        </w:rPr>
      </w:pPr>
      <w:r w:rsidRPr="00C223D4">
        <w:rPr>
          <w:lang w:val="en-GB"/>
        </w:rPr>
        <w:t>Starting from 1999 the Statistical Office of the Republic of Serbia has not at disposal and may not provide available certain data relative to AP Kosovo and Metohija and therefore these data are not included in the coverage for the Republic of Serbia (total).</w:t>
      </w:r>
    </w:p>
    <w:p w:rsidR="00BE6789" w:rsidRPr="00C223D4" w:rsidRDefault="00BE6789" w:rsidP="00BE6789">
      <w:pPr>
        <w:pStyle w:val="Naslov3"/>
        <w:rPr>
          <w:lang w:val="en-GB"/>
        </w:rPr>
      </w:pPr>
      <w:r w:rsidRPr="00C223D4">
        <w:rPr>
          <w:lang w:val="en-GB"/>
        </w:rPr>
        <w:t>Harmonization with international recommendations, standards and practice</w:t>
      </w:r>
    </w:p>
    <w:p w:rsidR="005446F0" w:rsidRPr="00C223D4" w:rsidRDefault="00BE6789" w:rsidP="00BE6789">
      <w:pPr>
        <w:spacing w:before="120" w:after="120"/>
        <w:ind w:firstLine="397"/>
        <w:jc w:val="both"/>
      </w:pPr>
      <w:r w:rsidRPr="00C223D4">
        <w:t xml:space="preserve">The </w:t>
      </w:r>
      <w:r w:rsidR="005446F0" w:rsidRPr="00C223D4">
        <w:t xml:space="preserve">quarterly </w:t>
      </w:r>
      <w:r w:rsidRPr="00C223D4">
        <w:t xml:space="preserve">survey </w:t>
      </w:r>
      <w:r w:rsidR="005446F0" w:rsidRPr="00C223D4">
        <w:t xml:space="preserve">on telecommunications </w:t>
      </w:r>
      <w:r w:rsidRPr="00C223D4">
        <w:t>is in line with the Directive</w:t>
      </w:r>
      <w:r w:rsidR="005446F0" w:rsidRPr="00C223D4">
        <w:t>:</w:t>
      </w:r>
    </w:p>
    <w:p w:rsidR="005446F0" w:rsidRPr="00C223D4" w:rsidRDefault="005446F0" w:rsidP="005446F0">
      <w:pPr>
        <w:pStyle w:val="Pasus"/>
        <w:spacing w:before="120" w:after="120"/>
        <w:ind w:firstLine="0"/>
        <w:rPr>
          <w:lang w:val="en-GB"/>
        </w:rPr>
      </w:pPr>
      <w:r w:rsidRPr="00C223D4">
        <w:rPr>
          <w:lang w:val="en-GB"/>
        </w:rPr>
        <w:t>Regulation (EC) No 544/2009 of the European Parliament and of the Council of 18 June 2009 amending Regulation (EC) No 717/2007 on roaming on public mobile telephone networks within the Community and Directive 2002/21/EC on a common regulatory framework for electronic communications networks and services (Text with EEA relevance ).</w:t>
      </w:r>
    </w:p>
    <w:p w:rsidR="005446F0" w:rsidRPr="00C223D4" w:rsidRDefault="00BE6789" w:rsidP="00BE6789">
      <w:pPr>
        <w:spacing w:before="120" w:after="120"/>
        <w:ind w:firstLine="397"/>
        <w:jc w:val="both"/>
      </w:pPr>
      <w:r w:rsidRPr="00C223D4">
        <w:rPr>
          <w:i/>
        </w:rPr>
        <w:t xml:space="preserve"> </w:t>
      </w:r>
      <w:r w:rsidRPr="00C223D4">
        <w:t xml:space="preserve">The mentioned directive </w:t>
      </w:r>
      <w:r w:rsidR="005446F0" w:rsidRPr="00C223D4">
        <w:t xml:space="preserve">is </w:t>
      </w:r>
      <w:r w:rsidR="00C223D4" w:rsidRPr="00C223D4">
        <w:t>revised</w:t>
      </w:r>
      <w:r w:rsidR="005446F0" w:rsidRPr="00C223D4">
        <w:t xml:space="preserve"> with the </w:t>
      </w:r>
      <w:r w:rsidR="00E74E65" w:rsidRPr="00C223D4">
        <w:t>amendment</w:t>
      </w:r>
      <w:r w:rsidR="005446F0" w:rsidRPr="00C223D4">
        <w:t>:</w:t>
      </w:r>
    </w:p>
    <w:p w:rsidR="005446F0" w:rsidRPr="00C223D4" w:rsidRDefault="005446F0" w:rsidP="005446F0">
      <w:pPr>
        <w:pStyle w:val="Pasus"/>
        <w:numPr>
          <w:ilvl w:val="0"/>
          <w:numId w:val="3"/>
        </w:numPr>
        <w:spacing w:before="120" w:after="120"/>
        <w:rPr>
          <w:color w:val="000000"/>
          <w:lang w:val="en-GB"/>
        </w:rPr>
      </w:pPr>
      <w:r w:rsidRPr="00C223D4">
        <w:rPr>
          <w:color w:val="000000"/>
          <w:shd w:val="clear" w:color="auto" w:fill="FFFFFF"/>
          <w:lang w:val="en-GB"/>
        </w:rPr>
        <w:t>Regulation (EU) No 531/2012 of the European Parliament and of the Council of 13 June 2012 on roaming on public mobile communications networks within the Union (recast) (Text with EEA relevance)</w:t>
      </w:r>
    </w:p>
    <w:p w:rsidR="00BE6789" w:rsidRPr="00C223D4" w:rsidRDefault="00BE6789" w:rsidP="00BE6789">
      <w:pPr>
        <w:pStyle w:val="Naslov2"/>
        <w:rPr>
          <w:lang w:val="en-GB"/>
        </w:rPr>
      </w:pPr>
      <w:r w:rsidRPr="00C223D4">
        <w:rPr>
          <w:lang w:val="en-GB"/>
        </w:rPr>
        <w:t>DESCRIPTION OF THE SURVEY MANAGEMENT</w:t>
      </w:r>
    </w:p>
    <w:p w:rsidR="00BE6789" w:rsidRPr="00C223D4" w:rsidRDefault="00BE6789" w:rsidP="00BE6789">
      <w:pPr>
        <w:pStyle w:val="Naslov3"/>
        <w:rPr>
          <w:b w:val="0"/>
          <w:sz w:val="20"/>
          <w:szCs w:val="20"/>
          <w:lang w:val="en-GB"/>
        </w:rPr>
      </w:pPr>
      <w:r w:rsidRPr="00C223D4">
        <w:rPr>
          <w:lang w:val="en-GB"/>
        </w:rPr>
        <w:t>Bodies in charge of the survey management (</w:t>
      </w:r>
      <w:r w:rsidRPr="00C223D4">
        <w:rPr>
          <w:rFonts w:ascii="Arial IS" w:hAnsi="Arial IS" w:cs="Arial IS"/>
          <w:sz w:val="20"/>
          <w:szCs w:val="20"/>
          <w:lang w:val="en-GB"/>
        </w:rPr>
        <w:t>responsible producer of the official statistics</w:t>
      </w:r>
      <w:r w:rsidRPr="00C223D4">
        <w:rPr>
          <w:lang w:val="en-GB"/>
        </w:rPr>
        <w:t>)</w:t>
      </w:r>
    </w:p>
    <w:p w:rsidR="00BE6789" w:rsidRPr="00C223D4" w:rsidRDefault="00BE6789" w:rsidP="00BE6789">
      <w:pPr>
        <w:pStyle w:val="Naslov3"/>
        <w:rPr>
          <w:b w:val="0"/>
          <w:sz w:val="20"/>
          <w:szCs w:val="20"/>
          <w:lang w:val="en-GB"/>
        </w:rPr>
      </w:pPr>
      <w:r w:rsidRPr="00C223D4">
        <w:rPr>
          <w:b w:val="0"/>
          <w:sz w:val="20"/>
          <w:szCs w:val="20"/>
          <w:lang w:val="en-GB"/>
        </w:rPr>
        <w:t>The Statistical Office of the Republic of Serbia: Unit for transport and telecommunication statistics, as well as the direct executors of the survey and responsible persons in enterprises - reporting units, participate in the preparation and implementation of this survey</w:t>
      </w:r>
      <w:r w:rsidR="005C4347" w:rsidRPr="00C223D4">
        <w:rPr>
          <w:b w:val="0"/>
          <w:sz w:val="20"/>
          <w:szCs w:val="20"/>
          <w:lang w:val="en-GB"/>
        </w:rPr>
        <w:t>.</w:t>
      </w:r>
    </w:p>
    <w:p w:rsidR="00BE6789" w:rsidRPr="00C223D4" w:rsidRDefault="00BE6789" w:rsidP="00BE6789">
      <w:pPr>
        <w:pStyle w:val="Naslov3"/>
        <w:ind w:firstLine="113"/>
        <w:rPr>
          <w:lang w:val="en-GB"/>
        </w:rPr>
      </w:pPr>
      <w:r w:rsidRPr="00C223D4">
        <w:rPr>
          <w:lang w:val="en-GB"/>
        </w:rPr>
        <w:t>Obligation to provide data</w:t>
      </w:r>
    </w:p>
    <w:p w:rsidR="00BE6789" w:rsidRPr="00C223D4" w:rsidRDefault="00BE6789" w:rsidP="00BE6789">
      <w:pPr>
        <w:pStyle w:val="Pasus"/>
        <w:ind w:firstLine="113"/>
        <w:rPr>
          <w:lang w:val="en-GB"/>
        </w:rPr>
      </w:pPr>
      <w:r w:rsidRPr="00C223D4">
        <w:rPr>
          <w:lang w:val="en-GB"/>
        </w:rPr>
        <w:t xml:space="preserve">The obligation to provide data is laid down in Article 26 and penalty provisions relative to the refusal of providing data or providing incomplete and false data in Article 52 of the Law on Official Statistics (“Official Gazette of RS”, No 104/2009). </w:t>
      </w:r>
    </w:p>
    <w:p w:rsidR="005C4347" w:rsidRPr="00C223D4" w:rsidRDefault="005C4347" w:rsidP="00BE6789">
      <w:pPr>
        <w:pStyle w:val="Pasus"/>
        <w:ind w:firstLine="113"/>
        <w:rPr>
          <w:lang w:val="en-GB"/>
        </w:rPr>
      </w:pPr>
    </w:p>
    <w:p w:rsidR="00BE6789" w:rsidRPr="00C223D4" w:rsidRDefault="00BE6789" w:rsidP="00BE6789">
      <w:pPr>
        <w:pStyle w:val="Naslov3"/>
        <w:rPr>
          <w:lang w:val="en-GB"/>
        </w:rPr>
      </w:pPr>
      <w:r w:rsidRPr="00C223D4">
        <w:rPr>
          <w:lang w:val="en-GB"/>
        </w:rPr>
        <w:t xml:space="preserve">Timetable of the main phases of the survey conducting </w:t>
      </w:r>
    </w:p>
    <w:p w:rsidR="00BE6789" w:rsidRPr="00C223D4" w:rsidRDefault="00BE6789" w:rsidP="00BE6789">
      <w:pPr>
        <w:ind w:left="284" w:firstLine="113"/>
        <w:jc w:val="both"/>
        <w:rPr>
          <w:i/>
        </w:rPr>
      </w:pPr>
      <w:r w:rsidRPr="00C223D4">
        <w:rPr>
          <w:i/>
        </w:rPr>
        <w:t>(including data publishing)</w:t>
      </w:r>
    </w:p>
    <w:p w:rsidR="00BE6789" w:rsidRPr="00C223D4" w:rsidRDefault="00BE6789" w:rsidP="00BE6789">
      <w:pPr>
        <w:pStyle w:val="blista"/>
        <w:numPr>
          <w:ilvl w:val="0"/>
          <w:numId w:val="2"/>
        </w:numPr>
        <w:spacing w:before="120" w:after="120"/>
        <w:rPr>
          <w:lang w:val="en-GB"/>
        </w:rPr>
      </w:pPr>
      <w:r w:rsidRPr="00C223D4">
        <w:rPr>
          <w:lang w:val="en-GB"/>
        </w:rPr>
        <w:t>Deadline for the reporting units to deliver the completed questionnaire T/T-11</w:t>
      </w:r>
      <w:r w:rsidR="005C4347" w:rsidRPr="00C223D4">
        <w:rPr>
          <w:lang w:val="en-GB"/>
        </w:rPr>
        <w:t>a</w:t>
      </w:r>
      <w:r w:rsidRPr="00C223D4">
        <w:rPr>
          <w:lang w:val="en-GB"/>
        </w:rPr>
        <w:t xml:space="preserve"> to the Statistical Office of the Republic of Serbia is the 20</w:t>
      </w:r>
      <w:r w:rsidRPr="00C223D4">
        <w:rPr>
          <w:vertAlign w:val="superscript"/>
          <w:lang w:val="en-GB"/>
        </w:rPr>
        <w:t>th</w:t>
      </w:r>
      <w:r w:rsidRPr="00C223D4">
        <w:rPr>
          <w:lang w:val="en-GB"/>
        </w:rPr>
        <w:t xml:space="preserve"> in a month (20 days after the end of the quarter).</w:t>
      </w:r>
    </w:p>
    <w:p w:rsidR="00BE6789" w:rsidRPr="00C223D4" w:rsidRDefault="00BE6789" w:rsidP="00BE6789">
      <w:pPr>
        <w:pStyle w:val="blista"/>
        <w:numPr>
          <w:ilvl w:val="0"/>
          <w:numId w:val="2"/>
        </w:numPr>
        <w:spacing w:before="120" w:after="120"/>
        <w:rPr>
          <w:lang w:val="en-GB"/>
        </w:rPr>
      </w:pPr>
      <w:r w:rsidRPr="00C223D4">
        <w:rPr>
          <w:lang w:val="en-GB"/>
        </w:rPr>
        <w:t>Deadline for providing the results is 50 days after the end of the quarter.</w:t>
      </w:r>
    </w:p>
    <w:p w:rsidR="00BE6789" w:rsidRPr="00C223D4" w:rsidRDefault="00BE6789" w:rsidP="00BE6789">
      <w:pPr>
        <w:pStyle w:val="Naslov2"/>
        <w:rPr>
          <w:lang w:val="en-GB"/>
        </w:rPr>
      </w:pPr>
      <w:r w:rsidRPr="00C223D4">
        <w:rPr>
          <w:szCs w:val="20"/>
          <w:lang w:val="en-GB"/>
        </w:rPr>
        <w:t>S</w:t>
      </w:r>
      <w:r w:rsidRPr="00C223D4">
        <w:rPr>
          <w:lang w:val="en-GB"/>
        </w:rPr>
        <w:t>URVEY TOOLS</w:t>
      </w:r>
    </w:p>
    <w:p w:rsidR="00BE6789" w:rsidRPr="00C223D4" w:rsidRDefault="00BE6789" w:rsidP="00BE6789">
      <w:pPr>
        <w:pStyle w:val="Naslov3"/>
        <w:spacing w:after="120"/>
        <w:ind w:left="397"/>
        <w:rPr>
          <w:lang w:val="en-GB"/>
        </w:rPr>
      </w:pPr>
      <w:r w:rsidRPr="00C223D4">
        <w:rPr>
          <w:lang w:val="en-GB"/>
        </w:rPr>
        <w:t>Questionnaire</w:t>
      </w:r>
    </w:p>
    <w:p w:rsidR="00BE6789" w:rsidRPr="00C223D4" w:rsidRDefault="00BE6789" w:rsidP="00BE6789">
      <w:pPr>
        <w:pStyle w:val="blista"/>
        <w:numPr>
          <w:ilvl w:val="0"/>
          <w:numId w:val="0"/>
        </w:numPr>
        <w:ind w:firstLine="397"/>
        <w:rPr>
          <w:highlight w:val="yellow"/>
          <w:lang w:val="en-GB"/>
        </w:rPr>
      </w:pPr>
      <w:r w:rsidRPr="00C223D4">
        <w:rPr>
          <w:lang w:val="en-GB"/>
        </w:rPr>
        <w:t>For conducting the quarterly Survey, determined is the following questionnaire/ from- T/T – 11</w:t>
      </w:r>
      <w:r w:rsidR="005C4347" w:rsidRPr="00C223D4">
        <w:rPr>
          <w:lang w:val="en-GB"/>
        </w:rPr>
        <w:t>a</w:t>
      </w:r>
      <w:r w:rsidRPr="00C223D4">
        <w:rPr>
          <w:lang w:val="en-GB"/>
        </w:rPr>
        <w:t>.</w:t>
      </w:r>
    </w:p>
    <w:p w:rsidR="00BE6789" w:rsidRPr="00C223D4" w:rsidRDefault="00BE6789" w:rsidP="00BE6789">
      <w:pPr>
        <w:pStyle w:val="Naslov3"/>
        <w:spacing w:after="120"/>
        <w:ind w:left="397"/>
        <w:rPr>
          <w:lang w:val="en-GB"/>
        </w:rPr>
      </w:pPr>
      <w:r w:rsidRPr="00C223D4">
        <w:rPr>
          <w:lang w:val="en-GB"/>
        </w:rPr>
        <w:t xml:space="preserve">Instructions for filling the questionnaire </w:t>
      </w:r>
    </w:p>
    <w:p w:rsidR="00BE6789" w:rsidRPr="00E50250" w:rsidRDefault="00BE6789" w:rsidP="005C4347">
      <w:pPr>
        <w:pStyle w:val="Pasus"/>
        <w:spacing w:before="120" w:after="120"/>
        <w:ind w:left="0" w:firstLine="0"/>
        <w:rPr>
          <w:lang w:val="en-GB"/>
        </w:rPr>
      </w:pPr>
      <w:r w:rsidRPr="00E50250">
        <w:rPr>
          <w:lang w:val="en-GB"/>
        </w:rPr>
        <w:t>Form T/T-11</w:t>
      </w:r>
      <w:r w:rsidR="005C4347" w:rsidRPr="00E50250">
        <w:rPr>
          <w:lang w:val="en-GB"/>
        </w:rPr>
        <w:t>a</w:t>
      </w:r>
      <w:r w:rsidRPr="00E50250">
        <w:rPr>
          <w:lang w:val="en-GB"/>
        </w:rPr>
        <w:t xml:space="preserve"> is completed by all legal entities performing </w:t>
      </w:r>
      <w:r w:rsidR="005C4347" w:rsidRPr="00E50250">
        <w:rPr>
          <w:lang w:val="en-GB"/>
        </w:rPr>
        <w:t>telecommunication</w:t>
      </w:r>
      <w:r w:rsidRPr="00E50250">
        <w:rPr>
          <w:lang w:val="en-GB"/>
        </w:rPr>
        <w:t xml:space="preserve"> activity.</w:t>
      </w:r>
    </w:p>
    <w:p w:rsidR="00BE6789" w:rsidRPr="00E50250" w:rsidRDefault="00BE6789" w:rsidP="005C4347">
      <w:pPr>
        <w:pStyle w:val="Pasus"/>
        <w:spacing w:before="120" w:after="120"/>
        <w:ind w:left="0" w:firstLine="0"/>
        <w:rPr>
          <w:lang w:val="en-GB"/>
        </w:rPr>
      </w:pPr>
      <w:r w:rsidRPr="00E50250">
        <w:rPr>
          <w:lang w:val="en-GB"/>
        </w:rPr>
        <w:t xml:space="preserve">Data in the </w:t>
      </w:r>
      <w:r w:rsidR="005C4347" w:rsidRPr="00E50250">
        <w:rPr>
          <w:lang w:val="en-GB"/>
        </w:rPr>
        <w:t>T</w:t>
      </w:r>
      <w:r w:rsidRPr="00E50250">
        <w:rPr>
          <w:lang w:val="en-GB"/>
        </w:rPr>
        <w:t>able</w:t>
      </w:r>
      <w:r w:rsidR="005C4347" w:rsidRPr="00E50250">
        <w:rPr>
          <w:lang w:val="en-GB"/>
        </w:rPr>
        <w:t xml:space="preserve"> 1</w:t>
      </w:r>
      <w:r w:rsidRPr="00E50250">
        <w:rPr>
          <w:lang w:val="en-GB"/>
        </w:rPr>
        <w:t xml:space="preserve"> are entered in</w:t>
      </w:r>
      <w:r w:rsidR="001575DD" w:rsidRPr="00E50250">
        <w:rPr>
          <w:lang w:val="en-GB"/>
        </w:rPr>
        <w:t xml:space="preserve"> thousands, by months (columns б, в and г), quarterly (column д</w:t>
      </w:r>
      <w:r w:rsidRPr="00E50250">
        <w:rPr>
          <w:lang w:val="en-GB"/>
        </w:rPr>
        <w:t>), as well as in total from the beginning of the year to the end of</w:t>
      </w:r>
      <w:r w:rsidR="001575DD" w:rsidRPr="00E50250">
        <w:rPr>
          <w:lang w:val="en-GB"/>
        </w:rPr>
        <w:t xml:space="preserve"> the reporting quarter (column ђ</w:t>
      </w:r>
      <w:r w:rsidRPr="00E50250">
        <w:rPr>
          <w:lang w:val="en-GB"/>
        </w:rPr>
        <w:t xml:space="preserve">). </w:t>
      </w:r>
      <w:r w:rsidR="005C4347" w:rsidRPr="00E50250">
        <w:rPr>
          <w:lang w:val="en-GB"/>
        </w:rPr>
        <w:t>The first three rows in Table 1 relate to fixed telephon</w:t>
      </w:r>
      <w:r w:rsidR="005C3897" w:rsidRPr="00E50250">
        <w:rPr>
          <w:lang w:val="en-GB"/>
        </w:rPr>
        <w:t>e network</w:t>
      </w:r>
      <w:r w:rsidR="005C4347" w:rsidRPr="00E50250">
        <w:rPr>
          <w:lang w:val="en-GB"/>
        </w:rPr>
        <w:t>, while other three rows refer to mobile telephon</w:t>
      </w:r>
      <w:r w:rsidR="005C3897" w:rsidRPr="00E50250">
        <w:rPr>
          <w:lang w:val="en-GB"/>
        </w:rPr>
        <w:t>e network</w:t>
      </w:r>
      <w:r w:rsidR="005C4347" w:rsidRPr="00E50250">
        <w:rPr>
          <w:lang w:val="en-GB"/>
        </w:rPr>
        <w:t>.</w:t>
      </w:r>
    </w:p>
    <w:p w:rsidR="00BE6789" w:rsidRPr="00E50250" w:rsidRDefault="00BE6789" w:rsidP="005C4347">
      <w:pPr>
        <w:pStyle w:val="Pasus"/>
        <w:spacing w:before="120" w:after="120"/>
        <w:ind w:left="0" w:firstLine="0"/>
        <w:rPr>
          <w:lang w:val="en-GB"/>
        </w:rPr>
      </w:pPr>
      <w:r w:rsidRPr="00E50250">
        <w:rPr>
          <w:lang w:val="en-GB"/>
        </w:rPr>
        <w:t xml:space="preserve">Data on the number of employees for the reporting quarter are entered in the last table, on a monthly basis (columns </w:t>
      </w:r>
      <w:r w:rsidR="001575DD" w:rsidRPr="00E50250">
        <w:rPr>
          <w:lang w:val="sr-Cyrl-RS"/>
        </w:rPr>
        <w:t>б</w:t>
      </w:r>
      <w:r w:rsidR="001575DD" w:rsidRPr="00E50250">
        <w:rPr>
          <w:lang w:val="en-GB"/>
        </w:rPr>
        <w:t>, в and г</w:t>
      </w:r>
      <w:r w:rsidRPr="00E50250">
        <w:rPr>
          <w:lang w:val="en-GB"/>
        </w:rPr>
        <w:t>).</w:t>
      </w:r>
    </w:p>
    <w:p w:rsidR="00BE6789" w:rsidRPr="00E50250" w:rsidRDefault="00BE6789" w:rsidP="005C4347">
      <w:pPr>
        <w:pStyle w:val="Pasus"/>
        <w:spacing w:before="120" w:after="120"/>
        <w:ind w:left="0" w:firstLine="0"/>
        <w:rPr>
          <w:lang w:val="en-GB"/>
        </w:rPr>
      </w:pPr>
      <w:r w:rsidRPr="00E50250">
        <w:rPr>
          <w:lang w:val="en-GB"/>
        </w:rPr>
        <w:t>If necessary, the responsible person from the enterprise - reporting unit can enter an additional note in the provided field. </w:t>
      </w:r>
    </w:p>
    <w:p w:rsidR="005C4347" w:rsidRPr="00E50250" w:rsidRDefault="005C4347" w:rsidP="00BE6789">
      <w:pPr>
        <w:pStyle w:val="Pasus"/>
        <w:spacing w:before="120" w:after="120"/>
        <w:ind w:firstLine="0"/>
        <w:rPr>
          <w:lang w:val="en-GB"/>
        </w:rPr>
      </w:pPr>
    </w:p>
    <w:p w:rsidR="00BE6789" w:rsidRPr="00E50250" w:rsidRDefault="00BE6789" w:rsidP="00BE6789">
      <w:pPr>
        <w:pStyle w:val="Naslov3"/>
        <w:spacing w:after="120"/>
        <w:ind w:left="397"/>
        <w:rPr>
          <w:rFonts w:ascii="Arial IS" w:hAnsi="Arial IS"/>
          <w:i/>
          <w:lang w:val="en-GB"/>
        </w:rPr>
      </w:pPr>
      <w:r w:rsidRPr="00E50250">
        <w:rPr>
          <w:lang w:val="en-GB"/>
        </w:rPr>
        <w:t xml:space="preserve">List of nomenclatures and classifications used in the survey  </w:t>
      </w:r>
      <w:r w:rsidRPr="00E50250">
        <w:rPr>
          <w:lang w:val="en-GB"/>
        </w:rPr>
        <w:br/>
      </w:r>
      <w:r w:rsidRPr="00E50250">
        <w:rPr>
          <w:i/>
          <w:sz w:val="20"/>
          <w:szCs w:val="20"/>
          <w:lang w:val="en-GB"/>
        </w:rPr>
        <w:t>(with the information where to find them)</w:t>
      </w:r>
    </w:p>
    <w:p w:rsidR="00BE6789" w:rsidRPr="00E50250" w:rsidRDefault="00BE6789" w:rsidP="00BE6789">
      <w:pPr>
        <w:pStyle w:val="blista"/>
        <w:rPr>
          <w:lang w:val="en-GB"/>
        </w:rPr>
      </w:pPr>
      <w:r w:rsidRPr="00E50250">
        <w:rPr>
          <w:lang w:val="en-GB"/>
        </w:rPr>
        <w:t>Classification of Activities CA (2010).</w:t>
      </w:r>
    </w:p>
    <w:p w:rsidR="00BE6789" w:rsidRPr="00C223D4" w:rsidRDefault="00BE6789" w:rsidP="00BE6789">
      <w:pPr>
        <w:pStyle w:val="blista"/>
        <w:rPr>
          <w:lang w:val="en-GB"/>
        </w:rPr>
      </w:pPr>
      <w:r w:rsidRPr="00C223D4">
        <w:rPr>
          <w:lang w:val="en-GB"/>
        </w:rPr>
        <w:t>Classifications are available on the website of the Statistical Office of the Republic of Serbia (</w:t>
      </w:r>
      <w:hyperlink r:id="rId7" w:history="1">
        <w:r w:rsidRPr="00C223D4">
          <w:rPr>
            <w:rStyle w:val="Hyperlink"/>
            <w:rFonts w:eastAsiaTheme="majorEastAsia"/>
            <w:lang w:val="en-GB"/>
          </w:rPr>
          <w:t>www.stat.gov.rs</w:t>
        </w:r>
      </w:hyperlink>
      <w:r w:rsidRPr="00C223D4">
        <w:rPr>
          <w:lang w:val="en-GB"/>
        </w:rPr>
        <w:t>)</w:t>
      </w:r>
    </w:p>
    <w:p w:rsidR="00BE6789" w:rsidRPr="00C223D4" w:rsidRDefault="00BE6789" w:rsidP="00BE6789">
      <w:pPr>
        <w:pStyle w:val="blista"/>
        <w:numPr>
          <w:ilvl w:val="0"/>
          <w:numId w:val="0"/>
        </w:numPr>
        <w:ind w:left="1134"/>
        <w:rPr>
          <w:lang w:val="en-GB"/>
        </w:rPr>
      </w:pPr>
    </w:p>
    <w:p w:rsidR="00BE6789" w:rsidRPr="00C223D4" w:rsidRDefault="00BE6789" w:rsidP="00BE6789">
      <w:pPr>
        <w:pStyle w:val="Naslov3"/>
        <w:spacing w:after="120"/>
        <w:ind w:left="397"/>
        <w:rPr>
          <w:lang w:val="en-GB"/>
        </w:rPr>
      </w:pPr>
      <w:r w:rsidRPr="00C223D4">
        <w:rPr>
          <w:lang w:val="en-GB"/>
        </w:rPr>
        <w:t xml:space="preserve">List of publications in which methodology and survey results are published </w:t>
      </w:r>
      <w:r w:rsidRPr="00C223D4">
        <w:rPr>
          <w:i/>
          <w:sz w:val="20"/>
          <w:szCs w:val="20"/>
          <w:lang w:val="en-GB"/>
        </w:rPr>
        <w:t>(in printed form or/and internet presentations)</w:t>
      </w:r>
      <w:r w:rsidRPr="00C223D4">
        <w:rPr>
          <w:lang w:val="en-GB"/>
        </w:rPr>
        <w:t xml:space="preserve"> </w:t>
      </w:r>
    </w:p>
    <w:p w:rsidR="00BE6789" w:rsidRPr="00C223D4" w:rsidRDefault="00BE6789" w:rsidP="00BE6789">
      <w:pPr>
        <w:pStyle w:val="Pasus"/>
        <w:spacing w:before="120" w:after="120"/>
        <w:ind w:left="0" w:firstLine="397"/>
        <w:rPr>
          <w:lang w:val="en-GB"/>
        </w:rPr>
      </w:pPr>
      <w:r w:rsidRPr="00C223D4">
        <w:rPr>
          <w:lang w:val="en-GB"/>
        </w:rPr>
        <w:t xml:space="preserve">The results of the processing of the quarterly survey on traffic of postal services are published in the Monthly Statistical Bulletin, the semi-annual statistical release SV/10, as well as on the website of the Statistical Office of the Republic of Serbia. </w:t>
      </w:r>
    </w:p>
    <w:p w:rsidR="00BE6789" w:rsidRPr="00C223D4" w:rsidRDefault="00BE6789" w:rsidP="00BE6789">
      <w:pPr>
        <w:jc w:val="both"/>
        <w:rPr>
          <w:rFonts w:cs="Arial"/>
          <w:szCs w:val="20"/>
        </w:rPr>
      </w:pPr>
    </w:p>
    <w:p w:rsidR="00BE6789" w:rsidRPr="00C223D4" w:rsidRDefault="00BE6789" w:rsidP="00BE6789">
      <w:pPr>
        <w:jc w:val="both"/>
        <w:rPr>
          <w:rFonts w:cs="Arial"/>
          <w:szCs w:val="20"/>
        </w:rPr>
      </w:pPr>
    </w:p>
    <w:p w:rsidR="00BE6789" w:rsidRPr="00C223D4" w:rsidRDefault="00BE6789" w:rsidP="00BE6789">
      <w:pPr>
        <w:jc w:val="both"/>
        <w:rPr>
          <w:rFonts w:cs="Arial"/>
          <w:szCs w:val="20"/>
        </w:rPr>
      </w:pPr>
    </w:p>
    <w:p w:rsidR="00BE6789" w:rsidRPr="00C223D4" w:rsidRDefault="00BE6789" w:rsidP="00BE6789">
      <w:pPr>
        <w:pStyle w:val="Pasus"/>
        <w:rPr>
          <w:lang w:val="en-GB"/>
        </w:rPr>
      </w:pPr>
      <w:r w:rsidRPr="00C223D4">
        <w:rPr>
          <w:lang w:val="en-GB"/>
        </w:rPr>
        <w:t xml:space="preserve">Contact person – Stevan Tesic, 011/ </w:t>
      </w:r>
      <w:r w:rsidRPr="00C223D4">
        <w:rPr>
          <w:szCs w:val="16"/>
          <w:lang w:val="en-GB"/>
        </w:rPr>
        <w:t>24-03-616</w:t>
      </w:r>
    </w:p>
    <w:p w:rsidR="00BE6789" w:rsidRPr="00C223D4" w:rsidRDefault="00BE6789" w:rsidP="00BE6789">
      <w:pPr>
        <w:pStyle w:val="Pasus"/>
        <w:rPr>
          <w:strike/>
          <w:lang w:val="en-GB"/>
        </w:rPr>
      </w:pPr>
      <w:r w:rsidRPr="00C223D4">
        <w:rPr>
          <w:lang w:val="en-GB"/>
        </w:rPr>
        <w:tab/>
      </w:r>
      <w:r w:rsidRPr="00C223D4">
        <w:rPr>
          <w:lang w:val="en-GB"/>
        </w:rPr>
        <w:tab/>
      </w:r>
    </w:p>
    <w:p w:rsidR="00BE6789" w:rsidRPr="00C223D4" w:rsidRDefault="00BE6789" w:rsidP="00BE6789">
      <w:r w:rsidRPr="00C223D4">
        <w:tab/>
      </w:r>
      <w:r w:rsidRPr="00C223D4">
        <w:tab/>
      </w:r>
      <w:r w:rsidRPr="00C223D4">
        <w:tab/>
      </w:r>
      <w:r w:rsidRPr="00C223D4">
        <w:tab/>
      </w:r>
      <w:r w:rsidRPr="00C223D4">
        <w:tab/>
      </w:r>
      <w:r w:rsidRPr="00C223D4">
        <w:tab/>
      </w:r>
      <w:r w:rsidRPr="00C223D4">
        <w:tab/>
      </w:r>
    </w:p>
    <w:p w:rsidR="00BE6789" w:rsidRPr="00C223D4" w:rsidRDefault="00BE6789" w:rsidP="00BE6789"/>
    <w:p w:rsidR="00E50250" w:rsidRPr="00E50250" w:rsidRDefault="00E50250" w:rsidP="00E50250">
      <w:pPr>
        <w:pStyle w:val="Naslov1"/>
        <w:pBdr>
          <w:top w:val="none" w:sz="0" w:space="0" w:color="auto"/>
          <w:left w:val="none" w:sz="0" w:space="0" w:color="auto"/>
          <w:bottom w:val="none" w:sz="0" w:space="0" w:color="auto"/>
          <w:right w:val="none" w:sz="0" w:space="0" w:color="auto"/>
        </w:pBdr>
        <w:spacing w:after="0"/>
        <w:jc w:val="left"/>
        <w:rPr>
          <w:sz w:val="16"/>
          <w:szCs w:val="16"/>
          <w:lang w:val="en-GB"/>
        </w:rPr>
      </w:pPr>
      <w:r w:rsidRPr="00E50250">
        <w:rPr>
          <w:sz w:val="16"/>
          <w:szCs w:val="16"/>
          <w:lang w:val="en-GB"/>
        </w:rPr>
        <w:t xml:space="preserve">QUARTERLY SURVEY ON TELECOMMUNICATION TRANSACTIONS </w:t>
      </w:r>
    </w:p>
    <w:p w:rsidR="008A5DF0" w:rsidRPr="00C223D4" w:rsidRDefault="008A5DF0"/>
    <w:sectPr w:rsidR="008A5DF0" w:rsidRPr="00C223D4" w:rsidSect="00E50250">
      <w:headerReference w:type="even" r:id="rId8"/>
      <w:headerReference w:type="default" r:id="rId9"/>
      <w:footerReference w:type="even" r:id="rId10"/>
      <w:footerReference w:type="default" r:id="rId11"/>
      <w:headerReference w:type="first" r:id="rId12"/>
      <w:footerReference w:type="first" r:id="rId13"/>
      <w:pgSz w:w="11909" w:h="16834" w:code="9"/>
      <w:pgMar w:top="1134" w:right="1134" w:bottom="1134" w:left="113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13F1" w:rsidRDefault="00C913F1" w:rsidP="009F2903">
      <w:r>
        <w:separator/>
      </w:r>
    </w:p>
  </w:endnote>
  <w:endnote w:type="continuationSeparator" w:id="0">
    <w:p w:rsidR="00C913F1" w:rsidRDefault="00C913F1" w:rsidP="009F29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IS">
    <w:altName w:val="Arial"/>
    <w:panose1 w:val="020B0604020202090204"/>
    <w:charset w:val="00"/>
    <w:family w:val="swiss"/>
    <w:pitch w:val="variable"/>
    <w:sig w:usb0="20000A87" w:usb1="00000000"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4A0" w:firstRow="1" w:lastRow="0" w:firstColumn="1" w:lastColumn="0" w:noHBand="0" w:noVBand="1"/>
    </w:tblPr>
    <w:tblGrid>
      <w:gridCol w:w="3997"/>
      <w:gridCol w:w="5700"/>
    </w:tblGrid>
    <w:tr w:rsidR="00E50250" w:rsidTr="00C655B2">
      <w:tc>
        <w:tcPr>
          <w:tcW w:w="4077" w:type="dxa"/>
        </w:tcPr>
        <w:sdt>
          <w:sdtPr>
            <w:id w:val="2006547570"/>
            <w:docPartObj>
              <w:docPartGallery w:val="Page Numbers (Bottom of Page)"/>
              <w:docPartUnique/>
            </w:docPartObj>
          </w:sdtPr>
          <w:sdtEndPr>
            <w:rPr>
              <w:noProof/>
            </w:rPr>
          </w:sdtEndPr>
          <w:sdtContent>
            <w:p w:rsidR="00E50250" w:rsidRDefault="00E50250" w:rsidP="00E50250">
              <w:pPr>
                <w:pStyle w:val="Footer"/>
                <w:spacing w:before="40"/>
              </w:pPr>
              <w:r w:rsidRPr="004E4564">
                <w:rPr>
                  <w:sz w:val="16"/>
                  <w:szCs w:val="16"/>
                </w:rPr>
                <w:fldChar w:fldCharType="begin"/>
              </w:r>
              <w:r w:rsidRPr="004E4564">
                <w:rPr>
                  <w:sz w:val="16"/>
                  <w:szCs w:val="16"/>
                </w:rPr>
                <w:instrText xml:space="preserve"> PAGE   \* MERGEFORMAT </w:instrText>
              </w:r>
              <w:r w:rsidRPr="004E4564">
                <w:rPr>
                  <w:sz w:val="16"/>
                  <w:szCs w:val="16"/>
                </w:rPr>
                <w:fldChar w:fldCharType="separate"/>
              </w:r>
              <w:r>
                <w:rPr>
                  <w:noProof/>
                  <w:sz w:val="16"/>
                  <w:szCs w:val="16"/>
                </w:rPr>
                <w:t>2</w:t>
              </w:r>
              <w:r w:rsidRPr="004E4564">
                <w:rPr>
                  <w:noProof/>
                  <w:sz w:val="16"/>
                  <w:szCs w:val="16"/>
                </w:rPr>
                <w:fldChar w:fldCharType="end"/>
              </w:r>
            </w:p>
          </w:sdtContent>
        </w:sdt>
      </w:tc>
      <w:tc>
        <w:tcPr>
          <w:tcW w:w="5780" w:type="dxa"/>
        </w:tcPr>
        <w:p w:rsidR="00E50250" w:rsidRPr="001474DB" w:rsidRDefault="00E50250" w:rsidP="00E50250">
          <w:pPr>
            <w:pStyle w:val="Naslov1"/>
            <w:pBdr>
              <w:top w:val="none" w:sz="0" w:space="0" w:color="auto"/>
              <w:left w:val="none" w:sz="0" w:space="0" w:color="auto"/>
              <w:bottom w:val="none" w:sz="0" w:space="0" w:color="auto"/>
              <w:right w:val="none" w:sz="0" w:space="0" w:color="auto"/>
            </w:pBdr>
            <w:spacing w:after="0"/>
            <w:jc w:val="right"/>
            <w:rPr>
              <w:sz w:val="16"/>
              <w:szCs w:val="16"/>
            </w:rPr>
          </w:pPr>
          <w:r w:rsidRPr="00E50250">
            <w:rPr>
              <w:sz w:val="16"/>
              <w:szCs w:val="16"/>
              <w:lang w:val="en-GB"/>
            </w:rPr>
            <w:t xml:space="preserve">QUARTERLY SURVEY ON TELECOMMUNICATION TRANSACTIONS </w:t>
          </w:r>
        </w:p>
      </w:tc>
    </w:tr>
  </w:tbl>
  <w:p w:rsidR="00E45554" w:rsidRPr="00E50250" w:rsidRDefault="00C913F1" w:rsidP="00E50250">
    <w:pPr>
      <w:pStyle w:val="Foote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4A0" w:firstRow="1" w:lastRow="0" w:firstColumn="1" w:lastColumn="0" w:noHBand="0" w:noVBand="1"/>
    </w:tblPr>
    <w:tblGrid>
      <w:gridCol w:w="6265"/>
      <w:gridCol w:w="3432"/>
    </w:tblGrid>
    <w:tr w:rsidR="00E50250" w:rsidTr="00E50250">
      <w:tc>
        <w:tcPr>
          <w:tcW w:w="6265" w:type="dxa"/>
        </w:tcPr>
        <w:p w:rsidR="00E50250" w:rsidRDefault="00E50250" w:rsidP="00E50250">
          <w:pPr>
            <w:pStyle w:val="Naslov1"/>
            <w:pBdr>
              <w:top w:val="none" w:sz="0" w:space="0" w:color="auto"/>
              <w:left w:val="none" w:sz="0" w:space="0" w:color="auto"/>
              <w:bottom w:val="none" w:sz="0" w:space="0" w:color="auto"/>
              <w:right w:val="none" w:sz="0" w:space="0" w:color="auto"/>
            </w:pBdr>
            <w:spacing w:after="0"/>
            <w:jc w:val="left"/>
          </w:pPr>
          <w:bookmarkStart w:id="0" w:name="_GoBack"/>
          <w:r w:rsidRPr="00E50250">
            <w:rPr>
              <w:sz w:val="16"/>
              <w:szCs w:val="16"/>
              <w:lang w:val="en-GB"/>
            </w:rPr>
            <w:t xml:space="preserve">QUARTERLY SURVEY ON TELECOMMUNICATION TRANSACTIONS </w:t>
          </w:r>
        </w:p>
      </w:tc>
      <w:tc>
        <w:tcPr>
          <w:tcW w:w="3432" w:type="dxa"/>
        </w:tcPr>
        <w:p w:rsidR="00E50250" w:rsidRPr="004E4564" w:rsidRDefault="00E50250" w:rsidP="00E50250">
          <w:pPr>
            <w:pStyle w:val="Footer"/>
            <w:spacing w:before="40"/>
            <w:jc w:val="right"/>
            <w:rPr>
              <w:sz w:val="16"/>
              <w:szCs w:val="16"/>
            </w:rPr>
          </w:pPr>
          <w:r w:rsidRPr="004E4564">
            <w:rPr>
              <w:sz w:val="16"/>
              <w:szCs w:val="16"/>
            </w:rPr>
            <w:fldChar w:fldCharType="begin"/>
          </w:r>
          <w:r w:rsidRPr="004E4564">
            <w:rPr>
              <w:sz w:val="16"/>
              <w:szCs w:val="16"/>
            </w:rPr>
            <w:instrText xml:space="preserve"> PAGE   \* MERGEFORMAT </w:instrText>
          </w:r>
          <w:r w:rsidRPr="004E4564">
            <w:rPr>
              <w:sz w:val="16"/>
              <w:szCs w:val="16"/>
            </w:rPr>
            <w:fldChar w:fldCharType="separate"/>
          </w:r>
          <w:r>
            <w:rPr>
              <w:noProof/>
              <w:sz w:val="16"/>
              <w:szCs w:val="16"/>
            </w:rPr>
            <w:t>3</w:t>
          </w:r>
          <w:r w:rsidRPr="004E4564">
            <w:rPr>
              <w:noProof/>
              <w:sz w:val="16"/>
              <w:szCs w:val="16"/>
            </w:rPr>
            <w:fldChar w:fldCharType="end"/>
          </w:r>
        </w:p>
      </w:tc>
    </w:tr>
    <w:bookmarkEnd w:id="0"/>
  </w:tbl>
  <w:p w:rsidR="00E45554" w:rsidRPr="00E50250" w:rsidRDefault="00C913F1" w:rsidP="00E50250">
    <w:pPr>
      <w:pStyle w:val="Footer"/>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0250" w:rsidRDefault="00E502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13F1" w:rsidRDefault="00C913F1" w:rsidP="009F2903">
      <w:r>
        <w:separator/>
      </w:r>
    </w:p>
  </w:footnote>
  <w:footnote w:type="continuationSeparator" w:id="0">
    <w:p w:rsidR="00C913F1" w:rsidRDefault="00C913F1" w:rsidP="009F29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0250" w:rsidRDefault="00E502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0250" w:rsidRDefault="00E5025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0250" w:rsidRDefault="00E502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ED6C53"/>
    <w:multiLevelType w:val="hybridMultilevel"/>
    <w:tmpl w:val="0BD08C1C"/>
    <w:lvl w:ilvl="0" w:tplc="04090001">
      <w:start w:val="1"/>
      <w:numFmt w:val="bullet"/>
      <w:lvlText w:val=""/>
      <w:lvlJc w:val="left"/>
      <w:pPr>
        <w:ind w:left="1117" w:hanging="360"/>
      </w:pPr>
      <w:rPr>
        <w:rFonts w:ascii="Symbol" w:hAnsi="Symbol" w:hint="default"/>
      </w:rPr>
    </w:lvl>
    <w:lvl w:ilvl="1" w:tplc="04090003" w:tentative="1">
      <w:start w:val="1"/>
      <w:numFmt w:val="bullet"/>
      <w:lvlText w:val="o"/>
      <w:lvlJc w:val="left"/>
      <w:pPr>
        <w:ind w:left="1837" w:hanging="360"/>
      </w:pPr>
      <w:rPr>
        <w:rFonts w:ascii="Courier New" w:hAnsi="Courier New" w:cs="Courier New" w:hint="default"/>
      </w:rPr>
    </w:lvl>
    <w:lvl w:ilvl="2" w:tplc="04090005" w:tentative="1">
      <w:start w:val="1"/>
      <w:numFmt w:val="bullet"/>
      <w:lvlText w:val=""/>
      <w:lvlJc w:val="left"/>
      <w:pPr>
        <w:ind w:left="2557" w:hanging="360"/>
      </w:pPr>
      <w:rPr>
        <w:rFonts w:ascii="Wingdings" w:hAnsi="Wingdings" w:hint="default"/>
      </w:rPr>
    </w:lvl>
    <w:lvl w:ilvl="3" w:tplc="04090001" w:tentative="1">
      <w:start w:val="1"/>
      <w:numFmt w:val="bullet"/>
      <w:lvlText w:val=""/>
      <w:lvlJc w:val="left"/>
      <w:pPr>
        <w:ind w:left="3277" w:hanging="360"/>
      </w:pPr>
      <w:rPr>
        <w:rFonts w:ascii="Symbol" w:hAnsi="Symbol" w:hint="default"/>
      </w:rPr>
    </w:lvl>
    <w:lvl w:ilvl="4" w:tplc="04090003" w:tentative="1">
      <w:start w:val="1"/>
      <w:numFmt w:val="bullet"/>
      <w:lvlText w:val="o"/>
      <w:lvlJc w:val="left"/>
      <w:pPr>
        <w:ind w:left="3997" w:hanging="360"/>
      </w:pPr>
      <w:rPr>
        <w:rFonts w:ascii="Courier New" w:hAnsi="Courier New" w:cs="Courier New" w:hint="default"/>
      </w:rPr>
    </w:lvl>
    <w:lvl w:ilvl="5" w:tplc="04090005" w:tentative="1">
      <w:start w:val="1"/>
      <w:numFmt w:val="bullet"/>
      <w:lvlText w:val=""/>
      <w:lvlJc w:val="left"/>
      <w:pPr>
        <w:ind w:left="4717" w:hanging="360"/>
      </w:pPr>
      <w:rPr>
        <w:rFonts w:ascii="Wingdings" w:hAnsi="Wingdings" w:hint="default"/>
      </w:rPr>
    </w:lvl>
    <w:lvl w:ilvl="6" w:tplc="04090001" w:tentative="1">
      <w:start w:val="1"/>
      <w:numFmt w:val="bullet"/>
      <w:lvlText w:val=""/>
      <w:lvlJc w:val="left"/>
      <w:pPr>
        <w:ind w:left="5437" w:hanging="360"/>
      </w:pPr>
      <w:rPr>
        <w:rFonts w:ascii="Symbol" w:hAnsi="Symbol" w:hint="default"/>
      </w:rPr>
    </w:lvl>
    <w:lvl w:ilvl="7" w:tplc="04090003" w:tentative="1">
      <w:start w:val="1"/>
      <w:numFmt w:val="bullet"/>
      <w:lvlText w:val="o"/>
      <w:lvlJc w:val="left"/>
      <w:pPr>
        <w:ind w:left="6157" w:hanging="360"/>
      </w:pPr>
      <w:rPr>
        <w:rFonts w:ascii="Courier New" w:hAnsi="Courier New" w:cs="Courier New" w:hint="default"/>
      </w:rPr>
    </w:lvl>
    <w:lvl w:ilvl="8" w:tplc="04090005" w:tentative="1">
      <w:start w:val="1"/>
      <w:numFmt w:val="bullet"/>
      <w:lvlText w:val=""/>
      <w:lvlJc w:val="left"/>
      <w:pPr>
        <w:ind w:left="6877" w:hanging="360"/>
      </w:pPr>
      <w:rPr>
        <w:rFonts w:ascii="Wingdings" w:hAnsi="Wingdings" w:hint="default"/>
      </w:rPr>
    </w:lvl>
  </w:abstractNum>
  <w:abstractNum w:abstractNumId="1" w15:restartNumberingAfterBreak="0">
    <w:nsid w:val="277D2DC3"/>
    <w:multiLevelType w:val="hybridMultilevel"/>
    <w:tmpl w:val="7FE2A022"/>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2" w15:restartNumberingAfterBreak="0">
    <w:nsid w:val="698A31B1"/>
    <w:multiLevelType w:val="hybridMultilevel"/>
    <w:tmpl w:val="89AC34F0"/>
    <w:lvl w:ilvl="0" w:tplc="50BCBE52">
      <w:start w:val="1"/>
      <w:numFmt w:val="bullet"/>
      <w:pStyle w:val="blista"/>
      <w:lvlText w:val=""/>
      <w:lvlJc w:val="left"/>
      <w:pPr>
        <w:tabs>
          <w:tab w:val="num" w:pos="1134"/>
        </w:tabs>
        <w:ind w:left="1134"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E6789"/>
    <w:rsid w:val="000906BA"/>
    <w:rsid w:val="000B1D56"/>
    <w:rsid w:val="000F157B"/>
    <w:rsid w:val="001575DD"/>
    <w:rsid w:val="0018634A"/>
    <w:rsid w:val="001A7EC2"/>
    <w:rsid w:val="002F5849"/>
    <w:rsid w:val="005446F0"/>
    <w:rsid w:val="005C3897"/>
    <w:rsid w:val="005C4347"/>
    <w:rsid w:val="00717901"/>
    <w:rsid w:val="00790864"/>
    <w:rsid w:val="007E5F09"/>
    <w:rsid w:val="007E7795"/>
    <w:rsid w:val="00887D40"/>
    <w:rsid w:val="008A5DF0"/>
    <w:rsid w:val="00912253"/>
    <w:rsid w:val="00922905"/>
    <w:rsid w:val="009C02D8"/>
    <w:rsid w:val="009F2903"/>
    <w:rsid w:val="00A2108F"/>
    <w:rsid w:val="00BB4CC5"/>
    <w:rsid w:val="00BE6789"/>
    <w:rsid w:val="00C223D4"/>
    <w:rsid w:val="00C66157"/>
    <w:rsid w:val="00C913F1"/>
    <w:rsid w:val="00D225B1"/>
    <w:rsid w:val="00D453DF"/>
    <w:rsid w:val="00E50250"/>
    <w:rsid w:val="00E74E65"/>
    <w:rsid w:val="00EF7DF5"/>
    <w:rsid w:val="00F502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7E677F3-9100-43AF-BC7D-273139B57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6789"/>
    <w:pPr>
      <w:spacing w:after="0" w:line="240" w:lineRule="auto"/>
    </w:pPr>
    <w:rPr>
      <w:rFonts w:ascii="Arial" w:eastAsia="Times New Roman" w:hAnsi="Arial" w:cs="Times New Roman"/>
      <w:sz w:val="20"/>
      <w:szCs w:val="24"/>
      <w:lang w:val="en-GB"/>
    </w:rPr>
  </w:style>
  <w:style w:type="paragraph" w:styleId="Heading1">
    <w:name w:val="heading 1"/>
    <w:basedOn w:val="Normal"/>
    <w:next w:val="Normal"/>
    <w:link w:val="Heading1Char"/>
    <w:uiPriority w:val="9"/>
    <w:qFormat/>
    <w:rsid w:val="00BE678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BE678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BE6789"/>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E6789"/>
    <w:pPr>
      <w:tabs>
        <w:tab w:val="center" w:pos="4320"/>
        <w:tab w:val="right" w:pos="8640"/>
      </w:tabs>
    </w:pPr>
  </w:style>
  <w:style w:type="character" w:customStyle="1" w:styleId="FooterChar">
    <w:name w:val="Footer Char"/>
    <w:basedOn w:val="DefaultParagraphFont"/>
    <w:link w:val="Footer"/>
    <w:uiPriority w:val="99"/>
    <w:rsid w:val="00BE6789"/>
    <w:rPr>
      <w:rFonts w:ascii="Arial" w:eastAsia="Times New Roman" w:hAnsi="Arial" w:cs="Times New Roman"/>
      <w:sz w:val="20"/>
      <w:szCs w:val="24"/>
      <w:lang w:val="en-GB"/>
    </w:rPr>
  </w:style>
  <w:style w:type="paragraph" w:customStyle="1" w:styleId="Naslov1">
    <w:name w:val="Naslov1"/>
    <w:basedOn w:val="Heading1"/>
    <w:rsid w:val="00BE6789"/>
    <w:pPr>
      <w:keepLines w:val="0"/>
      <w:pBdr>
        <w:top w:val="single" w:sz="12" w:space="1" w:color="00CCFF"/>
        <w:left w:val="single" w:sz="12" w:space="4" w:color="00CCFF"/>
        <w:bottom w:val="single" w:sz="12" w:space="1" w:color="00CCFF"/>
        <w:right w:val="single" w:sz="12" w:space="4" w:color="00CCFF"/>
      </w:pBdr>
      <w:tabs>
        <w:tab w:val="left" w:pos="2451"/>
      </w:tabs>
      <w:spacing w:before="0" w:after="480"/>
      <w:jc w:val="center"/>
    </w:pPr>
    <w:rPr>
      <w:rFonts w:ascii="Arial" w:eastAsia="Times New Roman" w:hAnsi="Arial" w:cs="Arial"/>
      <w:b w:val="0"/>
      <w:bCs w:val="0"/>
      <w:caps/>
      <w:color w:val="auto"/>
      <w:kern w:val="32"/>
      <w:sz w:val="32"/>
      <w:szCs w:val="32"/>
      <w:lang w:val="sr-Cyrl-CS"/>
    </w:rPr>
  </w:style>
  <w:style w:type="paragraph" w:customStyle="1" w:styleId="Naslov2">
    <w:name w:val="Naslov2"/>
    <w:basedOn w:val="Heading2"/>
    <w:rsid w:val="00BE6789"/>
    <w:pPr>
      <w:keepLines w:val="0"/>
      <w:pBdr>
        <w:bottom w:val="single" w:sz="12" w:space="1" w:color="00CCFF"/>
      </w:pBdr>
      <w:spacing w:before="360" w:after="240"/>
    </w:pPr>
    <w:rPr>
      <w:rFonts w:ascii="Arial" w:eastAsia="Times New Roman" w:hAnsi="Arial" w:cs="Arial"/>
      <w:iCs/>
      <w:caps/>
      <w:color w:val="auto"/>
      <w:sz w:val="24"/>
      <w:szCs w:val="24"/>
      <w:lang w:val="sr-Cyrl-CS"/>
    </w:rPr>
  </w:style>
  <w:style w:type="paragraph" w:customStyle="1" w:styleId="Naslov3">
    <w:name w:val="Naslov3"/>
    <w:basedOn w:val="Heading3"/>
    <w:link w:val="Naslov3Char"/>
    <w:rsid w:val="00BE6789"/>
    <w:pPr>
      <w:keepLines w:val="0"/>
      <w:spacing w:before="240" w:after="60"/>
      <w:ind w:left="284"/>
    </w:pPr>
    <w:rPr>
      <w:rFonts w:ascii="Arial" w:eastAsia="Times New Roman" w:hAnsi="Arial" w:cs="Arial"/>
      <w:color w:val="auto"/>
      <w:sz w:val="24"/>
      <w:szCs w:val="26"/>
      <w:lang w:val="sr-Cyrl-CS"/>
    </w:rPr>
  </w:style>
  <w:style w:type="paragraph" w:customStyle="1" w:styleId="Pasus">
    <w:name w:val="Pasus"/>
    <w:basedOn w:val="Normal"/>
    <w:link w:val="PasusChar"/>
    <w:rsid w:val="00BE6789"/>
    <w:pPr>
      <w:ind w:left="284" w:firstLine="567"/>
      <w:jc w:val="both"/>
    </w:pPr>
    <w:rPr>
      <w:rFonts w:cs="Arial"/>
      <w:szCs w:val="20"/>
      <w:lang w:val="sr-Cyrl-CS"/>
    </w:rPr>
  </w:style>
  <w:style w:type="character" w:customStyle="1" w:styleId="PasusChar">
    <w:name w:val="Pasus Char"/>
    <w:link w:val="Pasus"/>
    <w:rsid w:val="00BE6789"/>
    <w:rPr>
      <w:rFonts w:ascii="Arial" w:eastAsia="Times New Roman" w:hAnsi="Arial" w:cs="Arial"/>
      <w:sz w:val="20"/>
      <w:szCs w:val="20"/>
      <w:lang w:val="sr-Cyrl-CS"/>
    </w:rPr>
  </w:style>
  <w:style w:type="paragraph" w:customStyle="1" w:styleId="blista">
    <w:name w:val="blista"/>
    <w:basedOn w:val="Normal"/>
    <w:rsid w:val="00BE6789"/>
    <w:pPr>
      <w:numPr>
        <w:numId w:val="1"/>
      </w:numPr>
      <w:jc w:val="both"/>
    </w:pPr>
    <w:rPr>
      <w:rFonts w:cs="Arial"/>
      <w:szCs w:val="20"/>
      <w:lang w:val="sr-Cyrl-CS"/>
    </w:rPr>
  </w:style>
  <w:style w:type="character" w:customStyle="1" w:styleId="Naslov3Char">
    <w:name w:val="Naslov3 Char"/>
    <w:link w:val="Naslov3"/>
    <w:rsid w:val="00BE6789"/>
    <w:rPr>
      <w:rFonts w:ascii="Arial" w:eastAsia="Times New Roman" w:hAnsi="Arial" w:cs="Arial"/>
      <w:b/>
      <w:bCs/>
      <w:sz w:val="24"/>
      <w:szCs w:val="26"/>
      <w:lang w:val="sr-Cyrl-CS"/>
    </w:rPr>
  </w:style>
  <w:style w:type="character" w:styleId="Hyperlink">
    <w:name w:val="Hyperlink"/>
    <w:basedOn w:val="DefaultParagraphFont"/>
    <w:uiPriority w:val="99"/>
    <w:unhideWhenUsed/>
    <w:rsid w:val="00BE6789"/>
    <w:rPr>
      <w:color w:val="0000FF" w:themeColor="hyperlink"/>
      <w:u w:val="single"/>
    </w:rPr>
  </w:style>
  <w:style w:type="character" w:customStyle="1" w:styleId="Heading1Char">
    <w:name w:val="Heading 1 Char"/>
    <w:basedOn w:val="DefaultParagraphFont"/>
    <w:link w:val="Heading1"/>
    <w:uiPriority w:val="9"/>
    <w:rsid w:val="00BE6789"/>
    <w:rPr>
      <w:rFonts w:asciiTheme="majorHAnsi" w:eastAsiaTheme="majorEastAsia" w:hAnsiTheme="majorHAnsi" w:cstheme="majorBidi"/>
      <w:b/>
      <w:bCs/>
      <w:color w:val="365F91" w:themeColor="accent1" w:themeShade="BF"/>
      <w:sz w:val="28"/>
      <w:szCs w:val="28"/>
      <w:lang w:val="en-GB"/>
    </w:rPr>
  </w:style>
  <w:style w:type="character" w:customStyle="1" w:styleId="Heading2Char">
    <w:name w:val="Heading 2 Char"/>
    <w:basedOn w:val="DefaultParagraphFont"/>
    <w:link w:val="Heading2"/>
    <w:uiPriority w:val="9"/>
    <w:semiHidden/>
    <w:rsid w:val="00BE6789"/>
    <w:rPr>
      <w:rFonts w:asciiTheme="majorHAnsi" w:eastAsiaTheme="majorEastAsia" w:hAnsiTheme="majorHAnsi" w:cstheme="majorBidi"/>
      <w:b/>
      <w:bCs/>
      <w:color w:val="4F81BD" w:themeColor="accent1"/>
      <w:sz w:val="26"/>
      <w:szCs w:val="26"/>
      <w:lang w:val="en-GB"/>
    </w:rPr>
  </w:style>
  <w:style w:type="character" w:customStyle="1" w:styleId="Heading3Char">
    <w:name w:val="Heading 3 Char"/>
    <w:basedOn w:val="DefaultParagraphFont"/>
    <w:link w:val="Heading3"/>
    <w:uiPriority w:val="9"/>
    <w:semiHidden/>
    <w:rsid w:val="00BE6789"/>
    <w:rPr>
      <w:rFonts w:asciiTheme="majorHAnsi" w:eastAsiaTheme="majorEastAsia" w:hAnsiTheme="majorHAnsi" w:cstheme="majorBidi"/>
      <w:b/>
      <w:bCs/>
      <w:color w:val="4F81BD" w:themeColor="accent1"/>
      <w:sz w:val="20"/>
      <w:szCs w:val="24"/>
      <w:lang w:val="en-GB"/>
    </w:rPr>
  </w:style>
  <w:style w:type="paragraph" w:styleId="Header">
    <w:name w:val="header"/>
    <w:basedOn w:val="Normal"/>
    <w:link w:val="HeaderChar"/>
    <w:uiPriority w:val="99"/>
    <w:unhideWhenUsed/>
    <w:rsid w:val="00E50250"/>
    <w:pPr>
      <w:tabs>
        <w:tab w:val="center" w:pos="4680"/>
        <w:tab w:val="right" w:pos="9360"/>
      </w:tabs>
    </w:pPr>
  </w:style>
  <w:style w:type="character" w:customStyle="1" w:styleId="HeaderChar">
    <w:name w:val="Header Char"/>
    <w:basedOn w:val="DefaultParagraphFont"/>
    <w:link w:val="Header"/>
    <w:uiPriority w:val="99"/>
    <w:rsid w:val="00E50250"/>
    <w:rPr>
      <w:rFonts w:ascii="Arial" w:eastAsia="Times New Roman" w:hAnsi="Arial" w:cs="Times New Roman"/>
      <w:sz w:val="20"/>
      <w:szCs w:val="24"/>
      <w:lang w:val="en-GB"/>
    </w:rPr>
  </w:style>
  <w:style w:type="table" w:styleId="TableGrid">
    <w:name w:val="Table Grid"/>
    <w:basedOn w:val="TableNormal"/>
    <w:rsid w:val="00E50250"/>
    <w:pPr>
      <w:spacing w:after="0" w:line="240" w:lineRule="auto"/>
    </w:pPr>
    <w:rPr>
      <w:rFonts w:ascii="Arial" w:eastAsia="Times New Roman" w:hAnsi="Arial"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stat.gov.rs"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164</TotalTime>
  <Pages>3</Pages>
  <Words>1055</Words>
  <Characters>6020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katarina</dc:creator>
  <cp:lastModifiedBy>Irena Dimic</cp:lastModifiedBy>
  <cp:revision>16</cp:revision>
  <dcterms:created xsi:type="dcterms:W3CDTF">2020-06-04T09:24:00Z</dcterms:created>
  <dcterms:modified xsi:type="dcterms:W3CDTF">2020-06-11T11:19:00Z</dcterms:modified>
</cp:coreProperties>
</file>