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5230"/>
        <w:gridCol w:w="3329"/>
      </w:tblGrid>
      <w:tr w:rsidR="00EF554A" w:rsidRPr="009B6A39" w:rsidTr="00DC12E6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9B6A39" w:rsidRDefault="00DC12E6" w:rsidP="00DC12E6">
            <w:pPr>
              <w:pStyle w:val="Heading5"/>
              <w:spacing w:before="120" w:after="120"/>
              <w:jc w:val="center"/>
              <w:rPr>
                <w:b w:val="0"/>
                <w:i w:val="0"/>
              </w:rPr>
            </w:pPr>
            <w:r w:rsidRPr="009B6A39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-510540</wp:posOffset>
                  </wp:positionH>
                  <wp:positionV relativeFrom="line">
                    <wp:posOffset>23495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9B6A39" w:rsidRDefault="00E46D77" w:rsidP="002338F2">
            <w:r w:rsidRPr="009B6A39">
              <w:t>Republic of Serbia</w:t>
            </w:r>
          </w:p>
          <w:p w:rsidR="00EF554A" w:rsidRPr="009B6A39" w:rsidRDefault="00E46D77" w:rsidP="00E46D77">
            <w:r w:rsidRPr="009B6A39"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9B6A39" w:rsidRDefault="00EF554A" w:rsidP="006E7AF4">
            <w:pPr>
              <w:jc w:val="right"/>
              <w:rPr>
                <w:b/>
                <w:bCs/>
                <w:color w:val="FF0000"/>
              </w:rPr>
            </w:pPr>
            <w:r w:rsidRPr="009B6A39">
              <w:t>ISSN 0353-9555</w:t>
            </w:r>
          </w:p>
        </w:tc>
      </w:tr>
      <w:tr w:rsidR="00EF554A" w:rsidRPr="009B6A39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9B6A39" w:rsidRDefault="00350FC0" w:rsidP="002338F2">
            <w:pPr>
              <w:rPr>
                <w:color w:val="808080"/>
              </w:rPr>
            </w:pPr>
            <w:r w:rsidRPr="009B6A39">
              <w:rPr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9B6A39" w:rsidRDefault="006F4722" w:rsidP="006F4722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9B6A39">
              <w:rPr>
                <w:b/>
                <w:bCs/>
                <w:color w:val="808080"/>
                <w:sz w:val="48"/>
                <w:szCs w:val="48"/>
              </w:rPr>
              <w:t>ZS8</w:t>
            </w:r>
            <w:r w:rsidR="005208E4" w:rsidRPr="009B6A39">
              <w:rPr>
                <w:b/>
                <w:bCs/>
                <w:color w:val="808080"/>
                <w:sz w:val="48"/>
                <w:szCs w:val="48"/>
              </w:rPr>
              <w:t>0</w:t>
            </w:r>
          </w:p>
        </w:tc>
      </w:tr>
      <w:tr w:rsidR="00EF554A" w:rsidRPr="009B6A39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9B6A39" w:rsidRDefault="00E46D77" w:rsidP="00B92B8A">
            <w:r w:rsidRPr="009B6A39">
              <w:t>Number</w:t>
            </w:r>
            <w:r w:rsidR="003E5397">
              <w:rPr>
                <w:lang w:val="sr-Cyrl-RS"/>
              </w:rPr>
              <w:t xml:space="preserve"> </w:t>
            </w:r>
            <w:r w:rsidR="00014006" w:rsidRPr="009B6A39">
              <w:t>25</w:t>
            </w:r>
            <w:r w:rsidR="00B92B8A" w:rsidRPr="009B6A39">
              <w:t>3</w:t>
            </w:r>
            <w:r w:rsidR="003E5397">
              <w:rPr>
                <w:lang w:val="sr-Cyrl-RS"/>
              </w:rPr>
              <w:t xml:space="preserve"> </w:t>
            </w:r>
            <w:r w:rsidR="00EF554A" w:rsidRPr="009B6A39">
              <w:t xml:space="preserve">- </w:t>
            </w:r>
            <w:r w:rsidRPr="009B6A39">
              <w:t>Year</w:t>
            </w:r>
            <w:r w:rsidR="00EF554A" w:rsidRPr="009B6A39">
              <w:t xml:space="preserve"> LX</w:t>
            </w:r>
            <w:r w:rsidR="00B92B8A" w:rsidRPr="009B6A39">
              <w:t>X</w:t>
            </w:r>
            <w:r w:rsidR="00EF554A" w:rsidRPr="009B6A39">
              <w:t xml:space="preserve">, </w:t>
            </w:r>
            <w:r w:rsidR="00B92B8A" w:rsidRPr="009B6A39">
              <w:t>18</w:t>
            </w:r>
            <w:r w:rsidR="00EF554A" w:rsidRPr="009B6A39">
              <w:t>.</w:t>
            </w:r>
            <w:r w:rsidR="00C71557" w:rsidRPr="009B6A39">
              <w:t>09</w:t>
            </w:r>
            <w:r w:rsidR="00EF554A" w:rsidRPr="009B6A39">
              <w:t>.</w:t>
            </w:r>
            <w:r w:rsidR="00B92B8A" w:rsidRPr="009B6A39">
              <w:t>2020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9B6A39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9B6A39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9B6A39" w:rsidRDefault="00C50F07" w:rsidP="00350FC0">
            <w:pPr>
              <w:rPr>
                <w:b/>
                <w:bCs/>
                <w:sz w:val="24"/>
                <w:szCs w:val="24"/>
              </w:rPr>
            </w:pPr>
            <w:r w:rsidRPr="009B6A39">
              <w:rPr>
                <w:b/>
                <w:bCs/>
                <w:sz w:val="24"/>
                <w:szCs w:val="24"/>
              </w:rPr>
              <w:t>Environmental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9B6A39" w:rsidRDefault="00E46D77" w:rsidP="003E5397">
            <w:pPr>
              <w:jc w:val="right"/>
              <w:rPr>
                <w:b/>
                <w:bCs/>
              </w:rPr>
            </w:pPr>
            <w:r w:rsidRPr="009B6A39">
              <w:t>SERB</w:t>
            </w:r>
            <w:r w:rsidR="00014006" w:rsidRPr="009B6A39">
              <w:t>25</w:t>
            </w:r>
            <w:r w:rsidR="00B92B8A" w:rsidRPr="009B6A39">
              <w:t>3</w:t>
            </w:r>
            <w:r w:rsidR="003E5397">
              <w:rPr>
                <w:lang w:val="sr-Cyrl-RS"/>
              </w:rPr>
              <w:t xml:space="preserve">  </w:t>
            </w:r>
            <w:r w:rsidR="006F4722" w:rsidRPr="009B6A39">
              <w:t>ZS8</w:t>
            </w:r>
            <w:r w:rsidR="007513E5" w:rsidRPr="009B6A39">
              <w:t>0</w:t>
            </w:r>
            <w:r w:rsidR="003E5397">
              <w:rPr>
                <w:lang w:val="sr-Cyrl-RS"/>
              </w:rPr>
              <w:t xml:space="preserve"> </w:t>
            </w:r>
            <w:r w:rsidR="00B92B8A" w:rsidRPr="009B6A39">
              <w:t>1</w:t>
            </w:r>
            <w:r w:rsidR="003E5397">
              <w:rPr>
                <w:lang w:val="sr-Cyrl-RS"/>
              </w:rPr>
              <w:t>8</w:t>
            </w:r>
            <w:r w:rsidR="00B92B8A" w:rsidRPr="009B6A39">
              <w:t>0920</w:t>
            </w:r>
          </w:p>
        </w:tc>
      </w:tr>
    </w:tbl>
    <w:p w:rsidR="0031163C" w:rsidRPr="003E5397" w:rsidRDefault="00E46D77" w:rsidP="00994910">
      <w:pPr>
        <w:spacing w:before="480" w:after="120"/>
        <w:jc w:val="center"/>
        <w:outlineLvl w:val="0"/>
        <w:rPr>
          <w:b/>
          <w:sz w:val="24"/>
          <w:szCs w:val="24"/>
          <w:shd w:val="clear" w:color="auto" w:fill="FFFFFF"/>
        </w:rPr>
      </w:pPr>
      <w:r w:rsidRPr="003E5397">
        <w:rPr>
          <w:b/>
          <w:sz w:val="24"/>
          <w:szCs w:val="24"/>
          <w:shd w:val="clear" w:color="auto" w:fill="FFFFFF"/>
        </w:rPr>
        <w:t>Air Emissions Account, 201</w:t>
      </w:r>
      <w:r w:rsidR="00D16CFA" w:rsidRPr="003E5397">
        <w:rPr>
          <w:b/>
          <w:sz w:val="24"/>
          <w:szCs w:val="24"/>
          <w:shd w:val="clear" w:color="auto" w:fill="FFFFFF"/>
        </w:rPr>
        <w:t>8</w:t>
      </w:r>
    </w:p>
    <w:p w:rsidR="008740AE" w:rsidRPr="003E5397" w:rsidRDefault="008740AE" w:rsidP="00C71557">
      <w:pPr>
        <w:spacing w:before="120" w:after="120"/>
        <w:ind w:firstLine="450"/>
        <w:jc w:val="both"/>
      </w:pPr>
    </w:p>
    <w:p w:rsidR="006728A5" w:rsidRPr="003E5397" w:rsidRDefault="006728A5" w:rsidP="006728A5">
      <w:pPr>
        <w:spacing w:before="120" w:after="120" w:line="264" w:lineRule="auto"/>
        <w:ind w:firstLine="450"/>
        <w:jc w:val="both"/>
      </w:pPr>
      <w:r w:rsidRPr="003E5397">
        <w:t>SО</w:t>
      </w:r>
      <w:r w:rsidRPr="003E5397">
        <w:rPr>
          <w:vertAlign w:val="subscript"/>
        </w:rPr>
        <w:t>2</w:t>
      </w:r>
      <w:r w:rsidRPr="003E5397">
        <w:t xml:space="preserve"> emission in 201</w:t>
      </w:r>
      <w:r w:rsidR="00D16CFA" w:rsidRPr="003E5397">
        <w:t>8</w:t>
      </w:r>
      <w:r w:rsidRPr="003E5397">
        <w:t xml:space="preserve"> amounted to </w:t>
      </w:r>
      <w:r w:rsidR="00D16CFA" w:rsidRPr="003E5397">
        <w:t>3</w:t>
      </w:r>
      <w:r w:rsidRPr="003E5397">
        <w:t>4</w:t>
      </w:r>
      <w:r w:rsidR="00D16CFA" w:rsidRPr="003E5397">
        <w:t>5</w:t>
      </w:r>
      <w:r w:rsidR="004375CC" w:rsidRPr="003E5397">
        <w:t>.</w:t>
      </w:r>
      <w:r w:rsidR="00D16CFA" w:rsidRPr="003E5397">
        <w:t>5</w:t>
      </w:r>
      <w:r w:rsidRPr="003E5397">
        <w:t xml:space="preserve"> </w:t>
      </w:r>
      <w:r w:rsidR="00BB6A18" w:rsidRPr="003E5397">
        <w:t xml:space="preserve">thousand </w:t>
      </w:r>
      <w:r w:rsidRPr="003E5397">
        <w:t xml:space="preserve">tons (Gg), presenting the </w:t>
      </w:r>
      <w:r w:rsidR="00D16CFA" w:rsidRPr="003E5397">
        <w:t>de</w:t>
      </w:r>
      <w:r w:rsidRPr="003E5397">
        <w:t xml:space="preserve">crease of </w:t>
      </w:r>
      <w:r w:rsidR="00D16CFA" w:rsidRPr="003E5397">
        <w:t>5</w:t>
      </w:r>
      <w:r w:rsidR="004375CC" w:rsidRPr="003E5397">
        <w:t>.</w:t>
      </w:r>
      <w:r w:rsidR="00D16CFA" w:rsidRPr="003E5397">
        <w:t>9</w:t>
      </w:r>
      <w:r w:rsidR="00BB5612" w:rsidRPr="003E5397">
        <w:t xml:space="preserve">% relative to the previous </w:t>
      </w:r>
      <w:r w:rsidR="009B6A39" w:rsidRPr="003E5397">
        <w:t>year. Total</w:t>
      </w:r>
      <w:r w:rsidR="00BB5612" w:rsidRPr="003E5397">
        <w:t xml:space="preserve"> emissions of SО</w:t>
      </w:r>
      <w:r w:rsidR="00BB5612" w:rsidRPr="003E5397">
        <w:rPr>
          <w:vertAlign w:val="subscript"/>
        </w:rPr>
        <w:t xml:space="preserve">2 </w:t>
      </w:r>
      <w:r w:rsidRPr="003E5397">
        <w:t xml:space="preserve">in the section of Electricity, gas, steam and air conditioning supply has the share of </w:t>
      </w:r>
      <w:r w:rsidR="00D16CFA" w:rsidRPr="003E5397">
        <w:t>8</w:t>
      </w:r>
      <w:r w:rsidRPr="003E5397">
        <w:t>9.</w:t>
      </w:r>
      <w:r w:rsidR="00D16CFA" w:rsidRPr="003E5397">
        <w:t>6</w:t>
      </w:r>
      <w:r w:rsidRPr="003E5397">
        <w:t xml:space="preserve">% </w:t>
      </w:r>
      <w:r w:rsidR="00BB5612" w:rsidRPr="003E5397">
        <w:t>with slight decrease relative to the 201</w:t>
      </w:r>
      <w:r w:rsidR="00D16CFA" w:rsidRPr="003E5397">
        <w:t>7</w:t>
      </w:r>
      <w:r w:rsidRPr="003E5397">
        <w:t>. The share of SО</w:t>
      </w:r>
      <w:r w:rsidRPr="003E5397">
        <w:rPr>
          <w:vertAlign w:val="subscript"/>
        </w:rPr>
        <w:t>2</w:t>
      </w:r>
      <w:r w:rsidRPr="003E5397">
        <w:t xml:space="preserve"> emission in the section of Manufacturing was </w:t>
      </w:r>
      <w:r w:rsidR="00D16CFA" w:rsidRPr="003E5397">
        <w:t>5.7</w:t>
      </w:r>
      <w:r w:rsidRPr="003E5397">
        <w:t>%, in other sections of economic activities, it was 1.</w:t>
      </w:r>
      <w:r w:rsidR="00D16CFA" w:rsidRPr="003E5397">
        <w:t>9</w:t>
      </w:r>
      <w:r w:rsidRPr="003E5397">
        <w:t>% and in Households 2.</w:t>
      </w:r>
      <w:r w:rsidR="00D16CFA" w:rsidRPr="003E5397">
        <w:t>8</w:t>
      </w:r>
      <w:r w:rsidRPr="003E5397">
        <w:t xml:space="preserve">%. </w:t>
      </w:r>
    </w:p>
    <w:p w:rsidR="006728A5" w:rsidRPr="003E5397" w:rsidRDefault="006728A5" w:rsidP="006728A5">
      <w:pPr>
        <w:spacing w:before="120" w:after="120" w:line="264" w:lineRule="auto"/>
        <w:ind w:firstLine="450"/>
        <w:jc w:val="both"/>
      </w:pPr>
      <w:r w:rsidRPr="003E5397">
        <w:t>Of the total of 25</w:t>
      </w:r>
      <w:r w:rsidR="00837A72" w:rsidRPr="003E5397">
        <w:t>0</w:t>
      </w:r>
      <w:r w:rsidRPr="003E5397">
        <w:t>.</w:t>
      </w:r>
      <w:r w:rsidR="00837A72" w:rsidRPr="003E5397">
        <w:t>1</w:t>
      </w:r>
      <w:r w:rsidRPr="003E5397">
        <w:t xml:space="preserve"> </w:t>
      </w:r>
      <w:r w:rsidR="00BB6A18" w:rsidRPr="003E5397">
        <w:t>thousand</w:t>
      </w:r>
      <w:r w:rsidRPr="003E5397">
        <w:t xml:space="preserve"> tons (Gg) of emitted CO in 201</w:t>
      </w:r>
      <w:r w:rsidR="00837A72" w:rsidRPr="003E5397">
        <w:t>8</w:t>
      </w:r>
      <w:r w:rsidRPr="003E5397">
        <w:t xml:space="preserve">, </w:t>
      </w:r>
      <w:r w:rsidR="00837A72" w:rsidRPr="003E5397">
        <w:t>7</w:t>
      </w:r>
      <w:r w:rsidRPr="003E5397">
        <w:t xml:space="preserve">8.8% related to emissions from households. The emissions of households caused by </w:t>
      </w:r>
      <w:r w:rsidR="00560BF7" w:rsidRPr="003E5397">
        <w:t xml:space="preserve">the </w:t>
      </w:r>
      <w:r w:rsidR="00D002E4" w:rsidRPr="003E5397">
        <w:t xml:space="preserve">heating method amounted to </w:t>
      </w:r>
      <w:r w:rsidR="00837A72" w:rsidRPr="003E5397">
        <w:t>9</w:t>
      </w:r>
      <w:r w:rsidR="00D002E4" w:rsidRPr="003E5397">
        <w:t>1.</w:t>
      </w:r>
      <w:r w:rsidR="00837A72" w:rsidRPr="003E5397">
        <w:t>9</w:t>
      </w:r>
      <w:r w:rsidR="00D002E4" w:rsidRPr="003E5397">
        <w:t xml:space="preserve">%. The sections of economic activities have significantly smaller shares in total CO emissions, and the section of </w:t>
      </w:r>
      <w:r w:rsidR="00560BF7" w:rsidRPr="003E5397">
        <w:t>M</w:t>
      </w:r>
      <w:r w:rsidR="00D002E4" w:rsidRPr="003E5397">
        <w:t xml:space="preserve">anufacturing </w:t>
      </w:r>
      <w:r w:rsidR="00560BF7" w:rsidRPr="003E5397">
        <w:t xml:space="preserve">noted remarkable </w:t>
      </w:r>
      <w:r w:rsidR="00837A72" w:rsidRPr="003E5397">
        <w:t>in</w:t>
      </w:r>
      <w:r w:rsidR="00560BF7" w:rsidRPr="003E5397">
        <w:t>crease of this gas emission (</w:t>
      </w:r>
      <w:r w:rsidR="00837A72" w:rsidRPr="003E5397">
        <w:t>1</w:t>
      </w:r>
      <w:r w:rsidR="00560BF7" w:rsidRPr="003E5397">
        <w:t>8.</w:t>
      </w:r>
      <w:r w:rsidR="00837A72" w:rsidRPr="003E5397">
        <w:t>1</w:t>
      </w:r>
      <w:r w:rsidR="00560BF7" w:rsidRPr="003E5397">
        <w:t xml:space="preserve">%) relative to the previous year. </w:t>
      </w:r>
    </w:p>
    <w:p w:rsidR="00BB6A18" w:rsidRPr="00756BEC" w:rsidRDefault="00BB6A18" w:rsidP="00560BF7">
      <w:pPr>
        <w:spacing w:before="120" w:after="120" w:line="264" w:lineRule="auto"/>
        <w:ind w:firstLine="450"/>
        <w:jc w:val="both"/>
      </w:pPr>
      <w:r w:rsidRPr="00756BEC">
        <w:t xml:space="preserve">Emission of </w:t>
      </w:r>
      <w:proofErr w:type="spellStart"/>
      <w:r w:rsidRPr="00756BEC">
        <w:t>NОx</w:t>
      </w:r>
      <w:proofErr w:type="spellEnd"/>
      <w:r w:rsidRPr="00756BEC">
        <w:t>,</w:t>
      </w:r>
      <w:r w:rsidR="00560BF7" w:rsidRPr="00756BEC">
        <w:t xml:space="preserve"> with 1</w:t>
      </w:r>
      <w:r w:rsidR="00837A72" w:rsidRPr="00756BEC">
        <w:t>27</w:t>
      </w:r>
      <w:r w:rsidR="00560BF7" w:rsidRPr="00756BEC">
        <w:t>.</w:t>
      </w:r>
      <w:r w:rsidR="00837A72" w:rsidRPr="00756BEC">
        <w:t>1</w:t>
      </w:r>
      <w:r w:rsidR="00560BF7" w:rsidRPr="00756BEC">
        <w:t xml:space="preserve"> </w:t>
      </w:r>
      <w:r w:rsidRPr="00756BEC">
        <w:t>thousand</w:t>
      </w:r>
      <w:r w:rsidR="00560BF7" w:rsidRPr="00756BEC">
        <w:t xml:space="preserve"> tons</w:t>
      </w:r>
      <w:r w:rsidRPr="00756BEC">
        <w:t xml:space="preserve"> emitted gases,</w:t>
      </w:r>
      <w:r w:rsidR="00560BF7" w:rsidRPr="00756BEC">
        <w:t xml:space="preserve"> recorded </w:t>
      </w:r>
      <w:r w:rsidR="00837A72" w:rsidRPr="00756BEC">
        <w:t>slight de</w:t>
      </w:r>
      <w:r w:rsidR="00560BF7" w:rsidRPr="00756BEC">
        <w:t xml:space="preserve">crease of </w:t>
      </w:r>
      <w:r w:rsidR="00837A72" w:rsidRPr="00756BEC">
        <w:t>5</w:t>
      </w:r>
      <w:r w:rsidR="00560BF7" w:rsidRPr="00756BEC">
        <w:t xml:space="preserve">.8% relative to the previous year. </w:t>
      </w:r>
      <w:r w:rsidR="00837A72" w:rsidRPr="00756BEC">
        <w:t>E</w:t>
      </w:r>
      <w:r w:rsidR="00560BF7" w:rsidRPr="00756BEC">
        <w:t xml:space="preserve">mission of the mentioned gases </w:t>
      </w:r>
      <w:r w:rsidR="00837A72" w:rsidRPr="00756BEC">
        <w:t xml:space="preserve">from </w:t>
      </w:r>
      <w:r w:rsidR="001326B5" w:rsidRPr="00756BEC">
        <w:t>h</w:t>
      </w:r>
      <w:r w:rsidR="00837A72" w:rsidRPr="00756BEC">
        <w:t xml:space="preserve">ouseholds, in the sense of transport, </w:t>
      </w:r>
      <w:r w:rsidR="00560BF7" w:rsidRPr="00756BEC">
        <w:t xml:space="preserve">recorded </w:t>
      </w:r>
      <w:r w:rsidR="00714AB3" w:rsidRPr="00756BEC">
        <w:rPr>
          <w:lang w:val="sr-Latn-RS"/>
        </w:rPr>
        <w:t>increase</w:t>
      </w:r>
      <w:r w:rsidR="00837A72" w:rsidRPr="00756BEC">
        <w:t xml:space="preserve"> of 2.1%, </w:t>
      </w:r>
      <w:r w:rsidR="00714AB3" w:rsidRPr="00756BEC">
        <w:t>and decrease</w:t>
      </w:r>
      <w:r w:rsidR="00837A72" w:rsidRPr="00756BEC">
        <w:t xml:space="preserve"> in the sections of Agriculture, forestry and fishing (31.7%) and </w:t>
      </w:r>
      <w:r w:rsidR="00560BF7" w:rsidRPr="00756BEC">
        <w:t>in the section of Electricity, gas, steam and air conditioning supply (</w:t>
      </w:r>
      <w:r w:rsidR="00837A72" w:rsidRPr="00756BEC">
        <w:t>6</w:t>
      </w:r>
      <w:r w:rsidR="00560BF7" w:rsidRPr="00756BEC">
        <w:t>.</w:t>
      </w:r>
      <w:r w:rsidR="00837A72" w:rsidRPr="00756BEC">
        <w:t>3</w:t>
      </w:r>
      <w:r w:rsidR="00560BF7" w:rsidRPr="00756BEC">
        <w:t>%)</w:t>
      </w:r>
      <w:r w:rsidR="00837A72" w:rsidRPr="00756BEC">
        <w:t>.</w:t>
      </w:r>
      <w:r w:rsidR="00560BF7" w:rsidRPr="00756BEC">
        <w:t xml:space="preserve">   </w:t>
      </w:r>
    </w:p>
    <w:p w:rsidR="006728A5" w:rsidRPr="009B6A39" w:rsidRDefault="006728A5" w:rsidP="006F4722">
      <w:pPr>
        <w:spacing w:before="120" w:after="120" w:line="264" w:lineRule="auto"/>
        <w:ind w:firstLine="450"/>
        <w:jc w:val="both"/>
      </w:pPr>
    </w:p>
    <w:p w:rsidR="00BB6A18" w:rsidRPr="009B6A39" w:rsidRDefault="00BB6A18" w:rsidP="006F4722">
      <w:pPr>
        <w:spacing w:before="120" w:after="120" w:line="264" w:lineRule="auto"/>
        <w:ind w:firstLine="450"/>
        <w:jc w:val="both"/>
      </w:pPr>
    </w:p>
    <w:p w:rsidR="00BB6A18" w:rsidRPr="009B6A39" w:rsidRDefault="00BB6A18" w:rsidP="00BB6A18">
      <w:pPr>
        <w:jc w:val="center"/>
        <w:rPr>
          <w:b/>
          <w:bCs/>
        </w:rPr>
      </w:pPr>
      <w:r w:rsidRPr="009B6A39">
        <w:rPr>
          <w:b/>
          <w:bCs/>
        </w:rPr>
        <w:t>1. Air emissions of pollutants</w:t>
      </w:r>
      <w:r w:rsidRPr="009B6A39">
        <w:rPr>
          <w:b/>
          <w:bCs/>
          <w:vertAlign w:val="superscript"/>
        </w:rPr>
        <w:t>1)</w:t>
      </w:r>
      <w:r w:rsidRPr="009B6A39">
        <w:rPr>
          <w:b/>
          <w:bCs/>
        </w:rPr>
        <w:t xml:space="preserve"> by source</w:t>
      </w:r>
    </w:p>
    <w:p w:rsidR="00BB6A18" w:rsidRPr="009B6A39" w:rsidRDefault="00BB6A18" w:rsidP="004375CC">
      <w:pPr>
        <w:spacing w:before="120" w:after="60" w:line="264" w:lineRule="auto"/>
        <w:rPr>
          <w:sz w:val="16"/>
          <w:szCs w:val="16"/>
          <w:vertAlign w:val="superscript"/>
        </w:rPr>
      </w:pPr>
      <w:r w:rsidRPr="009B6A39">
        <w:rPr>
          <w:b/>
          <w:sz w:val="18"/>
          <w:szCs w:val="18"/>
        </w:rPr>
        <w:t>Republic of Serbia</w:t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r w:rsidRPr="009B6A39">
        <w:rPr>
          <w:b/>
          <w:sz w:val="18"/>
          <w:szCs w:val="18"/>
        </w:rPr>
        <w:tab/>
      </w:r>
      <w:proofErr w:type="spellStart"/>
      <w:r w:rsidRPr="009B6A39">
        <w:rPr>
          <w:sz w:val="18"/>
          <w:szCs w:val="18"/>
        </w:rPr>
        <w:t>thous</w:t>
      </w:r>
      <w:proofErr w:type="spellEnd"/>
      <w:r w:rsidRPr="009B6A39">
        <w:rPr>
          <w:sz w:val="18"/>
          <w:szCs w:val="18"/>
        </w:rPr>
        <w:t xml:space="preserve">. </w:t>
      </w:r>
      <w:proofErr w:type="gramStart"/>
      <w:r w:rsidRPr="009B6A39">
        <w:rPr>
          <w:sz w:val="18"/>
          <w:szCs w:val="18"/>
        </w:rPr>
        <w:t>ton</w:t>
      </w:r>
      <w:proofErr w:type="gramEnd"/>
      <w:r w:rsidRPr="009B6A39">
        <w:rPr>
          <w:sz w:val="18"/>
          <w:szCs w:val="18"/>
        </w:rPr>
        <w:t xml:space="preserve"> (Gg)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851"/>
        <w:gridCol w:w="851"/>
        <w:gridCol w:w="851"/>
        <w:gridCol w:w="851"/>
        <w:gridCol w:w="851"/>
        <w:gridCol w:w="851"/>
      </w:tblGrid>
      <w:tr w:rsidR="00BB6A18" w:rsidRPr="009B6A39" w:rsidTr="00BB6A18">
        <w:trPr>
          <w:trHeight w:val="20"/>
          <w:jc w:val="center"/>
        </w:trPr>
        <w:tc>
          <w:tcPr>
            <w:tcW w:w="442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B6A18" w:rsidRPr="009B6A39" w:rsidRDefault="00BB6A18" w:rsidP="000672A0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B6A18" w:rsidRPr="009B6A39" w:rsidRDefault="00BB6A18" w:rsidP="000672A0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SO</w:t>
            </w:r>
            <w:r w:rsidRPr="009B6A39">
              <w:rPr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B6A18" w:rsidRPr="009B6A39" w:rsidRDefault="00BB6A18" w:rsidP="000672A0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CO</w:t>
            </w: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B6A18" w:rsidRPr="009B6A39" w:rsidRDefault="00BB6A18" w:rsidP="000672A0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NOᵪ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B92B8A" w:rsidRPr="009B6A39" w:rsidRDefault="00B92B8A" w:rsidP="00B92B8A">
            <w:pPr>
              <w:spacing w:before="120" w:after="12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color w:val="000000"/>
                <w:sz w:val="16"/>
                <w:szCs w:val="16"/>
                <w:lang w:eastAsia="en-GB"/>
              </w:rPr>
              <w:t>2018</w:t>
            </w:r>
          </w:p>
        </w:tc>
      </w:tr>
      <w:tr w:rsidR="00B92B8A" w:rsidRPr="009B6A39" w:rsidTr="000672A0">
        <w:trPr>
          <w:trHeight w:val="20"/>
          <w:jc w:val="center"/>
        </w:trPr>
        <w:tc>
          <w:tcPr>
            <w:tcW w:w="442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B92B8A" w:rsidRPr="009B6A39" w:rsidRDefault="00B92B8A" w:rsidP="00B92B8A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</w:rPr>
            </w:pP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line="276" w:lineRule="auto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Total</w:t>
            </w:r>
            <w:r w:rsidRPr="009B6A3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367.3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345.5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243.5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250.1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135.1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127.1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before="120" w:line="276" w:lineRule="auto"/>
              <w:ind w:left="170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CA sections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356.9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335.9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46.9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52.9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112.4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104.1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line="276" w:lineRule="auto"/>
              <w:ind w:left="284"/>
              <w:contextualSpacing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Agriculture, forestry and fishing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0.8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0.7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12.2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8.4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line="276" w:lineRule="auto"/>
              <w:ind w:left="284"/>
              <w:contextualSpacing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Mining and quarrying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1.9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1.0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0.1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line="276" w:lineRule="auto"/>
              <w:ind w:left="284"/>
              <w:contextualSpacing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Manufacturing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18.4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19.6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36.9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43.6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17.1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17.3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line="276" w:lineRule="auto"/>
              <w:ind w:left="284"/>
              <w:contextualSpacing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330.9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309.5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3.5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3.4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72.8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68.1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line="276" w:lineRule="auto"/>
              <w:ind w:left="284"/>
              <w:contextualSpacing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Transport and storage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0.3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1.4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1.5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2.7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2.8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92B8A" w:rsidRPr="009B6A39" w:rsidRDefault="00B92B8A" w:rsidP="00B92B8A">
            <w:pPr>
              <w:spacing w:line="276" w:lineRule="auto"/>
              <w:ind w:left="284"/>
              <w:contextualSpacing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Other sections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5.4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4.1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3.5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7.5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7.4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92B8A" w:rsidRPr="009B6A39" w:rsidRDefault="00B92B8A" w:rsidP="00B92B8A">
            <w:pPr>
              <w:spacing w:before="120"/>
              <w:ind w:left="17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b/>
                <w:sz w:val="16"/>
                <w:szCs w:val="16"/>
              </w:rPr>
              <w:t>Households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9.6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196.5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197.2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22.7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9B6A39">
              <w:rPr>
                <w:b/>
                <w:sz w:val="16"/>
                <w:szCs w:val="16"/>
              </w:rPr>
              <w:t>23.1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ind w:left="284"/>
              <w:contextualSpacing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bCs/>
                <w:color w:val="000000"/>
                <w:sz w:val="16"/>
                <w:szCs w:val="16"/>
                <w:lang w:eastAsia="en-GB"/>
              </w:rPr>
              <w:t>Transport – households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1.2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1.3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17.6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16.0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18.6</w:t>
            </w:r>
          </w:p>
        </w:tc>
      </w:tr>
      <w:tr w:rsidR="00B92B8A" w:rsidRPr="009B6A39" w:rsidTr="00B92B8A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2B8A" w:rsidRPr="009B6A39" w:rsidRDefault="00B92B8A" w:rsidP="00B92B8A">
            <w:pPr>
              <w:ind w:left="284"/>
              <w:contextualSpacing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9B6A39">
              <w:rPr>
                <w:bCs/>
                <w:color w:val="000000"/>
                <w:sz w:val="16"/>
                <w:szCs w:val="16"/>
                <w:lang w:eastAsia="en-GB"/>
              </w:rPr>
              <w:t>Heating – households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9.1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8.3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178.9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181.1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4.3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2B8A" w:rsidRPr="009B6A39" w:rsidRDefault="00B92B8A" w:rsidP="00B92B8A">
            <w:pPr>
              <w:spacing w:line="276" w:lineRule="auto"/>
              <w:ind w:right="113"/>
              <w:jc w:val="right"/>
              <w:rPr>
                <w:sz w:val="16"/>
                <w:szCs w:val="16"/>
              </w:rPr>
            </w:pPr>
            <w:r w:rsidRPr="009B6A39">
              <w:rPr>
                <w:sz w:val="16"/>
                <w:szCs w:val="16"/>
              </w:rPr>
              <w:t>4.3</w:t>
            </w:r>
          </w:p>
        </w:tc>
      </w:tr>
    </w:tbl>
    <w:p w:rsidR="00BB6A18" w:rsidRPr="009B6A39" w:rsidRDefault="00CC3FB6" w:rsidP="00D50CF5">
      <w:pPr>
        <w:spacing w:before="120" w:after="80"/>
        <w:jc w:val="center"/>
        <w:rPr>
          <w:bCs/>
          <w:sz w:val="18"/>
          <w:szCs w:val="18"/>
        </w:rPr>
      </w:pPr>
      <w:r>
        <w:rPr>
          <w:noProof/>
          <w:sz w:val="14"/>
          <w:szCs w:val="1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177799</wp:posOffset>
                </wp:positionV>
                <wp:extent cx="1054100" cy="0"/>
                <wp:effectExtent l="0" t="0" r="127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3544"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6pt,14pt" to="92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8I9AEAAEwEAAAOAAAAZHJzL2Uyb0RvYy54bWysVNuO0zAQfUfiHyy/0yQLBTZqug9dLS8L&#10;VBQ+wHXsxsL2WLa3Sf+esXMpNwmByIMVe86ZmXMyzuZuMJqchQ8KbEOrVUmJsBxaZU8N/fL54cVb&#10;SkJktmUarGjoRQR6t33+bNO7WtxAB7oVnmASG+reNbSL0dVFEXgnDAsrcMJiUII3LOLWn4rWsx6z&#10;G13clOXrogffOg9chICn92OQbnN+KQWPH6UMIhLdUOwt5tXn9ZjWYrth9ckz1yk+tcH+oQvDlMWi&#10;S6p7Fhl58uqXVEZxDwFkXHEwBUipuMgaUE1V/qTm0DEnshY0J7jFpvD/0vIP570nqm3oLSWWGfxE&#10;h+iZOnWR7MBaNBA8uU0+9S7UCN/ZvU9K+WAP7hH414Cx4odg2gQ3wgbpTYKjVDJk3y+L72KIhONh&#10;Va5fVSV+Hj7HClbPROdDfCfAkPTSUK1ssoTV7PwYYirN6hmSjrUlfUNfVm/WGRVAq/ZBaZ1iearE&#10;TntyZjgPx1OVMfrJvId2PFuX+CS1mHaBj7trJoxpO4kedWbF8aLF2MInIdHTpGxsIk3ztS7jXNhY&#10;TVW0RXSiSexyIZZ/Jk74RBV50v+GvDByZbBxIRtlwf+uehzmluWInx0YdScLjtBe9n6eBxzZ7Nx0&#10;vdKd+H6f6defwPYbAAAA//8DAFBLAwQUAAYACAAAACEA7VBVz9YAAAAIAQAADwAAAGRycy9kb3du&#10;cmV2LnhtbExPS0+DQBC+m/gfNmPizS4SNYgsjWli9Cr2QG9TmAIpO0vY5eG/dxoPevwe+R7ZdrW9&#10;mmn0nWMD95sIFHHl6o4bA/uvt7sElA/INfaOycA3edjm11cZprVb+JPmIjRKQtinaKANYUi19lVL&#10;Fv3GDcSindxoMQgcG12PuEi47XUcRU/aYsfS0OJAu5aqczFZA1xOe4fv3XDgebGl9bvy46Ew5vZm&#10;fX0BFWgNf2a4zJfpkMumo5u49qoX/ByL00CcyKWLnjwKcfwldJ7p/wfyHwAAAP//AwBQSwECLQAU&#10;AAYACAAAACEAtoM4kv4AAADhAQAAEwAAAAAAAAAAAAAAAAAAAAAAW0NvbnRlbnRfVHlwZXNdLnht&#10;bFBLAQItABQABgAIAAAAIQA4/SH/1gAAAJQBAAALAAAAAAAAAAAAAAAAAC8BAABfcmVscy8ucmVs&#10;c1BLAQItABQABgAIAAAAIQDiUl8I9AEAAEwEAAAOAAAAAAAAAAAAAAAAAC4CAABkcnMvZTJvRG9j&#10;LnhtbFBLAQItABQABgAIAAAAIQDtUFXP1gAAAAgBAAAPAAAAAAAAAAAAAAAAAE4EAABkcnMvZG93&#10;bnJldi54bWxQSwUGAAAAAAQABADzAAAAUQUAAAAA&#10;" strokecolor="#7f7f7f [1612]" strokeweight=".25pt">
                <o:lock v:ext="edit" shapetype="f"/>
              </v:line>
            </w:pict>
          </mc:Fallback>
        </mc:AlternateContent>
      </w:r>
    </w:p>
    <w:p w:rsidR="00BB6A18" w:rsidRPr="009B6A39" w:rsidRDefault="00BB6A18" w:rsidP="004375CC">
      <w:pPr>
        <w:tabs>
          <w:tab w:val="left" w:pos="9990"/>
        </w:tabs>
        <w:ind w:left="340" w:right="284" w:hanging="113"/>
        <w:rPr>
          <w:sz w:val="14"/>
          <w:szCs w:val="14"/>
        </w:rPr>
      </w:pPr>
      <w:r w:rsidRPr="009B6A39">
        <w:rPr>
          <w:sz w:val="14"/>
          <w:szCs w:val="14"/>
          <w:vertAlign w:val="superscript"/>
        </w:rPr>
        <w:t>1)</w:t>
      </w:r>
      <w:r w:rsidRPr="009B6A39">
        <w:rPr>
          <w:sz w:val="14"/>
          <w:szCs w:val="14"/>
        </w:rPr>
        <w:t xml:space="preserve"> Air emission of pollutants according to the Regulation 691/2011 covers the following gases: NOx, </w:t>
      </w:r>
      <w:proofErr w:type="spellStart"/>
      <w:r w:rsidRPr="009B6A39">
        <w:rPr>
          <w:sz w:val="14"/>
          <w:szCs w:val="14"/>
        </w:rPr>
        <w:t>SOx</w:t>
      </w:r>
      <w:proofErr w:type="spellEnd"/>
      <w:r w:rsidRPr="009B6A39">
        <w:rPr>
          <w:sz w:val="14"/>
          <w:szCs w:val="14"/>
        </w:rPr>
        <w:t>, NH</w:t>
      </w:r>
      <w:r w:rsidRPr="009B6A39">
        <w:rPr>
          <w:sz w:val="14"/>
          <w:szCs w:val="14"/>
          <w:vertAlign w:val="subscript"/>
        </w:rPr>
        <w:t>3</w:t>
      </w:r>
      <w:r w:rsidRPr="009B6A39">
        <w:rPr>
          <w:sz w:val="14"/>
          <w:szCs w:val="14"/>
        </w:rPr>
        <w:t>, NMVOC, CO, PM</w:t>
      </w:r>
      <w:r w:rsidRPr="009B6A39">
        <w:rPr>
          <w:sz w:val="14"/>
          <w:szCs w:val="14"/>
          <w:vertAlign w:val="subscript"/>
        </w:rPr>
        <w:t>10</w:t>
      </w:r>
      <w:r w:rsidRPr="009B6A39">
        <w:rPr>
          <w:sz w:val="14"/>
          <w:szCs w:val="14"/>
        </w:rPr>
        <w:t xml:space="preserve"> and PM </w:t>
      </w:r>
      <w:r w:rsidRPr="009B6A39">
        <w:rPr>
          <w:sz w:val="14"/>
          <w:szCs w:val="14"/>
          <w:vertAlign w:val="subscript"/>
        </w:rPr>
        <w:t>2.5</w:t>
      </w:r>
      <w:r w:rsidRPr="009B6A39">
        <w:rPr>
          <w:sz w:val="14"/>
          <w:szCs w:val="14"/>
        </w:rPr>
        <w:t xml:space="preserve">, and presented are emissions for NOx, </w:t>
      </w:r>
      <w:proofErr w:type="spellStart"/>
      <w:r w:rsidRPr="009B6A39">
        <w:rPr>
          <w:sz w:val="14"/>
          <w:szCs w:val="14"/>
        </w:rPr>
        <w:t>SОx</w:t>
      </w:r>
      <w:proofErr w:type="spellEnd"/>
      <w:r w:rsidRPr="009B6A39">
        <w:rPr>
          <w:sz w:val="14"/>
          <w:szCs w:val="14"/>
        </w:rPr>
        <w:t xml:space="preserve"> and CO.</w:t>
      </w:r>
    </w:p>
    <w:p w:rsidR="00BB6A18" w:rsidRPr="009B6A39" w:rsidRDefault="00BB6A18" w:rsidP="004375CC">
      <w:pPr>
        <w:tabs>
          <w:tab w:val="left" w:pos="9990"/>
        </w:tabs>
        <w:ind w:left="227" w:right="284"/>
        <w:rPr>
          <w:sz w:val="14"/>
          <w:szCs w:val="14"/>
        </w:rPr>
      </w:pPr>
      <w:r w:rsidRPr="009B6A39">
        <w:rPr>
          <w:sz w:val="14"/>
          <w:szCs w:val="14"/>
          <w:vertAlign w:val="superscript"/>
        </w:rPr>
        <w:t xml:space="preserve">2) </w:t>
      </w:r>
      <w:r w:rsidRPr="009B6A39">
        <w:rPr>
          <w:sz w:val="14"/>
          <w:szCs w:val="14"/>
        </w:rPr>
        <w:t xml:space="preserve"> Data source: Serbian Environmental Protection Agency. </w:t>
      </w:r>
    </w:p>
    <w:p w:rsidR="00BB6A18" w:rsidRPr="009B6A39" w:rsidRDefault="00BB6A18" w:rsidP="00BB6A18">
      <w:pPr>
        <w:tabs>
          <w:tab w:val="left" w:pos="9990"/>
        </w:tabs>
        <w:ind w:left="283" w:right="284" w:hanging="113"/>
        <w:rPr>
          <w:sz w:val="14"/>
          <w:szCs w:val="14"/>
        </w:rPr>
      </w:pPr>
    </w:p>
    <w:p w:rsidR="00BB6A18" w:rsidRPr="009B6A39" w:rsidRDefault="00BB6A18" w:rsidP="00BB6A1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BB6A18" w:rsidRPr="009B6A39" w:rsidRDefault="00BB6A18" w:rsidP="006F4722">
      <w:pPr>
        <w:spacing w:before="120" w:after="120" w:line="264" w:lineRule="auto"/>
        <w:ind w:firstLine="450"/>
        <w:jc w:val="both"/>
      </w:pPr>
    </w:p>
    <w:p w:rsidR="00BB6A18" w:rsidRPr="009B6A39" w:rsidRDefault="00BB6A18" w:rsidP="006F4722">
      <w:pPr>
        <w:spacing w:before="120" w:after="120" w:line="264" w:lineRule="auto"/>
        <w:ind w:firstLine="450"/>
        <w:jc w:val="both"/>
      </w:pPr>
    </w:p>
    <w:p w:rsidR="006728A5" w:rsidRPr="009B6A39" w:rsidRDefault="006728A5" w:rsidP="006F4722">
      <w:pPr>
        <w:spacing w:before="120" w:after="120" w:line="264" w:lineRule="auto"/>
        <w:ind w:firstLine="450"/>
        <w:jc w:val="both"/>
      </w:pPr>
    </w:p>
    <w:p w:rsidR="006F4722" w:rsidRPr="009B6A39" w:rsidRDefault="006F4722" w:rsidP="00047A0B">
      <w:pPr>
        <w:spacing w:before="120" w:after="120" w:line="264" w:lineRule="auto"/>
        <w:ind w:firstLine="448"/>
        <w:jc w:val="both"/>
      </w:pPr>
    </w:p>
    <w:p w:rsidR="001B4CF5" w:rsidRPr="009B6A39" w:rsidRDefault="001B4CF5" w:rsidP="00DA335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FC6132" w:rsidRPr="009B6A39" w:rsidRDefault="00FC6132" w:rsidP="00DA335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FC6132" w:rsidRPr="009B6A39" w:rsidRDefault="00FC6132" w:rsidP="00BF2E14">
      <w:pPr>
        <w:spacing w:after="80"/>
        <w:jc w:val="center"/>
        <w:rPr>
          <w:b/>
          <w:bCs/>
        </w:rPr>
      </w:pPr>
      <w:r w:rsidRPr="009B6A39">
        <w:rPr>
          <w:b/>
          <w:bCs/>
        </w:rPr>
        <w:lastRenderedPageBreak/>
        <w:t xml:space="preserve">Graph 1 </w:t>
      </w:r>
      <w:r w:rsidR="00F64E5C" w:rsidRPr="009B6A39">
        <w:rPr>
          <w:b/>
          <w:bCs/>
        </w:rPr>
        <w:t xml:space="preserve">Share of </w:t>
      </w:r>
      <w:proofErr w:type="spellStart"/>
      <w:r w:rsidR="00B533DD" w:rsidRPr="009B6A39">
        <w:rPr>
          <w:b/>
          <w:bCs/>
        </w:rPr>
        <w:t>N</w:t>
      </w:r>
      <w:r w:rsidRPr="009B6A39">
        <w:rPr>
          <w:b/>
          <w:bCs/>
        </w:rPr>
        <w:t>О</w:t>
      </w:r>
      <w:r w:rsidR="00B533DD" w:rsidRPr="009B6A39">
        <w:rPr>
          <w:b/>
          <w:bCs/>
          <w:vertAlign w:val="subscript"/>
        </w:rPr>
        <w:t>x</w:t>
      </w:r>
      <w:proofErr w:type="spellEnd"/>
      <w:r w:rsidR="00C361F8">
        <w:rPr>
          <w:b/>
          <w:bCs/>
          <w:vertAlign w:val="subscript"/>
        </w:rPr>
        <w:t xml:space="preserve"> </w:t>
      </w:r>
      <w:bookmarkStart w:id="0" w:name="_GoBack"/>
      <w:bookmarkEnd w:id="0"/>
      <w:r w:rsidR="00F64E5C" w:rsidRPr="009B6A39">
        <w:rPr>
          <w:b/>
          <w:bCs/>
        </w:rPr>
        <w:t>emission b</w:t>
      </w:r>
      <w:r w:rsidR="00E00260" w:rsidRPr="009B6A39">
        <w:rPr>
          <w:b/>
          <w:bCs/>
        </w:rPr>
        <w:t>y source</w:t>
      </w:r>
      <w:r w:rsidR="00B533DD" w:rsidRPr="009B6A39">
        <w:rPr>
          <w:b/>
          <w:bCs/>
        </w:rPr>
        <w:t xml:space="preserve">, </w:t>
      </w:r>
      <w:r w:rsidR="00B92B8A" w:rsidRPr="009B6A39">
        <w:rPr>
          <w:b/>
          <w:bCs/>
        </w:rPr>
        <w:t>2018</w:t>
      </w:r>
    </w:p>
    <w:p w:rsidR="00FC6132" w:rsidRPr="009B6A39" w:rsidRDefault="000C7938" w:rsidP="00BF2E14">
      <w:pPr>
        <w:spacing w:before="120" w:after="120" w:line="264" w:lineRule="auto"/>
        <w:jc w:val="center"/>
        <w:rPr>
          <w:color w:val="FF0000"/>
        </w:rPr>
      </w:pPr>
      <w:r w:rsidRPr="009B6A39">
        <w:rPr>
          <w:noProof/>
          <w:lang w:val="en-US"/>
        </w:rPr>
        <w:drawing>
          <wp:inline distT="0" distB="0" distL="0" distR="0">
            <wp:extent cx="5580000" cy="248400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42F5" w:rsidRPr="009B6A39" w:rsidRDefault="006142F5" w:rsidP="00AD5725">
      <w:pPr>
        <w:spacing w:after="80"/>
        <w:ind w:firstLine="403"/>
        <w:jc w:val="center"/>
        <w:rPr>
          <w:b/>
          <w:bCs/>
          <w:highlight w:val="yellow"/>
        </w:rPr>
      </w:pPr>
    </w:p>
    <w:p w:rsidR="00BF2E14" w:rsidRPr="009B6A39" w:rsidRDefault="00BF2E14" w:rsidP="00AD5725">
      <w:pPr>
        <w:spacing w:after="80"/>
        <w:ind w:firstLine="403"/>
        <w:jc w:val="center"/>
        <w:rPr>
          <w:b/>
          <w:bCs/>
          <w:highlight w:val="yellow"/>
        </w:rPr>
      </w:pPr>
    </w:p>
    <w:p w:rsidR="00AD5725" w:rsidRPr="009B6A39" w:rsidRDefault="00D11E2B" w:rsidP="00BF2E14">
      <w:pPr>
        <w:spacing w:after="80"/>
        <w:jc w:val="center"/>
        <w:rPr>
          <w:lang w:eastAsia="en-GB"/>
        </w:rPr>
      </w:pPr>
      <w:r w:rsidRPr="009B6A39">
        <w:rPr>
          <w:b/>
          <w:bCs/>
        </w:rPr>
        <w:t>Graph</w:t>
      </w:r>
      <w:r w:rsidR="00AD5725" w:rsidRPr="009B6A39">
        <w:rPr>
          <w:b/>
          <w:bCs/>
        </w:rPr>
        <w:t xml:space="preserve"> 2 </w:t>
      </w:r>
      <w:r w:rsidR="00540440" w:rsidRPr="009B6A39">
        <w:rPr>
          <w:b/>
          <w:bCs/>
        </w:rPr>
        <w:t xml:space="preserve">Emission of </w:t>
      </w:r>
      <w:r w:rsidR="00F0624C" w:rsidRPr="009B6A39">
        <w:rPr>
          <w:b/>
          <w:bCs/>
        </w:rPr>
        <w:t>S</w:t>
      </w:r>
      <w:r w:rsidR="00AD5725" w:rsidRPr="009B6A39">
        <w:rPr>
          <w:b/>
          <w:bCs/>
        </w:rPr>
        <w:t>О</w:t>
      </w:r>
      <w:r w:rsidR="00F0624C" w:rsidRPr="009B6A39">
        <w:rPr>
          <w:b/>
          <w:bCs/>
          <w:vertAlign w:val="subscript"/>
        </w:rPr>
        <w:t>2</w:t>
      </w:r>
      <w:r w:rsidR="00E00260" w:rsidRPr="009B6A39">
        <w:rPr>
          <w:b/>
          <w:bCs/>
        </w:rPr>
        <w:t xml:space="preserve"> by source</w:t>
      </w:r>
      <w:r w:rsidR="00AD5725" w:rsidRPr="009B6A39">
        <w:rPr>
          <w:b/>
          <w:bCs/>
        </w:rPr>
        <w:t>, 20</w:t>
      </w:r>
      <w:r w:rsidR="00F0624C" w:rsidRPr="009B6A39">
        <w:rPr>
          <w:b/>
          <w:bCs/>
        </w:rPr>
        <w:t>08-201</w:t>
      </w:r>
      <w:r w:rsidR="00B92B8A" w:rsidRPr="009B6A39">
        <w:rPr>
          <w:b/>
          <w:bCs/>
        </w:rPr>
        <w:t>8</w:t>
      </w:r>
    </w:p>
    <w:p w:rsidR="00AD5725" w:rsidRPr="009B6A39" w:rsidRDefault="000C7938" w:rsidP="00BF2E14">
      <w:pPr>
        <w:spacing w:before="120" w:after="120" w:line="264" w:lineRule="auto"/>
        <w:jc w:val="center"/>
        <w:rPr>
          <w:color w:val="FF0000"/>
        </w:rPr>
      </w:pPr>
      <w:r w:rsidRPr="009B6A39">
        <w:rPr>
          <w:noProof/>
          <w:lang w:val="en-US"/>
        </w:rPr>
        <w:drawing>
          <wp:inline distT="0" distB="0" distL="0" distR="0">
            <wp:extent cx="5760000" cy="2490788"/>
            <wp:effectExtent l="0" t="0" r="0" b="50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5725" w:rsidRPr="009B6A39" w:rsidRDefault="00AD5725" w:rsidP="00047A0B">
      <w:pPr>
        <w:spacing w:before="120" w:after="120" w:line="264" w:lineRule="auto"/>
        <w:ind w:firstLine="448"/>
        <w:jc w:val="both"/>
        <w:rPr>
          <w:color w:val="FF0000"/>
        </w:rPr>
      </w:pPr>
    </w:p>
    <w:p w:rsidR="00AF111D" w:rsidRPr="003E5397" w:rsidRDefault="00AF111D" w:rsidP="00676E1B">
      <w:pPr>
        <w:spacing w:after="80"/>
        <w:ind w:firstLine="403"/>
        <w:jc w:val="both"/>
      </w:pPr>
      <w:r w:rsidRPr="003E5397">
        <w:t xml:space="preserve">Air emission accounts, according to the Regulation 691/2011 also covers the data on </w:t>
      </w:r>
      <w:r w:rsidR="00CB11C0" w:rsidRPr="003E5397">
        <w:t xml:space="preserve">emission of </w:t>
      </w:r>
      <w:r w:rsidRPr="003E5397">
        <w:t>green</w:t>
      </w:r>
      <w:r w:rsidR="00CB11C0" w:rsidRPr="003E5397">
        <w:t>house gases</w:t>
      </w:r>
      <w:r w:rsidRPr="003E5397">
        <w:t>, w</w:t>
      </w:r>
      <w:r w:rsidR="004C4B6B" w:rsidRPr="003E5397">
        <w:t>hich are not available from 2015</w:t>
      </w:r>
      <w:r w:rsidRPr="003E5397">
        <w:t xml:space="preserve">. </w:t>
      </w:r>
    </w:p>
    <w:p w:rsidR="004C4B6B" w:rsidRPr="003E5397" w:rsidRDefault="008F4410" w:rsidP="00676E1B">
      <w:pPr>
        <w:spacing w:after="80"/>
        <w:ind w:firstLine="403"/>
        <w:jc w:val="both"/>
        <w:rPr>
          <w:color w:val="1F497D" w:themeColor="text2"/>
          <w:u w:val="single"/>
        </w:rPr>
      </w:pPr>
      <w:r w:rsidRPr="003E5397">
        <w:t>Methodological explanations on the air emission account</w:t>
      </w:r>
      <w:r w:rsidR="00AD5725" w:rsidRPr="003E5397">
        <w:t>s</w:t>
      </w:r>
      <w:r w:rsidRPr="003E5397">
        <w:t xml:space="preserve"> can be found on the website of the Statistical Office of the Republic of </w:t>
      </w:r>
      <w:r w:rsidR="009B6A39" w:rsidRPr="003E5397">
        <w:t xml:space="preserve">Serbia: </w:t>
      </w:r>
      <w:hyperlink r:id="rId10" w:history="1">
        <w:r w:rsidR="003E5397" w:rsidRPr="00B664C5">
          <w:rPr>
            <w:rStyle w:val="Hyperlink"/>
            <w:rFonts w:cs="Arial"/>
            <w:lang w:val="sr-Cyrl-CS"/>
          </w:rPr>
          <w:t>https://data.stat.gov.rs/Home/Result/25040102?languageCode=sr-Cyrl</w:t>
        </w:r>
      </w:hyperlink>
    </w:p>
    <w:p w:rsidR="004C4B6B" w:rsidRPr="003E5397" w:rsidRDefault="008F4410" w:rsidP="00676E1B">
      <w:pPr>
        <w:spacing w:after="80"/>
        <w:ind w:firstLine="403"/>
        <w:jc w:val="both"/>
      </w:pPr>
      <w:r w:rsidRPr="003E5397">
        <w:t>Data series</w:t>
      </w:r>
      <w:r w:rsidR="001F225A" w:rsidRPr="003E5397">
        <w:t xml:space="preserve"> for the air emission accounts are accessible on the website of the Statistical Office of the Republic of Serbia, in database </w:t>
      </w:r>
      <w:hyperlink r:id="rId11" w:history="1">
        <w:r w:rsidR="004C4B6B" w:rsidRPr="003E5397">
          <w:rPr>
            <w:rStyle w:val="Hyperlink"/>
            <w:rFonts w:cs="Arial"/>
          </w:rPr>
          <w:t>http://webrzs.stat.gov.rs/Home/Result/25040102?</w:t>
        </w:r>
      </w:hyperlink>
    </w:p>
    <w:p w:rsidR="00C01377" w:rsidRPr="009B6A39" w:rsidRDefault="00C01377" w:rsidP="00676E1B">
      <w:pPr>
        <w:spacing w:after="80"/>
        <w:ind w:firstLine="403"/>
        <w:jc w:val="both"/>
      </w:pPr>
    </w:p>
    <w:p w:rsidR="001F225A" w:rsidRPr="009B6A39" w:rsidRDefault="001F225A" w:rsidP="00655C6C">
      <w:pPr>
        <w:spacing w:after="80"/>
        <w:ind w:firstLine="403"/>
        <w:jc w:val="both"/>
      </w:pPr>
      <w:r w:rsidRPr="009B6A39">
        <w:t xml:space="preserve">Starting from 1999 the Statistical Office of the Republic of Serbia has not at disposal and may not provide available certain data relative to AP Kosovo and </w:t>
      </w:r>
      <w:proofErr w:type="spellStart"/>
      <w:r w:rsidRPr="009B6A39">
        <w:t>Metohija</w:t>
      </w:r>
      <w:proofErr w:type="spellEnd"/>
      <w:r w:rsidRPr="009B6A39">
        <w:t xml:space="preserve"> and therefore these data are not included in the coverage for the Republic of Serbia (total).</w:t>
      </w:r>
    </w:p>
    <w:p w:rsidR="00D11E2B" w:rsidRPr="009B6A39" w:rsidRDefault="00D11E2B" w:rsidP="00791F5B">
      <w:pPr>
        <w:rPr>
          <w:sz w:val="16"/>
          <w:szCs w:val="16"/>
        </w:rPr>
      </w:pPr>
    </w:p>
    <w:p w:rsidR="00D11E2B" w:rsidRPr="009B6A39" w:rsidRDefault="00D11E2B" w:rsidP="00791F5B">
      <w:pPr>
        <w:rPr>
          <w:sz w:val="16"/>
          <w:szCs w:val="16"/>
        </w:rPr>
      </w:pPr>
    </w:p>
    <w:p w:rsidR="004375CC" w:rsidRPr="009B6A39" w:rsidRDefault="004375CC" w:rsidP="00791F5B">
      <w:pPr>
        <w:rPr>
          <w:sz w:val="16"/>
          <w:szCs w:val="16"/>
        </w:rPr>
      </w:pPr>
    </w:p>
    <w:p w:rsidR="004375CC" w:rsidRPr="009B6A39" w:rsidRDefault="004375CC" w:rsidP="00791F5B">
      <w:pPr>
        <w:rPr>
          <w:sz w:val="16"/>
          <w:szCs w:val="16"/>
        </w:rPr>
      </w:pPr>
    </w:p>
    <w:p w:rsidR="00EF554A" w:rsidRPr="009B6A39" w:rsidRDefault="00CC3FB6" w:rsidP="00B17B15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haracter">
                  <wp:posOffset>266700</wp:posOffset>
                </wp:positionH>
                <wp:positionV relativeFrom="line">
                  <wp:posOffset>104774</wp:posOffset>
                </wp:positionV>
                <wp:extent cx="5958205" cy="0"/>
                <wp:effectExtent l="0" t="0" r="2349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6B3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21pt,8.25pt" to="490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MZ3r8XbAAAACAEAAA8AAABkcnMvZG93bnJldi54bWxMj0tPwzAQhO9I/AdrkbhRuy30&#10;EeJUCNEbFwpCPW7jJYmIH8TOg3/PIg7luDOjb2fy3WRbMVAXG+80zGcKBLnSm8ZVGt5e9zcbEDGh&#10;M9h6Rxq+KcKuuLzIMTN+dC80HFIlGOJihhrqlEImZSxrshhnPpBj78N3FhOfXSVNhyPDbSsXSq2k&#10;xcbxhxoDPdZUfh56q+F2nL7e18v5Ufn+6XlY4z6EptX6+mp6uAeRaErnMPzW5+pQcKeT752JomXG&#10;gqck1ld3INjfbtQSxOlPkEUu/w8ofgAAAP//AwBQSwECLQAUAAYACAAAACEAtoM4kv4AAADhAQAA&#10;EwAAAAAAAAAAAAAAAAAAAAAAW0NvbnRlbnRfVHlwZXNdLnhtbFBLAQItABQABgAIAAAAIQA4/SH/&#10;1gAAAJQBAAALAAAAAAAAAAAAAAAAAC8BAABfcmVscy8ucmVsc1BLAQItABQABgAIAAAAIQCmTLXI&#10;EwIAACgEAAAOAAAAAAAAAAAAAAAAAC4CAABkcnMvZTJvRG9jLnhtbFBLAQItABQABgAIAAAAIQDG&#10;d6/F2wAAAAgBAAAPAAAAAAAAAAAAAAAAAG0EAABkcnMvZG93bnJldi54bWxQSwUGAAAAAAQABADz&#10;AAAAdQUAAAAA&#10;" strokecolor="gray" strokeweight=".25pt">
                <w10:wrap anchory="line"/>
              </v:line>
            </w:pict>
          </mc:Fallback>
        </mc:AlternateContent>
      </w:r>
    </w:p>
    <w:p w:rsidR="00EF554A" w:rsidRPr="009B6A39" w:rsidRDefault="00EF554A" w:rsidP="001E008D">
      <w:pPr>
        <w:jc w:val="center"/>
        <w:rPr>
          <w:sz w:val="2"/>
          <w:szCs w:val="2"/>
          <w:u w:val="single"/>
        </w:rPr>
      </w:pPr>
    </w:p>
    <w:p w:rsidR="00EF554A" w:rsidRPr="009B6A39" w:rsidRDefault="008F4410" w:rsidP="00725E63">
      <w:pPr>
        <w:spacing w:before="120"/>
        <w:jc w:val="center"/>
        <w:rPr>
          <w:sz w:val="18"/>
          <w:szCs w:val="18"/>
        </w:rPr>
      </w:pPr>
      <w:r w:rsidRPr="009B6A39">
        <w:rPr>
          <w:sz w:val="18"/>
          <w:szCs w:val="18"/>
        </w:rPr>
        <w:t>Contact</w:t>
      </w:r>
      <w:r w:rsidR="00EF554A" w:rsidRPr="009B6A39">
        <w:rPr>
          <w:sz w:val="18"/>
          <w:szCs w:val="18"/>
        </w:rPr>
        <w:t xml:space="preserve">:  </w:t>
      </w:r>
      <w:hyperlink r:id="rId12" w:history="1">
        <w:r w:rsidR="004C4B6B" w:rsidRPr="009B6A39">
          <w:rPr>
            <w:rStyle w:val="Hyperlink"/>
            <w:rFonts w:cs="Arial"/>
            <w:sz w:val="18"/>
            <w:szCs w:val="18"/>
          </w:rPr>
          <w:t>bojana.krzalic@stat.gov.rs</w:t>
        </w:r>
      </w:hyperlink>
      <w:r w:rsidRPr="009B6A39">
        <w:rPr>
          <w:sz w:val="18"/>
          <w:szCs w:val="18"/>
        </w:rPr>
        <w:t>Phone</w:t>
      </w:r>
      <w:r w:rsidR="00EF554A" w:rsidRPr="009B6A39">
        <w:rPr>
          <w:sz w:val="18"/>
          <w:szCs w:val="18"/>
        </w:rPr>
        <w:t xml:space="preserve">: 011 </w:t>
      </w:r>
      <w:r w:rsidR="004C4B6B" w:rsidRPr="009B6A39">
        <w:rPr>
          <w:sz w:val="18"/>
          <w:szCs w:val="18"/>
        </w:rPr>
        <w:t>2412</w:t>
      </w:r>
      <w:r w:rsidR="00D11E2B" w:rsidRPr="009B6A39">
        <w:rPr>
          <w:sz w:val="18"/>
          <w:szCs w:val="18"/>
        </w:rPr>
        <w:t>-</w:t>
      </w:r>
      <w:r w:rsidR="004C4B6B" w:rsidRPr="009B6A39">
        <w:rPr>
          <w:sz w:val="18"/>
          <w:szCs w:val="18"/>
        </w:rPr>
        <w:t>922, ext.410</w:t>
      </w:r>
    </w:p>
    <w:p w:rsidR="00AE26C6" w:rsidRPr="009B6A39" w:rsidRDefault="008F4410" w:rsidP="00EC3833">
      <w:pPr>
        <w:jc w:val="center"/>
        <w:rPr>
          <w:sz w:val="18"/>
          <w:szCs w:val="18"/>
        </w:rPr>
      </w:pPr>
      <w:r w:rsidRPr="009B6A39">
        <w:rPr>
          <w:sz w:val="18"/>
          <w:szCs w:val="18"/>
        </w:rPr>
        <w:t>Published and printed by</w:t>
      </w:r>
      <w:r w:rsidR="00EF554A" w:rsidRPr="009B6A39">
        <w:rPr>
          <w:sz w:val="18"/>
          <w:szCs w:val="18"/>
        </w:rPr>
        <w:t xml:space="preserve">: </w:t>
      </w:r>
      <w:r w:rsidRPr="009B6A39">
        <w:rPr>
          <w:sz w:val="18"/>
          <w:szCs w:val="18"/>
        </w:rPr>
        <w:t>Statistical Office of the Republic of Serbia</w:t>
      </w:r>
      <w:r w:rsidR="00EF554A" w:rsidRPr="009B6A39">
        <w:rPr>
          <w:sz w:val="18"/>
          <w:szCs w:val="18"/>
        </w:rPr>
        <w:t xml:space="preserve">, </w:t>
      </w:r>
      <w:r w:rsidRPr="009B6A39">
        <w:rPr>
          <w:sz w:val="18"/>
          <w:szCs w:val="18"/>
        </w:rPr>
        <w:t>Belgrade</w:t>
      </w:r>
      <w:r w:rsidR="00EF554A" w:rsidRPr="009B6A39">
        <w:rPr>
          <w:sz w:val="18"/>
          <w:szCs w:val="18"/>
        </w:rPr>
        <w:t xml:space="preserve">, </w:t>
      </w:r>
      <w:proofErr w:type="spellStart"/>
      <w:r w:rsidRPr="009B6A39">
        <w:rPr>
          <w:sz w:val="18"/>
          <w:szCs w:val="18"/>
        </w:rPr>
        <w:t>Milana</w:t>
      </w:r>
      <w:proofErr w:type="spellEnd"/>
      <w:r w:rsidRPr="009B6A39">
        <w:rPr>
          <w:sz w:val="18"/>
          <w:szCs w:val="18"/>
        </w:rPr>
        <w:t xml:space="preserve"> </w:t>
      </w:r>
      <w:proofErr w:type="spellStart"/>
      <w:r w:rsidRPr="009B6A39">
        <w:rPr>
          <w:sz w:val="18"/>
          <w:szCs w:val="18"/>
        </w:rPr>
        <w:t>Rakica</w:t>
      </w:r>
      <w:proofErr w:type="spellEnd"/>
      <w:r w:rsidR="00EF554A" w:rsidRPr="009B6A39">
        <w:rPr>
          <w:sz w:val="18"/>
          <w:szCs w:val="18"/>
        </w:rPr>
        <w:t xml:space="preserve"> 5 </w:t>
      </w:r>
      <w:r w:rsidR="00EF554A" w:rsidRPr="009B6A39">
        <w:rPr>
          <w:sz w:val="18"/>
          <w:szCs w:val="18"/>
        </w:rPr>
        <w:br/>
      </w:r>
      <w:r w:rsidRPr="009B6A39">
        <w:rPr>
          <w:sz w:val="18"/>
          <w:szCs w:val="18"/>
        </w:rPr>
        <w:t>Phone</w:t>
      </w:r>
      <w:r w:rsidR="00EF554A" w:rsidRPr="009B6A39">
        <w:rPr>
          <w:sz w:val="18"/>
          <w:szCs w:val="18"/>
        </w:rPr>
        <w:t xml:space="preserve">: 011 2-412-922 • </w:t>
      </w:r>
      <w:r w:rsidRPr="009B6A39">
        <w:rPr>
          <w:sz w:val="18"/>
          <w:szCs w:val="18"/>
        </w:rPr>
        <w:t>Fax</w:t>
      </w:r>
      <w:r w:rsidR="00EF554A" w:rsidRPr="009B6A39">
        <w:rPr>
          <w:sz w:val="18"/>
          <w:szCs w:val="18"/>
        </w:rPr>
        <w:t>: 011 2-411-260 • www</w:t>
      </w:r>
      <w:r w:rsidRPr="009B6A39">
        <w:rPr>
          <w:sz w:val="18"/>
          <w:szCs w:val="18"/>
        </w:rPr>
        <w:t>.</w:t>
      </w:r>
      <w:r w:rsidR="00EF554A" w:rsidRPr="009B6A39">
        <w:rPr>
          <w:sz w:val="18"/>
          <w:szCs w:val="18"/>
        </w:rPr>
        <w:t>stat</w:t>
      </w:r>
      <w:r w:rsidRPr="009B6A39">
        <w:rPr>
          <w:sz w:val="18"/>
          <w:szCs w:val="18"/>
        </w:rPr>
        <w:t>.</w:t>
      </w:r>
      <w:r w:rsidR="00EF554A" w:rsidRPr="009B6A39">
        <w:rPr>
          <w:sz w:val="18"/>
          <w:szCs w:val="18"/>
        </w:rPr>
        <w:t>gov</w:t>
      </w:r>
      <w:r w:rsidRPr="009B6A39">
        <w:rPr>
          <w:sz w:val="18"/>
          <w:szCs w:val="18"/>
        </w:rPr>
        <w:t>.</w:t>
      </w:r>
      <w:r w:rsidR="00EF554A" w:rsidRPr="009B6A39">
        <w:rPr>
          <w:sz w:val="18"/>
          <w:szCs w:val="18"/>
        </w:rPr>
        <w:t>rs</w:t>
      </w:r>
      <w:r w:rsidR="00EF554A" w:rsidRPr="009B6A39">
        <w:rPr>
          <w:sz w:val="18"/>
          <w:szCs w:val="18"/>
        </w:rPr>
        <w:br/>
      </w:r>
      <w:r w:rsidRPr="009B6A39">
        <w:rPr>
          <w:sz w:val="18"/>
          <w:szCs w:val="18"/>
        </w:rPr>
        <w:t>Responsible</w:t>
      </w:r>
      <w:r w:rsidR="00EF554A" w:rsidRPr="009B6A39">
        <w:rPr>
          <w:sz w:val="18"/>
          <w:szCs w:val="18"/>
        </w:rPr>
        <w:t xml:space="preserve">: </w:t>
      </w:r>
      <w:r w:rsidRPr="009B6A39">
        <w:rPr>
          <w:sz w:val="18"/>
          <w:szCs w:val="18"/>
        </w:rPr>
        <w:t>Dr</w:t>
      </w:r>
      <w:r w:rsidR="009B6A39">
        <w:rPr>
          <w:sz w:val="18"/>
          <w:szCs w:val="18"/>
        </w:rPr>
        <w:t xml:space="preserve"> </w:t>
      </w:r>
      <w:r w:rsidRPr="009B6A39">
        <w:rPr>
          <w:sz w:val="18"/>
          <w:szCs w:val="18"/>
        </w:rPr>
        <w:t>Miladin</w:t>
      </w:r>
      <w:r w:rsidR="009B6A39">
        <w:rPr>
          <w:sz w:val="18"/>
          <w:szCs w:val="18"/>
        </w:rPr>
        <w:t xml:space="preserve"> </w:t>
      </w:r>
      <w:r w:rsidRPr="009B6A39">
        <w:rPr>
          <w:sz w:val="18"/>
          <w:szCs w:val="18"/>
        </w:rPr>
        <w:t>Kovacevic</w:t>
      </w:r>
      <w:r w:rsidR="00EF554A" w:rsidRPr="009B6A39">
        <w:rPr>
          <w:sz w:val="18"/>
          <w:szCs w:val="18"/>
        </w:rPr>
        <w:t xml:space="preserve">, </w:t>
      </w:r>
      <w:r w:rsidRPr="009B6A39">
        <w:rPr>
          <w:sz w:val="18"/>
          <w:szCs w:val="18"/>
        </w:rPr>
        <w:t>Director</w:t>
      </w:r>
      <w:r w:rsidR="00EF554A" w:rsidRPr="009B6A39">
        <w:rPr>
          <w:sz w:val="18"/>
          <w:szCs w:val="18"/>
        </w:rPr>
        <w:br/>
      </w:r>
      <w:r w:rsidRPr="009B6A39">
        <w:rPr>
          <w:sz w:val="18"/>
          <w:szCs w:val="18"/>
        </w:rPr>
        <w:t>Circulation</w:t>
      </w:r>
      <w:r w:rsidR="00EF554A" w:rsidRPr="009B6A39">
        <w:rPr>
          <w:sz w:val="18"/>
          <w:szCs w:val="18"/>
        </w:rPr>
        <w:t xml:space="preserve">: 20 ● </w:t>
      </w:r>
      <w:r w:rsidRPr="009B6A39">
        <w:rPr>
          <w:sz w:val="18"/>
          <w:szCs w:val="18"/>
        </w:rPr>
        <w:t>Periodicity</w:t>
      </w:r>
      <w:r w:rsidR="00EF554A" w:rsidRPr="009B6A39">
        <w:rPr>
          <w:sz w:val="18"/>
          <w:szCs w:val="18"/>
        </w:rPr>
        <w:t xml:space="preserve">: </w:t>
      </w:r>
      <w:r w:rsidRPr="009B6A39">
        <w:rPr>
          <w:sz w:val="18"/>
          <w:szCs w:val="18"/>
        </w:rPr>
        <w:t>annual</w:t>
      </w:r>
    </w:p>
    <w:sectPr w:rsidR="00AE26C6" w:rsidRPr="009B6A39" w:rsidSect="00E8580D">
      <w:footerReference w:type="even" r:id="rId13"/>
      <w:footerReference w:type="default" r:id="rId14"/>
      <w:pgSz w:w="11907" w:h="16840" w:code="9"/>
      <w:pgMar w:top="907" w:right="83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9D" w:rsidRDefault="0062259D">
      <w:r>
        <w:separator/>
      </w:r>
    </w:p>
  </w:endnote>
  <w:endnote w:type="continuationSeparator" w:id="0">
    <w:p w:rsidR="0062259D" w:rsidRDefault="006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88"/>
      <w:gridCol w:w="5191"/>
    </w:tblGrid>
    <w:tr w:rsidR="00BC10B0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C10B0" w:rsidRPr="00AF23FB" w:rsidRDefault="00514C23" w:rsidP="00BF2E14">
          <w:pPr>
            <w:spacing w:before="6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BC10B0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C361F8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BC10B0" w:rsidRPr="004375CC" w:rsidRDefault="003B028E" w:rsidP="003E5397">
          <w:pPr>
            <w:spacing w:before="6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SRB</w:t>
          </w:r>
          <w:r w:rsidR="004375CC">
            <w:rPr>
              <w:sz w:val="16"/>
              <w:szCs w:val="16"/>
            </w:rPr>
            <w:t>25</w:t>
          </w:r>
          <w:r w:rsidR="00B92B8A">
            <w:rPr>
              <w:sz w:val="16"/>
              <w:szCs w:val="16"/>
            </w:rPr>
            <w:t>3</w:t>
          </w:r>
          <w:r w:rsidR="003E5397">
            <w:rPr>
              <w:sz w:val="16"/>
              <w:szCs w:val="16"/>
              <w:lang w:val="sr-Cyrl-RS"/>
            </w:rPr>
            <w:t xml:space="preserve"> </w:t>
          </w:r>
          <w:r w:rsidR="00E015FB">
            <w:rPr>
              <w:sz w:val="16"/>
              <w:szCs w:val="16"/>
              <w:lang w:val="sr-Latn-CS"/>
            </w:rPr>
            <w:t>ZS80</w:t>
          </w:r>
          <w:r w:rsidR="003E5397">
            <w:rPr>
              <w:sz w:val="16"/>
              <w:szCs w:val="16"/>
              <w:lang w:val="sr-Cyrl-RS"/>
            </w:rPr>
            <w:t xml:space="preserve"> </w:t>
          </w:r>
          <w:r w:rsidR="00B92B8A">
            <w:rPr>
              <w:sz w:val="16"/>
              <w:szCs w:val="16"/>
              <w:lang w:val="sr-Latn-CS"/>
            </w:rPr>
            <w:t>1</w:t>
          </w:r>
          <w:r w:rsidR="003E5397">
            <w:rPr>
              <w:sz w:val="16"/>
              <w:szCs w:val="16"/>
              <w:lang w:val="sr-Cyrl-RS"/>
            </w:rPr>
            <w:t>8</w:t>
          </w:r>
          <w:r w:rsidR="00B92B8A">
            <w:rPr>
              <w:sz w:val="16"/>
              <w:szCs w:val="16"/>
              <w:lang w:val="sr-Latn-CS"/>
            </w:rPr>
            <w:t>0</w:t>
          </w:r>
          <w:r w:rsidR="003E5397">
            <w:rPr>
              <w:sz w:val="16"/>
              <w:szCs w:val="16"/>
              <w:lang w:val="sr-Cyrl-RS"/>
            </w:rPr>
            <w:t>9</w:t>
          </w:r>
          <w:r w:rsidR="00B92B8A">
            <w:rPr>
              <w:sz w:val="16"/>
              <w:szCs w:val="16"/>
              <w:lang w:val="sr-Latn-CS"/>
            </w:rPr>
            <w:t>20</w:t>
          </w:r>
        </w:p>
      </w:tc>
    </w:tr>
  </w:tbl>
  <w:p w:rsidR="00BC10B0" w:rsidRPr="005C58EB" w:rsidRDefault="00BC10B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93"/>
      <w:gridCol w:w="5186"/>
    </w:tblGrid>
    <w:tr w:rsidR="00BC10B0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BC10B0" w:rsidRPr="00AF23FB" w:rsidRDefault="008E07C4" w:rsidP="008E07C4">
          <w:pPr>
            <w:spacing w:before="60"/>
            <w:rPr>
              <w:sz w:val="16"/>
              <w:szCs w:val="16"/>
              <w:lang w:val="sr-Latn-CS"/>
            </w:rPr>
          </w:pPr>
          <w:r>
            <w:rPr>
              <w:sz w:val="16"/>
              <w:szCs w:val="16"/>
            </w:rPr>
            <w:t>SRB</w:t>
          </w:r>
          <w:r w:rsidR="00014006">
            <w:rPr>
              <w:sz w:val="16"/>
              <w:szCs w:val="16"/>
            </w:rPr>
            <w:t>259</w:t>
          </w:r>
          <w:r w:rsidR="00E015FB">
            <w:rPr>
              <w:sz w:val="16"/>
              <w:szCs w:val="16"/>
            </w:rPr>
            <w:t>ZS80</w:t>
          </w:r>
          <w:r w:rsidR="00014006">
            <w:rPr>
              <w:sz w:val="16"/>
              <w:szCs w:val="16"/>
              <w:lang w:val="sr-Cyrl-CS"/>
            </w:rPr>
            <w:t>200917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BC10B0" w:rsidRPr="00AF23FB" w:rsidRDefault="00514C23" w:rsidP="00BF2E14">
          <w:pPr>
            <w:spacing w:before="6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BC10B0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4C4B6B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BC10B0" w:rsidRPr="005C58EB" w:rsidRDefault="00BC10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9D" w:rsidRDefault="0062259D">
      <w:r>
        <w:separator/>
      </w:r>
    </w:p>
  </w:footnote>
  <w:footnote w:type="continuationSeparator" w:id="0">
    <w:p w:rsidR="0062259D" w:rsidRDefault="0062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063D"/>
    <w:rsid w:val="000034A9"/>
    <w:rsid w:val="000034E4"/>
    <w:rsid w:val="000049E7"/>
    <w:rsid w:val="000053A6"/>
    <w:rsid w:val="00007FBD"/>
    <w:rsid w:val="00013F72"/>
    <w:rsid w:val="00014006"/>
    <w:rsid w:val="00014012"/>
    <w:rsid w:val="0001599D"/>
    <w:rsid w:val="00017AE7"/>
    <w:rsid w:val="00021C9B"/>
    <w:rsid w:val="00023215"/>
    <w:rsid w:val="00023B4C"/>
    <w:rsid w:val="0002498A"/>
    <w:rsid w:val="000261BF"/>
    <w:rsid w:val="000267D7"/>
    <w:rsid w:val="0003083D"/>
    <w:rsid w:val="00034AEC"/>
    <w:rsid w:val="0004045B"/>
    <w:rsid w:val="00040BA0"/>
    <w:rsid w:val="000439EE"/>
    <w:rsid w:val="00043FF5"/>
    <w:rsid w:val="000443BC"/>
    <w:rsid w:val="00046A38"/>
    <w:rsid w:val="000471FF"/>
    <w:rsid w:val="00047A0B"/>
    <w:rsid w:val="0005027C"/>
    <w:rsid w:val="00055943"/>
    <w:rsid w:val="00057A0F"/>
    <w:rsid w:val="00060D51"/>
    <w:rsid w:val="00063B99"/>
    <w:rsid w:val="000664C2"/>
    <w:rsid w:val="00067EB3"/>
    <w:rsid w:val="00071391"/>
    <w:rsid w:val="00071E91"/>
    <w:rsid w:val="00073936"/>
    <w:rsid w:val="000748B0"/>
    <w:rsid w:val="00075881"/>
    <w:rsid w:val="00075992"/>
    <w:rsid w:val="00075B0C"/>
    <w:rsid w:val="000766D4"/>
    <w:rsid w:val="000803DD"/>
    <w:rsid w:val="00087B68"/>
    <w:rsid w:val="0009529F"/>
    <w:rsid w:val="0009771A"/>
    <w:rsid w:val="000A48A2"/>
    <w:rsid w:val="000A50B6"/>
    <w:rsid w:val="000A6A3B"/>
    <w:rsid w:val="000B3802"/>
    <w:rsid w:val="000B7C06"/>
    <w:rsid w:val="000C1BE1"/>
    <w:rsid w:val="000C1DD3"/>
    <w:rsid w:val="000C4CBC"/>
    <w:rsid w:val="000C7938"/>
    <w:rsid w:val="000C7ABF"/>
    <w:rsid w:val="000C7CC4"/>
    <w:rsid w:val="000D087B"/>
    <w:rsid w:val="000D13A0"/>
    <w:rsid w:val="000D2620"/>
    <w:rsid w:val="000D4386"/>
    <w:rsid w:val="000D4726"/>
    <w:rsid w:val="000D53E2"/>
    <w:rsid w:val="000D6957"/>
    <w:rsid w:val="000D7A37"/>
    <w:rsid w:val="000E0B38"/>
    <w:rsid w:val="000E1739"/>
    <w:rsid w:val="000E457C"/>
    <w:rsid w:val="000E4DEF"/>
    <w:rsid w:val="000F0C51"/>
    <w:rsid w:val="000F4AF7"/>
    <w:rsid w:val="000F57B1"/>
    <w:rsid w:val="0010039D"/>
    <w:rsid w:val="001024D8"/>
    <w:rsid w:val="001034CA"/>
    <w:rsid w:val="001057A8"/>
    <w:rsid w:val="00106E57"/>
    <w:rsid w:val="00110976"/>
    <w:rsid w:val="00110F39"/>
    <w:rsid w:val="0011264F"/>
    <w:rsid w:val="001148A4"/>
    <w:rsid w:val="00114F84"/>
    <w:rsid w:val="00120DC5"/>
    <w:rsid w:val="001245F5"/>
    <w:rsid w:val="00124E8D"/>
    <w:rsid w:val="00130CE3"/>
    <w:rsid w:val="00130D77"/>
    <w:rsid w:val="001326B5"/>
    <w:rsid w:val="00132AB5"/>
    <w:rsid w:val="00133AC4"/>
    <w:rsid w:val="0014018B"/>
    <w:rsid w:val="001444B8"/>
    <w:rsid w:val="00146F50"/>
    <w:rsid w:val="00147CD6"/>
    <w:rsid w:val="00151D72"/>
    <w:rsid w:val="00154340"/>
    <w:rsid w:val="00155451"/>
    <w:rsid w:val="00155E60"/>
    <w:rsid w:val="001577B8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E04"/>
    <w:rsid w:val="00176BA3"/>
    <w:rsid w:val="00177684"/>
    <w:rsid w:val="00180434"/>
    <w:rsid w:val="0018121E"/>
    <w:rsid w:val="001815B6"/>
    <w:rsid w:val="0018679C"/>
    <w:rsid w:val="00187945"/>
    <w:rsid w:val="00190E98"/>
    <w:rsid w:val="00191987"/>
    <w:rsid w:val="00194F9C"/>
    <w:rsid w:val="00196304"/>
    <w:rsid w:val="001A2928"/>
    <w:rsid w:val="001A305E"/>
    <w:rsid w:val="001A3FF7"/>
    <w:rsid w:val="001A5008"/>
    <w:rsid w:val="001A77B5"/>
    <w:rsid w:val="001B2E96"/>
    <w:rsid w:val="001B376E"/>
    <w:rsid w:val="001B416B"/>
    <w:rsid w:val="001B4B42"/>
    <w:rsid w:val="001B4CF5"/>
    <w:rsid w:val="001C080E"/>
    <w:rsid w:val="001C094C"/>
    <w:rsid w:val="001C19D0"/>
    <w:rsid w:val="001C23EB"/>
    <w:rsid w:val="001C27CE"/>
    <w:rsid w:val="001C31AD"/>
    <w:rsid w:val="001C3719"/>
    <w:rsid w:val="001C38FC"/>
    <w:rsid w:val="001C53BD"/>
    <w:rsid w:val="001D1643"/>
    <w:rsid w:val="001D23DB"/>
    <w:rsid w:val="001D7AEC"/>
    <w:rsid w:val="001E008D"/>
    <w:rsid w:val="001E0342"/>
    <w:rsid w:val="001E1EE7"/>
    <w:rsid w:val="001E2578"/>
    <w:rsid w:val="001F225A"/>
    <w:rsid w:val="001F2E55"/>
    <w:rsid w:val="001F3ABF"/>
    <w:rsid w:val="001F6480"/>
    <w:rsid w:val="002002E6"/>
    <w:rsid w:val="00201EC0"/>
    <w:rsid w:val="00205188"/>
    <w:rsid w:val="00205B73"/>
    <w:rsid w:val="00210AC6"/>
    <w:rsid w:val="00214D2C"/>
    <w:rsid w:val="00220ABD"/>
    <w:rsid w:val="00225696"/>
    <w:rsid w:val="00225B09"/>
    <w:rsid w:val="002314E5"/>
    <w:rsid w:val="00233606"/>
    <w:rsid w:val="002338F2"/>
    <w:rsid w:val="00233D2F"/>
    <w:rsid w:val="00237399"/>
    <w:rsid w:val="00243857"/>
    <w:rsid w:val="00244503"/>
    <w:rsid w:val="00244B26"/>
    <w:rsid w:val="00246009"/>
    <w:rsid w:val="00246177"/>
    <w:rsid w:val="00247186"/>
    <w:rsid w:val="00253EE4"/>
    <w:rsid w:val="00254717"/>
    <w:rsid w:val="00254875"/>
    <w:rsid w:val="00256318"/>
    <w:rsid w:val="00256399"/>
    <w:rsid w:val="002577D1"/>
    <w:rsid w:val="00266953"/>
    <w:rsid w:val="00270CA6"/>
    <w:rsid w:val="00275D4F"/>
    <w:rsid w:val="00277F75"/>
    <w:rsid w:val="002826B6"/>
    <w:rsid w:val="00284F57"/>
    <w:rsid w:val="0028527C"/>
    <w:rsid w:val="00285A7E"/>
    <w:rsid w:val="00285B0F"/>
    <w:rsid w:val="00285FAA"/>
    <w:rsid w:val="0028769D"/>
    <w:rsid w:val="0029008C"/>
    <w:rsid w:val="002961F4"/>
    <w:rsid w:val="002A3110"/>
    <w:rsid w:val="002A709D"/>
    <w:rsid w:val="002A7A06"/>
    <w:rsid w:val="002B54CB"/>
    <w:rsid w:val="002B7024"/>
    <w:rsid w:val="002B7EDD"/>
    <w:rsid w:val="002C2C17"/>
    <w:rsid w:val="002C35A2"/>
    <w:rsid w:val="002C4EC4"/>
    <w:rsid w:val="002C6142"/>
    <w:rsid w:val="002C6218"/>
    <w:rsid w:val="002C79A0"/>
    <w:rsid w:val="002D6BA4"/>
    <w:rsid w:val="002E619E"/>
    <w:rsid w:val="002E67FE"/>
    <w:rsid w:val="002E7BD2"/>
    <w:rsid w:val="002F1F25"/>
    <w:rsid w:val="002F31A0"/>
    <w:rsid w:val="002F3B5A"/>
    <w:rsid w:val="002F575B"/>
    <w:rsid w:val="002F723C"/>
    <w:rsid w:val="002F7471"/>
    <w:rsid w:val="003014F9"/>
    <w:rsid w:val="00303366"/>
    <w:rsid w:val="0030344F"/>
    <w:rsid w:val="00305331"/>
    <w:rsid w:val="00307D0B"/>
    <w:rsid w:val="0031163C"/>
    <w:rsid w:val="00314F9F"/>
    <w:rsid w:val="0031664D"/>
    <w:rsid w:val="00326471"/>
    <w:rsid w:val="00334507"/>
    <w:rsid w:val="00335AC3"/>
    <w:rsid w:val="00336BD7"/>
    <w:rsid w:val="00337626"/>
    <w:rsid w:val="00341AE4"/>
    <w:rsid w:val="0034201E"/>
    <w:rsid w:val="00345F38"/>
    <w:rsid w:val="00346534"/>
    <w:rsid w:val="003472A6"/>
    <w:rsid w:val="00350FC0"/>
    <w:rsid w:val="003560F0"/>
    <w:rsid w:val="00357146"/>
    <w:rsid w:val="0036003E"/>
    <w:rsid w:val="00361FB1"/>
    <w:rsid w:val="003620E3"/>
    <w:rsid w:val="00362392"/>
    <w:rsid w:val="00362875"/>
    <w:rsid w:val="00363AAD"/>
    <w:rsid w:val="0036561A"/>
    <w:rsid w:val="00367ABC"/>
    <w:rsid w:val="003712D8"/>
    <w:rsid w:val="0037335D"/>
    <w:rsid w:val="00374EB9"/>
    <w:rsid w:val="00377573"/>
    <w:rsid w:val="003778DB"/>
    <w:rsid w:val="00377EA2"/>
    <w:rsid w:val="00377F68"/>
    <w:rsid w:val="0038067D"/>
    <w:rsid w:val="00382772"/>
    <w:rsid w:val="003854DA"/>
    <w:rsid w:val="003868DB"/>
    <w:rsid w:val="00386CE6"/>
    <w:rsid w:val="003870B9"/>
    <w:rsid w:val="00390467"/>
    <w:rsid w:val="00390972"/>
    <w:rsid w:val="00392B6B"/>
    <w:rsid w:val="003948EC"/>
    <w:rsid w:val="00395898"/>
    <w:rsid w:val="00395B71"/>
    <w:rsid w:val="003A2F46"/>
    <w:rsid w:val="003A6A88"/>
    <w:rsid w:val="003A742D"/>
    <w:rsid w:val="003B028E"/>
    <w:rsid w:val="003B2484"/>
    <w:rsid w:val="003B2E9E"/>
    <w:rsid w:val="003B3064"/>
    <w:rsid w:val="003B602E"/>
    <w:rsid w:val="003B67AC"/>
    <w:rsid w:val="003C08A8"/>
    <w:rsid w:val="003C4653"/>
    <w:rsid w:val="003C52A9"/>
    <w:rsid w:val="003C5346"/>
    <w:rsid w:val="003C62B2"/>
    <w:rsid w:val="003C6386"/>
    <w:rsid w:val="003C6D85"/>
    <w:rsid w:val="003D308A"/>
    <w:rsid w:val="003D37B1"/>
    <w:rsid w:val="003D4FFC"/>
    <w:rsid w:val="003D7F78"/>
    <w:rsid w:val="003E06F2"/>
    <w:rsid w:val="003E2128"/>
    <w:rsid w:val="003E23E7"/>
    <w:rsid w:val="003E2CBC"/>
    <w:rsid w:val="003E3C34"/>
    <w:rsid w:val="003E5397"/>
    <w:rsid w:val="003E6600"/>
    <w:rsid w:val="003F3CB9"/>
    <w:rsid w:val="00400BED"/>
    <w:rsid w:val="00403EF9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21C9"/>
    <w:rsid w:val="00423590"/>
    <w:rsid w:val="0043154C"/>
    <w:rsid w:val="00431CD2"/>
    <w:rsid w:val="004329AE"/>
    <w:rsid w:val="00432C00"/>
    <w:rsid w:val="00432F75"/>
    <w:rsid w:val="00433D51"/>
    <w:rsid w:val="00435E65"/>
    <w:rsid w:val="00436886"/>
    <w:rsid w:val="00437370"/>
    <w:rsid w:val="004375CC"/>
    <w:rsid w:val="004407EC"/>
    <w:rsid w:val="00441AE6"/>
    <w:rsid w:val="00443CB3"/>
    <w:rsid w:val="0044671B"/>
    <w:rsid w:val="004510FD"/>
    <w:rsid w:val="0045155C"/>
    <w:rsid w:val="00457A57"/>
    <w:rsid w:val="004621A2"/>
    <w:rsid w:val="00462270"/>
    <w:rsid w:val="00462CEE"/>
    <w:rsid w:val="004717D1"/>
    <w:rsid w:val="00476072"/>
    <w:rsid w:val="0047618D"/>
    <w:rsid w:val="00482144"/>
    <w:rsid w:val="00482895"/>
    <w:rsid w:val="00483205"/>
    <w:rsid w:val="004835AE"/>
    <w:rsid w:val="0049041F"/>
    <w:rsid w:val="00493032"/>
    <w:rsid w:val="00493C46"/>
    <w:rsid w:val="00493CD5"/>
    <w:rsid w:val="004946DA"/>
    <w:rsid w:val="004958A5"/>
    <w:rsid w:val="00495AFE"/>
    <w:rsid w:val="004A189B"/>
    <w:rsid w:val="004A3C5E"/>
    <w:rsid w:val="004A3F92"/>
    <w:rsid w:val="004A4AED"/>
    <w:rsid w:val="004A5992"/>
    <w:rsid w:val="004B0A92"/>
    <w:rsid w:val="004B4CCA"/>
    <w:rsid w:val="004B56AF"/>
    <w:rsid w:val="004B70AC"/>
    <w:rsid w:val="004C2D9B"/>
    <w:rsid w:val="004C39C2"/>
    <w:rsid w:val="004C4B6B"/>
    <w:rsid w:val="004D0DFE"/>
    <w:rsid w:val="004D2A23"/>
    <w:rsid w:val="004D6373"/>
    <w:rsid w:val="004D648E"/>
    <w:rsid w:val="004E0CCB"/>
    <w:rsid w:val="004E266D"/>
    <w:rsid w:val="004E2A2C"/>
    <w:rsid w:val="004E4946"/>
    <w:rsid w:val="004E5ADD"/>
    <w:rsid w:val="004F065F"/>
    <w:rsid w:val="004F0F2B"/>
    <w:rsid w:val="004F0F73"/>
    <w:rsid w:val="004F4449"/>
    <w:rsid w:val="004F4876"/>
    <w:rsid w:val="004F4A78"/>
    <w:rsid w:val="004F5075"/>
    <w:rsid w:val="004F5F83"/>
    <w:rsid w:val="004F612F"/>
    <w:rsid w:val="004F62AE"/>
    <w:rsid w:val="00500F5E"/>
    <w:rsid w:val="00502C16"/>
    <w:rsid w:val="00503166"/>
    <w:rsid w:val="005044DC"/>
    <w:rsid w:val="00504807"/>
    <w:rsid w:val="005062DF"/>
    <w:rsid w:val="00507B65"/>
    <w:rsid w:val="0051192E"/>
    <w:rsid w:val="00513FAF"/>
    <w:rsid w:val="00514C23"/>
    <w:rsid w:val="00516896"/>
    <w:rsid w:val="0052041A"/>
    <w:rsid w:val="005208E4"/>
    <w:rsid w:val="00520A34"/>
    <w:rsid w:val="00520A8A"/>
    <w:rsid w:val="00520D45"/>
    <w:rsid w:val="0052221E"/>
    <w:rsid w:val="00523EEB"/>
    <w:rsid w:val="005243E8"/>
    <w:rsid w:val="00524691"/>
    <w:rsid w:val="00525404"/>
    <w:rsid w:val="00527173"/>
    <w:rsid w:val="0053192E"/>
    <w:rsid w:val="00540440"/>
    <w:rsid w:val="005452E1"/>
    <w:rsid w:val="00546D94"/>
    <w:rsid w:val="00547280"/>
    <w:rsid w:val="00555901"/>
    <w:rsid w:val="00557DB8"/>
    <w:rsid w:val="005605E2"/>
    <w:rsid w:val="00560BF7"/>
    <w:rsid w:val="00564063"/>
    <w:rsid w:val="00567ABC"/>
    <w:rsid w:val="005767A6"/>
    <w:rsid w:val="005778AD"/>
    <w:rsid w:val="0058196E"/>
    <w:rsid w:val="005831F5"/>
    <w:rsid w:val="00585FCA"/>
    <w:rsid w:val="00586A1B"/>
    <w:rsid w:val="00591F3B"/>
    <w:rsid w:val="00592C13"/>
    <w:rsid w:val="00592C9A"/>
    <w:rsid w:val="00596A18"/>
    <w:rsid w:val="00597702"/>
    <w:rsid w:val="005A73C2"/>
    <w:rsid w:val="005A744B"/>
    <w:rsid w:val="005B323C"/>
    <w:rsid w:val="005B4789"/>
    <w:rsid w:val="005B519F"/>
    <w:rsid w:val="005B5520"/>
    <w:rsid w:val="005B6E72"/>
    <w:rsid w:val="005C10E4"/>
    <w:rsid w:val="005C4034"/>
    <w:rsid w:val="005C40DD"/>
    <w:rsid w:val="005C58EB"/>
    <w:rsid w:val="005D2746"/>
    <w:rsid w:val="005E1D06"/>
    <w:rsid w:val="005E75B7"/>
    <w:rsid w:val="005F0791"/>
    <w:rsid w:val="005F408E"/>
    <w:rsid w:val="005F68E1"/>
    <w:rsid w:val="005F6D50"/>
    <w:rsid w:val="005F706E"/>
    <w:rsid w:val="006024D6"/>
    <w:rsid w:val="00604C76"/>
    <w:rsid w:val="00607B97"/>
    <w:rsid w:val="00611B35"/>
    <w:rsid w:val="00613595"/>
    <w:rsid w:val="006142F5"/>
    <w:rsid w:val="00614C60"/>
    <w:rsid w:val="006203B1"/>
    <w:rsid w:val="00620BC7"/>
    <w:rsid w:val="00620BE5"/>
    <w:rsid w:val="0062259D"/>
    <w:rsid w:val="00624AE1"/>
    <w:rsid w:val="00626DB8"/>
    <w:rsid w:val="006272D3"/>
    <w:rsid w:val="00627E99"/>
    <w:rsid w:val="0063299A"/>
    <w:rsid w:val="006351F0"/>
    <w:rsid w:val="006442D1"/>
    <w:rsid w:val="00646A6B"/>
    <w:rsid w:val="00646AAE"/>
    <w:rsid w:val="00651333"/>
    <w:rsid w:val="006519DA"/>
    <w:rsid w:val="00655270"/>
    <w:rsid w:val="00655C6C"/>
    <w:rsid w:val="00657CCE"/>
    <w:rsid w:val="006605B8"/>
    <w:rsid w:val="00662ABE"/>
    <w:rsid w:val="006659F6"/>
    <w:rsid w:val="006669BD"/>
    <w:rsid w:val="0067052F"/>
    <w:rsid w:val="006707A4"/>
    <w:rsid w:val="0067119B"/>
    <w:rsid w:val="00672093"/>
    <w:rsid w:val="006728A5"/>
    <w:rsid w:val="0067357E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40AB"/>
    <w:rsid w:val="006A55B9"/>
    <w:rsid w:val="006A7E8E"/>
    <w:rsid w:val="006B4529"/>
    <w:rsid w:val="006B4D05"/>
    <w:rsid w:val="006B5271"/>
    <w:rsid w:val="006B52DB"/>
    <w:rsid w:val="006B5A54"/>
    <w:rsid w:val="006B7517"/>
    <w:rsid w:val="006B7937"/>
    <w:rsid w:val="006C078D"/>
    <w:rsid w:val="006C50F2"/>
    <w:rsid w:val="006C7C18"/>
    <w:rsid w:val="006D01D0"/>
    <w:rsid w:val="006D15A0"/>
    <w:rsid w:val="006D362E"/>
    <w:rsid w:val="006D4523"/>
    <w:rsid w:val="006D50C8"/>
    <w:rsid w:val="006E29DE"/>
    <w:rsid w:val="006E3135"/>
    <w:rsid w:val="006E4AD6"/>
    <w:rsid w:val="006E5DB8"/>
    <w:rsid w:val="006E653F"/>
    <w:rsid w:val="006E6B4C"/>
    <w:rsid w:val="006E7AF4"/>
    <w:rsid w:val="006F19F9"/>
    <w:rsid w:val="006F35D2"/>
    <w:rsid w:val="006F4722"/>
    <w:rsid w:val="006F4F1C"/>
    <w:rsid w:val="006F59C4"/>
    <w:rsid w:val="006F7059"/>
    <w:rsid w:val="006F712C"/>
    <w:rsid w:val="00702633"/>
    <w:rsid w:val="00704508"/>
    <w:rsid w:val="00706F55"/>
    <w:rsid w:val="00707A41"/>
    <w:rsid w:val="00707AE9"/>
    <w:rsid w:val="00713B86"/>
    <w:rsid w:val="0071482E"/>
    <w:rsid w:val="00714AB3"/>
    <w:rsid w:val="007241C6"/>
    <w:rsid w:val="007251CE"/>
    <w:rsid w:val="00725E63"/>
    <w:rsid w:val="00726C84"/>
    <w:rsid w:val="00730B71"/>
    <w:rsid w:val="0073113A"/>
    <w:rsid w:val="007312D6"/>
    <w:rsid w:val="007327DD"/>
    <w:rsid w:val="007430BB"/>
    <w:rsid w:val="007431B3"/>
    <w:rsid w:val="00743FDD"/>
    <w:rsid w:val="00744A70"/>
    <w:rsid w:val="00746CB0"/>
    <w:rsid w:val="00750CA0"/>
    <w:rsid w:val="007513E5"/>
    <w:rsid w:val="00751B92"/>
    <w:rsid w:val="00751EC2"/>
    <w:rsid w:val="00752E82"/>
    <w:rsid w:val="00754837"/>
    <w:rsid w:val="0075497F"/>
    <w:rsid w:val="00756BEC"/>
    <w:rsid w:val="00760A57"/>
    <w:rsid w:val="00767C6C"/>
    <w:rsid w:val="007706EE"/>
    <w:rsid w:val="0077107B"/>
    <w:rsid w:val="0077161C"/>
    <w:rsid w:val="0077734A"/>
    <w:rsid w:val="007848D2"/>
    <w:rsid w:val="00785B62"/>
    <w:rsid w:val="00787581"/>
    <w:rsid w:val="00791F5B"/>
    <w:rsid w:val="00793124"/>
    <w:rsid w:val="00794431"/>
    <w:rsid w:val="00796D48"/>
    <w:rsid w:val="007A09A8"/>
    <w:rsid w:val="007A1F5A"/>
    <w:rsid w:val="007A231F"/>
    <w:rsid w:val="007A4A07"/>
    <w:rsid w:val="007A4DA9"/>
    <w:rsid w:val="007A551E"/>
    <w:rsid w:val="007B29E4"/>
    <w:rsid w:val="007B2F2C"/>
    <w:rsid w:val="007C07D3"/>
    <w:rsid w:val="007C4D1D"/>
    <w:rsid w:val="007C4DE7"/>
    <w:rsid w:val="007C56DA"/>
    <w:rsid w:val="007C689F"/>
    <w:rsid w:val="007D3AA8"/>
    <w:rsid w:val="007D4AF9"/>
    <w:rsid w:val="007D7BD4"/>
    <w:rsid w:val="007E2A9A"/>
    <w:rsid w:val="007E2BD1"/>
    <w:rsid w:val="007E36DE"/>
    <w:rsid w:val="007E3FD2"/>
    <w:rsid w:val="007E4E6C"/>
    <w:rsid w:val="007E6E68"/>
    <w:rsid w:val="007F058D"/>
    <w:rsid w:val="007F1EB5"/>
    <w:rsid w:val="007F2E03"/>
    <w:rsid w:val="007F34C8"/>
    <w:rsid w:val="007F5A19"/>
    <w:rsid w:val="007F5E27"/>
    <w:rsid w:val="007F63EA"/>
    <w:rsid w:val="008033B8"/>
    <w:rsid w:val="008114A9"/>
    <w:rsid w:val="008118E2"/>
    <w:rsid w:val="00811CA6"/>
    <w:rsid w:val="0081236A"/>
    <w:rsid w:val="00812EC1"/>
    <w:rsid w:val="00813621"/>
    <w:rsid w:val="00813DB7"/>
    <w:rsid w:val="0081435B"/>
    <w:rsid w:val="00814B4C"/>
    <w:rsid w:val="008174D7"/>
    <w:rsid w:val="00821B3B"/>
    <w:rsid w:val="00822B8D"/>
    <w:rsid w:val="00822CBB"/>
    <w:rsid w:val="008278B9"/>
    <w:rsid w:val="008336CD"/>
    <w:rsid w:val="00833DCA"/>
    <w:rsid w:val="00837A72"/>
    <w:rsid w:val="00840E5A"/>
    <w:rsid w:val="00842531"/>
    <w:rsid w:val="0084253A"/>
    <w:rsid w:val="00845491"/>
    <w:rsid w:val="00850DA0"/>
    <w:rsid w:val="00851B2B"/>
    <w:rsid w:val="00856A49"/>
    <w:rsid w:val="008577B3"/>
    <w:rsid w:val="008648F8"/>
    <w:rsid w:val="00865950"/>
    <w:rsid w:val="0087146C"/>
    <w:rsid w:val="008728C7"/>
    <w:rsid w:val="00872DF7"/>
    <w:rsid w:val="008740AE"/>
    <w:rsid w:val="00875065"/>
    <w:rsid w:val="008776C0"/>
    <w:rsid w:val="00882629"/>
    <w:rsid w:val="008863BD"/>
    <w:rsid w:val="0089187A"/>
    <w:rsid w:val="00892C0C"/>
    <w:rsid w:val="008A2E23"/>
    <w:rsid w:val="008A3BAB"/>
    <w:rsid w:val="008A54FD"/>
    <w:rsid w:val="008B5159"/>
    <w:rsid w:val="008B6E10"/>
    <w:rsid w:val="008C22D5"/>
    <w:rsid w:val="008C3B72"/>
    <w:rsid w:val="008C44B8"/>
    <w:rsid w:val="008D0328"/>
    <w:rsid w:val="008D2841"/>
    <w:rsid w:val="008D5806"/>
    <w:rsid w:val="008D69F1"/>
    <w:rsid w:val="008E0361"/>
    <w:rsid w:val="008E07C4"/>
    <w:rsid w:val="008E2125"/>
    <w:rsid w:val="008E501D"/>
    <w:rsid w:val="008E54FC"/>
    <w:rsid w:val="008E5FDA"/>
    <w:rsid w:val="008E7046"/>
    <w:rsid w:val="008E7A21"/>
    <w:rsid w:val="008F4410"/>
    <w:rsid w:val="008F7BD8"/>
    <w:rsid w:val="00903DE7"/>
    <w:rsid w:val="00904BEC"/>
    <w:rsid w:val="0090577F"/>
    <w:rsid w:val="00906511"/>
    <w:rsid w:val="0090718B"/>
    <w:rsid w:val="00910446"/>
    <w:rsid w:val="00913607"/>
    <w:rsid w:val="00920F5C"/>
    <w:rsid w:val="0092477D"/>
    <w:rsid w:val="00925410"/>
    <w:rsid w:val="009324E6"/>
    <w:rsid w:val="009328A6"/>
    <w:rsid w:val="009338BC"/>
    <w:rsid w:val="0093446D"/>
    <w:rsid w:val="00935F76"/>
    <w:rsid w:val="0093660D"/>
    <w:rsid w:val="00936FD5"/>
    <w:rsid w:val="0094078A"/>
    <w:rsid w:val="00940DEA"/>
    <w:rsid w:val="00941E16"/>
    <w:rsid w:val="00946629"/>
    <w:rsid w:val="00946A00"/>
    <w:rsid w:val="00950772"/>
    <w:rsid w:val="009511CA"/>
    <w:rsid w:val="00952101"/>
    <w:rsid w:val="00952142"/>
    <w:rsid w:val="009524C3"/>
    <w:rsid w:val="00952F3D"/>
    <w:rsid w:val="00953B72"/>
    <w:rsid w:val="00955404"/>
    <w:rsid w:val="00957B6A"/>
    <w:rsid w:val="009640F2"/>
    <w:rsid w:val="0096647B"/>
    <w:rsid w:val="00973F22"/>
    <w:rsid w:val="00980896"/>
    <w:rsid w:val="009822A0"/>
    <w:rsid w:val="00983FA1"/>
    <w:rsid w:val="00984A89"/>
    <w:rsid w:val="0098501D"/>
    <w:rsid w:val="00986DC1"/>
    <w:rsid w:val="009917E3"/>
    <w:rsid w:val="00994413"/>
    <w:rsid w:val="00994910"/>
    <w:rsid w:val="009953DA"/>
    <w:rsid w:val="00996FBB"/>
    <w:rsid w:val="009973F7"/>
    <w:rsid w:val="00997843"/>
    <w:rsid w:val="009A31E3"/>
    <w:rsid w:val="009A39DC"/>
    <w:rsid w:val="009A3AEC"/>
    <w:rsid w:val="009A408C"/>
    <w:rsid w:val="009A62C9"/>
    <w:rsid w:val="009A716E"/>
    <w:rsid w:val="009B0771"/>
    <w:rsid w:val="009B4400"/>
    <w:rsid w:val="009B6A39"/>
    <w:rsid w:val="009B74D1"/>
    <w:rsid w:val="009C06F4"/>
    <w:rsid w:val="009C5794"/>
    <w:rsid w:val="009D28E8"/>
    <w:rsid w:val="009D2F49"/>
    <w:rsid w:val="009D3151"/>
    <w:rsid w:val="009D4E86"/>
    <w:rsid w:val="009D648E"/>
    <w:rsid w:val="009E2639"/>
    <w:rsid w:val="009E336C"/>
    <w:rsid w:val="009E4B29"/>
    <w:rsid w:val="009E4CF4"/>
    <w:rsid w:val="009E4F9B"/>
    <w:rsid w:val="009F11AD"/>
    <w:rsid w:val="009F14F0"/>
    <w:rsid w:val="009F3A4A"/>
    <w:rsid w:val="009F7393"/>
    <w:rsid w:val="00A01C8B"/>
    <w:rsid w:val="00A01E04"/>
    <w:rsid w:val="00A061C6"/>
    <w:rsid w:val="00A16495"/>
    <w:rsid w:val="00A1772E"/>
    <w:rsid w:val="00A20D67"/>
    <w:rsid w:val="00A21344"/>
    <w:rsid w:val="00A25E54"/>
    <w:rsid w:val="00A317E7"/>
    <w:rsid w:val="00A3324A"/>
    <w:rsid w:val="00A41200"/>
    <w:rsid w:val="00A50B8E"/>
    <w:rsid w:val="00A54EBF"/>
    <w:rsid w:val="00A55339"/>
    <w:rsid w:val="00A56CB2"/>
    <w:rsid w:val="00A605C7"/>
    <w:rsid w:val="00A61C2D"/>
    <w:rsid w:val="00A62452"/>
    <w:rsid w:val="00A62EC1"/>
    <w:rsid w:val="00A7074E"/>
    <w:rsid w:val="00A7271D"/>
    <w:rsid w:val="00A74C66"/>
    <w:rsid w:val="00A7556A"/>
    <w:rsid w:val="00A75CF8"/>
    <w:rsid w:val="00A764C6"/>
    <w:rsid w:val="00A82348"/>
    <w:rsid w:val="00A8412F"/>
    <w:rsid w:val="00A84CB0"/>
    <w:rsid w:val="00A84F98"/>
    <w:rsid w:val="00A9046A"/>
    <w:rsid w:val="00A91736"/>
    <w:rsid w:val="00A91E77"/>
    <w:rsid w:val="00A921D9"/>
    <w:rsid w:val="00A92638"/>
    <w:rsid w:val="00A929A5"/>
    <w:rsid w:val="00A933FF"/>
    <w:rsid w:val="00A93E93"/>
    <w:rsid w:val="00A950A0"/>
    <w:rsid w:val="00AA0E77"/>
    <w:rsid w:val="00AA3865"/>
    <w:rsid w:val="00AA49E8"/>
    <w:rsid w:val="00AA54DC"/>
    <w:rsid w:val="00AA6448"/>
    <w:rsid w:val="00AA65BB"/>
    <w:rsid w:val="00AB145E"/>
    <w:rsid w:val="00AC3594"/>
    <w:rsid w:val="00AC43D9"/>
    <w:rsid w:val="00AC467A"/>
    <w:rsid w:val="00AC703A"/>
    <w:rsid w:val="00AC7E2C"/>
    <w:rsid w:val="00AD15BC"/>
    <w:rsid w:val="00AD15E1"/>
    <w:rsid w:val="00AD1BB9"/>
    <w:rsid w:val="00AD2E5F"/>
    <w:rsid w:val="00AD3085"/>
    <w:rsid w:val="00AD5725"/>
    <w:rsid w:val="00AE26C6"/>
    <w:rsid w:val="00AE2ACD"/>
    <w:rsid w:val="00AE36EB"/>
    <w:rsid w:val="00AE4134"/>
    <w:rsid w:val="00AE4E8D"/>
    <w:rsid w:val="00AF111D"/>
    <w:rsid w:val="00AF15E8"/>
    <w:rsid w:val="00AF23FB"/>
    <w:rsid w:val="00B02624"/>
    <w:rsid w:val="00B02D0F"/>
    <w:rsid w:val="00B04842"/>
    <w:rsid w:val="00B10168"/>
    <w:rsid w:val="00B10603"/>
    <w:rsid w:val="00B130CC"/>
    <w:rsid w:val="00B156EF"/>
    <w:rsid w:val="00B161BD"/>
    <w:rsid w:val="00B17B15"/>
    <w:rsid w:val="00B211BF"/>
    <w:rsid w:val="00B22014"/>
    <w:rsid w:val="00B23848"/>
    <w:rsid w:val="00B244DC"/>
    <w:rsid w:val="00B26B75"/>
    <w:rsid w:val="00B27091"/>
    <w:rsid w:val="00B2795C"/>
    <w:rsid w:val="00B27B49"/>
    <w:rsid w:val="00B30C50"/>
    <w:rsid w:val="00B31B7A"/>
    <w:rsid w:val="00B32073"/>
    <w:rsid w:val="00B32A22"/>
    <w:rsid w:val="00B34198"/>
    <w:rsid w:val="00B35F2A"/>
    <w:rsid w:val="00B36A95"/>
    <w:rsid w:val="00B4577D"/>
    <w:rsid w:val="00B4700B"/>
    <w:rsid w:val="00B4738A"/>
    <w:rsid w:val="00B47D63"/>
    <w:rsid w:val="00B50286"/>
    <w:rsid w:val="00B533DD"/>
    <w:rsid w:val="00B55D7E"/>
    <w:rsid w:val="00B62F12"/>
    <w:rsid w:val="00B63455"/>
    <w:rsid w:val="00B634A6"/>
    <w:rsid w:val="00B64573"/>
    <w:rsid w:val="00B65ABB"/>
    <w:rsid w:val="00B71FD5"/>
    <w:rsid w:val="00B7661A"/>
    <w:rsid w:val="00B8306B"/>
    <w:rsid w:val="00B8650C"/>
    <w:rsid w:val="00B86A39"/>
    <w:rsid w:val="00B8779F"/>
    <w:rsid w:val="00B910D8"/>
    <w:rsid w:val="00B916A3"/>
    <w:rsid w:val="00B92B8A"/>
    <w:rsid w:val="00B95D85"/>
    <w:rsid w:val="00B967F5"/>
    <w:rsid w:val="00BA2A4A"/>
    <w:rsid w:val="00BA4D95"/>
    <w:rsid w:val="00BA50A8"/>
    <w:rsid w:val="00BA6296"/>
    <w:rsid w:val="00BA6321"/>
    <w:rsid w:val="00BB0A71"/>
    <w:rsid w:val="00BB38EB"/>
    <w:rsid w:val="00BB5612"/>
    <w:rsid w:val="00BB5F77"/>
    <w:rsid w:val="00BB6A18"/>
    <w:rsid w:val="00BB6A8F"/>
    <w:rsid w:val="00BB6FEE"/>
    <w:rsid w:val="00BC10B0"/>
    <w:rsid w:val="00BC5169"/>
    <w:rsid w:val="00BC5F23"/>
    <w:rsid w:val="00BC6A3E"/>
    <w:rsid w:val="00BC7440"/>
    <w:rsid w:val="00BE0489"/>
    <w:rsid w:val="00BE366A"/>
    <w:rsid w:val="00BF2E14"/>
    <w:rsid w:val="00C01377"/>
    <w:rsid w:val="00C0316A"/>
    <w:rsid w:val="00C031FA"/>
    <w:rsid w:val="00C0539B"/>
    <w:rsid w:val="00C0702E"/>
    <w:rsid w:val="00C12159"/>
    <w:rsid w:val="00C1239A"/>
    <w:rsid w:val="00C127A9"/>
    <w:rsid w:val="00C13D19"/>
    <w:rsid w:val="00C149A4"/>
    <w:rsid w:val="00C14CCA"/>
    <w:rsid w:val="00C16831"/>
    <w:rsid w:val="00C17FF1"/>
    <w:rsid w:val="00C2415C"/>
    <w:rsid w:val="00C25926"/>
    <w:rsid w:val="00C27E77"/>
    <w:rsid w:val="00C31057"/>
    <w:rsid w:val="00C32AA1"/>
    <w:rsid w:val="00C3359D"/>
    <w:rsid w:val="00C361F8"/>
    <w:rsid w:val="00C37F67"/>
    <w:rsid w:val="00C418F4"/>
    <w:rsid w:val="00C42A23"/>
    <w:rsid w:val="00C45006"/>
    <w:rsid w:val="00C50F07"/>
    <w:rsid w:val="00C52B20"/>
    <w:rsid w:val="00C5318A"/>
    <w:rsid w:val="00C63242"/>
    <w:rsid w:val="00C6412F"/>
    <w:rsid w:val="00C64180"/>
    <w:rsid w:val="00C66CF1"/>
    <w:rsid w:val="00C67855"/>
    <w:rsid w:val="00C71557"/>
    <w:rsid w:val="00C7452A"/>
    <w:rsid w:val="00C748FB"/>
    <w:rsid w:val="00C76AC2"/>
    <w:rsid w:val="00C82551"/>
    <w:rsid w:val="00C879BD"/>
    <w:rsid w:val="00C94445"/>
    <w:rsid w:val="00C962F3"/>
    <w:rsid w:val="00C9704D"/>
    <w:rsid w:val="00CA16B2"/>
    <w:rsid w:val="00CA4CE3"/>
    <w:rsid w:val="00CA50C0"/>
    <w:rsid w:val="00CA57E2"/>
    <w:rsid w:val="00CA666A"/>
    <w:rsid w:val="00CA78C3"/>
    <w:rsid w:val="00CB11C0"/>
    <w:rsid w:val="00CB1976"/>
    <w:rsid w:val="00CB3327"/>
    <w:rsid w:val="00CC1A90"/>
    <w:rsid w:val="00CC248D"/>
    <w:rsid w:val="00CC2991"/>
    <w:rsid w:val="00CC3FB6"/>
    <w:rsid w:val="00CC54BD"/>
    <w:rsid w:val="00CD02EA"/>
    <w:rsid w:val="00CD40C9"/>
    <w:rsid w:val="00CD60E5"/>
    <w:rsid w:val="00CD66CF"/>
    <w:rsid w:val="00CD6DB8"/>
    <w:rsid w:val="00CE17DA"/>
    <w:rsid w:val="00CE1979"/>
    <w:rsid w:val="00CE27F3"/>
    <w:rsid w:val="00CE386F"/>
    <w:rsid w:val="00CE435A"/>
    <w:rsid w:val="00CE7EC0"/>
    <w:rsid w:val="00CF06F2"/>
    <w:rsid w:val="00CF1A40"/>
    <w:rsid w:val="00CF20F9"/>
    <w:rsid w:val="00CF261A"/>
    <w:rsid w:val="00CF74C4"/>
    <w:rsid w:val="00D00005"/>
    <w:rsid w:val="00D002E4"/>
    <w:rsid w:val="00D0102A"/>
    <w:rsid w:val="00D02A56"/>
    <w:rsid w:val="00D03324"/>
    <w:rsid w:val="00D035E1"/>
    <w:rsid w:val="00D0418F"/>
    <w:rsid w:val="00D04553"/>
    <w:rsid w:val="00D04A93"/>
    <w:rsid w:val="00D075D6"/>
    <w:rsid w:val="00D11E2B"/>
    <w:rsid w:val="00D124E5"/>
    <w:rsid w:val="00D144FC"/>
    <w:rsid w:val="00D14A65"/>
    <w:rsid w:val="00D15375"/>
    <w:rsid w:val="00D15AAF"/>
    <w:rsid w:val="00D16CFA"/>
    <w:rsid w:val="00D17BA4"/>
    <w:rsid w:val="00D20DCB"/>
    <w:rsid w:val="00D21338"/>
    <w:rsid w:val="00D25FB4"/>
    <w:rsid w:val="00D3084A"/>
    <w:rsid w:val="00D32C5D"/>
    <w:rsid w:val="00D3344E"/>
    <w:rsid w:val="00D36AB4"/>
    <w:rsid w:val="00D44043"/>
    <w:rsid w:val="00D44BC1"/>
    <w:rsid w:val="00D50CF5"/>
    <w:rsid w:val="00D540A8"/>
    <w:rsid w:val="00D5713A"/>
    <w:rsid w:val="00D62BD9"/>
    <w:rsid w:val="00D6629C"/>
    <w:rsid w:val="00D66EB9"/>
    <w:rsid w:val="00D72576"/>
    <w:rsid w:val="00D733D4"/>
    <w:rsid w:val="00D76DD4"/>
    <w:rsid w:val="00D810FE"/>
    <w:rsid w:val="00D828F8"/>
    <w:rsid w:val="00D84187"/>
    <w:rsid w:val="00D853A4"/>
    <w:rsid w:val="00D90437"/>
    <w:rsid w:val="00D91C92"/>
    <w:rsid w:val="00D92EE0"/>
    <w:rsid w:val="00D93DA8"/>
    <w:rsid w:val="00D940AD"/>
    <w:rsid w:val="00D948C3"/>
    <w:rsid w:val="00D95B1D"/>
    <w:rsid w:val="00D97025"/>
    <w:rsid w:val="00DA14AE"/>
    <w:rsid w:val="00DA3358"/>
    <w:rsid w:val="00DA7C0E"/>
    <w:rsid w:val="00DB2B73"/>
    <w:rsid w:val="00DB3213"/>
    <w:rsid w:val="00DB3350"/>
    <w:rsid w:val="00DB36B5"/>
    <w:rsid w:val="00DB3E56"/>
    <w:rsid w:val="00DB7477"/>
    <w:rsid w:val="00DC12E6"/>
    <w:rsid w:val="00DC38CB"/>
    <w:rsid w:val="00DC3BE0"/>
    <w:rsid w:val="00DC695B"/>
    <w:rsid w:val="00DD0169"/>
    <w:rsid w:val="00DD0C1B"/>
    <w:rsid w:val="00DD27B3"/>
    <w:rsid w:val="00DD3E95"/>
    <w:rsid w:val="00DD46E1"/>
    <w:rsid w:val="00DD676A"/>
    <w:rsid w:val="00DE1737"/>
    <w:rsid w:val="00DE1752"/>
    <w:rsid w:val="00DE22AE"/>
    <w:rsid w:val="00DF0777"/>
    <w:rsid w:val="00DF4A7D"/>
    <w:rsid w:val="00DF608C"/>
    <w:rsid w:val="00DF7733"/>
    <w:rsid w:val="00DF776C"/>
    <w:rsid w:val="00E00260"/>
    <w:rsid w:val="00E01306"/>
    <w:rsid w:val="00E015FB"/>
    <w:rsid w:val="00E059C8"/>
    <w:rsid w:val="00E0629B"/>
    <w:rsid w:val="00E117AF"/>
    <w:rsid w:val="00E15256"/>
    <w:rsid w:val="00E15D1F"/>
    <w:rsid w:val="00E15F89"/>
    <w:rsid w:val="00E1689F"/>
    <w:rsid w:val="00E17591"/>
    <w:rsid w:val="00E20C16"/>
    <w:rsid w:val="00E21E5F"/>
    <w:rsid w:val="00E22DB5"/>
    <w:rsid w:val="00E34C75"/>
    <w:rsid w:val="00E35BAC"/>
    <w:rsid w:val="00E370DF"/>
    <w:rsid w:val="00E43E4A"/>
    <w:rsid w:val="00E468B9"/>
    <w:rsid w:val="00E46D77"/>
    <w:rsid w:val="00E52199"/>
    <w:rsid w:val="00E540AC"/>
    <w:rsid w:val="00E558B9"/>
    <w:rsid w:val="00E55DD4"/>
    <w:rsid w:val="00E602DF"/>
    <w:rsid w:val="00E60AB2"/>
    <w:rsid w:val="00E60CE4"/>
    <w:rsid w:val="00E610E9"/>
    <w:rsid w:val="00E63062"/>
    <w:rsid w:val="00E6399C"/>
    <w:rsid w:val="00E63DCD"/>
    <w:rsid w:val="00E654D8"/>
    <w:rsid w:val="00E66F62"/>
    <w:rsid w:val="00E67436"/>
    <w:rsid w:val="00E70E1F"/>
    <w:rsid w:val="00E7696B"/>
    <w:rsid w:val="00E77F09"/>
    <w:rsid w:val="00E8580D"/>
    <w:rsid w:val="00E85DB4"/>
    <w:rsid w:val="00E86DAD"/>
    <w:rsid w:val="00E90670"/>
    <w:rsid w:val="00E90DDD"/>
    <w:rsid w:val="00E923B9"/>
    <w:rsid w:val="00E929B7"/>
    <w:rsid w:val="00E93085"/>
    <w:rsid w:val="00EA017B"/>
    <w:rsid w:val="00EA3EE4"/>
    <w:rsid w:val="00EA7C4C"/>
    <w:rsid w:val="00EB2BE5"/>
    <w:rsid w:val="00EC28A9"/>
    <w:rsid w:val="00EC3833"/>
    <w:rsid w:val="00EC3DE6"/>
    <w:rsid w:val="00EC3FD1"/>
    <w:rsid w:val="00EC4F79"/>
    <w:rsid w:val="00EC5CDC"/>
    <w:rsid w:val="00ED1D99"/>
    <w:rsid w:val="00ED68B8"/>
    <w:rsid w:val="00ED6916"/>
    <w:rsid w:val="00EE0EB2"/>
    <w:rsid w:val="00EE1B0B"/>
    <w:rsid w:val="00EE1FAD"/>
    <w:rsid w:val="00EE45D5"/>
    <w:rsid w:val="00EE6026"/>
    <w:rsid w:val="00EF29A3"/>
    <w:rsid w:val="00EF3E24"/>
    <w:rsid w:val="00EF554A"/>
    <w:rsid w:val="00EF72A9"/>
    <w:rsid w:val="00F04662"/>
    <w:rsid w:val="00F0624C"/>
    <w:rsid w:val="00F17AB2"/>
    <w:rsid w:val="00F17C85"/>
    <w:rsid w:val="00F210D6"/>
    <w:rsid w:val="00F263F2"/>
    <w:rsid w:val="00F27D4C"/>
    <w:rsid w:val="00F300A3"/>
    <w:rsid w:val="00F30233"/>
    <w:rsid w:val="00F31BC5"/>
    <w:rsid w:val="00F36AD9"/>
    <w:rsid w:val="00F3776D"/>
    <w:rsid w:val="00F400C1"/>
    <w:rsid w:val="00F409D1"/>
    <w:rsid w:val="00F431D7"/>
    <w:rsid w:val="00F437F1"/>
    <w:rsid w:val="00F46726"/>
    <w:rsid w:val="00F50635"/>
    <w:rsid w:val="00F50C5A"/>
    <w:rsid w:val="00F554F4"/>
    <w:rsid w:val="00F57F01"/>
    <w:rsid w:val="00F612C9"/>
    <w:rsid w:val="00F62DCE"/>
    <w:rsid w:val="00F63F85"/>
    <w:rsid w:val="00F64E5C"/>
    <w:rsid w:val="00F6719C"/>
    <w:rsid w:val="00F679E2"/>
    <w:rsid w:val="00F74992"/>
    <w:rsid w:val="00F75645"/>
    <w:rsid w:val="00F801A0"/>
    <w:rsid w:val="00F820E0"/>
    <w:rsid w:val="00F82589"/>
    <w:rsid w:val="00F86959"/>
    <w:rsid w:val="00F916A6"/>
    <w:rsid w:val="00F91DB7"/>
    <w:rsid w:val="00F959D5"/>
    <w:rsid w:val="00F960FB"/>
    <w:rsid w:val="00FA21E5"/>
    <w:rsid w:val="00FA43A1"/>
    <w:rsid w:val="00FA46FA"/>
    <w:rsid w:val="00FA5683"/>
    <w:rsid w:val="00FB10F0"/>
    <w:rsid w:val="00FB1DAF"/>
    <w:rsid w:val="00FB4944"/>
    <w:rsid w:val="00FB55F1"/>
    <w:rsid w:val="00FB56D7"/>
    <w:rsid w:val="00FC021A"/>
    <w:rsid w:val="00FC0824"/>
    <w:rsid w:val="00FC56CB"/>
    <w:rsid w:val="00FC6132"/>
    <w:rsid w:val="00FD3731"/>
    <w:rsid w:val="00FE04B4"/>
    <w:rsid w:val="00FE0F7A"/>
    <w:rsid w:val="00FE2ACF"/>
    <w:rsid w:val="00FE3B0F"/>
    <w:rsid w:val="00FE7F09"/>
    <w:rsid w:val="00FF037E"/>
    <w:rsid w:val="00FF3820"/>
    <w:rsid w:val="00FF3BEC"/>
    <w:rsid w:val="00FF422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71062BD"/>
  <w15:docId w15:val="{3A696A7F-9A38-4D20-92C1-472F57A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6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0249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ojana.krzalic@stat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rzs.stat.gov.rs/Home/Result/25040102?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ata.stat.gov.rs/Home/Result/25040102?languageCode=sr-Cyr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ZS-80\ZS-80-Milan%20grafikoni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ZS-80\ZS-80-Milan%20grafikoni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79928315412191"/>
          <c:y val="0.11362721417069246"/>
          <c:w val="0.33944444444444466"/>
          <c:h val="0.762520128824476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4263D"/>
              </a:solidFill>
            </c:spPr>
            <c:extLst>
              <c:ext xmlns:c16="http://schemas.microsoft.com/office/drawing/2014/chart" uri="{C3380CC4-5D6E-409C-BE32-E72D297353CC}">
                <c16:uniqueId val="{00000001-9287-454C-9605-FDB4A562D5E0}"/>
              </c:ext>
            </c:extLst>
          </c:dPt>
          <c:dPt>
            <c:idx val="1"/>
            <c:bubble3D val="0"/>
            <c:spPr>
              <a:solidFill>
                <a:srgbClr val="CE4260"/>
              </a:solidFill>
            </c:spPr>
            <c:extLst>
              <c:ext xmlns:c16="http://schemas.microsoft.com/office/drawing/2014/chart" uri="{C3380CC4-5D6E-409C-BE32-E72D297353CC}">
                <c16:uniqueId val="{00000003-9287-454C-9605-FDB4A562D5E0}"/>
              </c:ext>
            </c:extLst>
          </c:dPt>
          <c:dPt>
            <c:idx val="2"/>
            <c:bubble3D val="0"/>
            <c:spPr>
              <a:solidFill>
                <a:srgbClr val="E69AAA"/>
              </a:solidFill>
            </c:spPr>
            <c:extLst>
              <c:ext xmlns:c16="http://schemas.microsoft.com/office/drawing/2014/chart" uri="{C3380CC4-5D6E-409C-BE32-E72D297353CC}">
                <c16:uniqueId val="{00000005-9287-454C-9605-FDB4A562D5E0}"/>
              </c:ext>
            </c:extLst>
          </c:dPt>
          <c:dPt>
            <c:idx val="3"/>
            <c:bubble3D val="0"/>
            <c:spPr>
              <a:solidFill>
                <a:srgbClr val="A6A6A6"/>
              </a:solidFill>
            </c:spPr>
            <c:extLst>
              <c:ext xmlns:c16="http://schemas.microsoft.com/office/drawing/2014/chart" uri="{C3380CC4-5D6E-409C-BE32-E72D297353CC}">
                <c16:uniqueId val="{00000007-9287-454C-9605-FDB4A562D5E0}"/>
              </c:ext>
            </c:extLst>
          </c:dPt>
          <c:dPt>
            <c:idx val="4"/>
            <c:bubble3D val="0"/>
            <c:spPr>
              <a:solidFill>
                <a:srgbClr val="D9D9D9"/>
              </a:solidFill>
            </c:spPr>
            <c:extLst>
              <c:ext xmlns:c16="http://schemas.microsoft.com/office/drawing/2014/chart" uri="{C3380CC4-5D6E-409C-BE32-E72D297353CC}">
                <c16:uniqueId val="{00000009-9287-454C-9605-FDB4A562D5E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287-454C-9605-FDB4A562D5E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287-454C-9605-FDB4A562D5E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53.6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287-454C-9605-FDB4A562D5E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18.1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287-454C-9605-FDB4A562D5E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287-454C-9605-FDB4A562D5E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'Grafikoni za saopstenje'!$K$118:$K$122</c:f>
              <c:strCache>
                <c:ptCount val="5"/>
                <c:pt idx="0">
                  <c:v> Agriculture, forestry and fishing</c:v>
                </c:pt>
                <c:pt idx="1">
                  <c:v> Manufacturing</c:v>
                </c:pt>
                <c:pt idx="2">
                  <c:v> Electricity, gas, steam and air conditiong supply</c:v>
                </c:pt>
                <c:pt idx="3">
                  <c:v> Households</c:v>
                </c:pt>
                <c:pt idx="4">
                  <c:v> Other sections</c:v>
                </c:pt>
              </c:strCache>
            </c:strRef>
          </c:cat>
          <c:val>
            <c:numRef>
              <c:f>'Grafikoni za saopstenje'!$L$2:$L$116</c:f>
              <c:numCache>
                <c:formatCode>0.0;[Red]0.0</c:formatCode>
                <c:ptCount val="5"/>
                <c:pt idx="0">
                  <c:v>6.57</c:v>
                </c:pt>
                <c:pt idx="1">
                  <c:v>13.58</c:v>
                </c:pt>
                <c:pt idx="2">
                  <c:v>53.620000000000012</c:v>
                </c:pt>
                <c:pt idx="3">
                  <c:v>18.14</c:v>
                </c:pt>
                <c:pt idx="4" formatCode="0.00;[Red]0.00">
                  <c:v>8.08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287-454C-9605-FDB4A562D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218763440860241"/>
          <c:y val="0.23535909822866338"/>
          <c:w val="0.41367258064516138"/>
          <c:h val="0.57626207729468604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389356009481242E-2"/>
          <c:y val="8.1580608225188173E-2"/>
          <c:w val="0.57209612880764205"/>
          <c:h val="0.82563028246482673"/>
        </c:manualLayout>
      </c:layout>
      <c:lineChart>
        <c:grouping val="standard"/>
        <c:varyColors val="0"/>
        <c:ser>
          <c:idx val="0"/>
          <c:order val="0"/>
          <c:tx>
            <c:strRef>
              <c:f>'Grafikoni za saopstenje'!$K$129</c:f>
              <c:strCache>
                <c:ptCount val="1"/>
                <c:pt idx="0">
                  <c:v> Manufacturing</c:v>
                </c:pt>
              </c:strCache>
            </c:strRef>
          </c:tx>
          <c:spPr>
            <a:ln w="22225">
              <a:solidFill>
                <a:srgbClr val="595959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saopstenje'!$M$129:$W$129</c:f>
              <c:numCache>
                <c:formatCode>General</c:formatCode>
                <c:ptCount val="11"/>
                <c:pt idx="0">
                  <c:v>19.357754783400008</c:v>
                </c:pt>
                <c:pt idx="1">
                  <c:v>14.226437809900004</c:v>
                </c:pt>
                <c:pt idx="2">
                  <c:v>16.420814634899994</c:v>
                </c:pt>
                <c:pt idx="3">
                  <c:v>18.775237690699992</c:v>
                </c:pt>
                <c:pt idx="4">
                  <c:v>19.3007151933</c:v>
                </c:pt>
                <c:pt idx="5">
                  <c:v>16.443131493699994</c:v>
                </c:pt>
                <c:pt idx="6">
                  <c:v>15.452089588600007</c:v>
                </c:pt>
                <c:pt idx="7">
                  <c:v>17.367423346099994</c:v>
                </c:pt>
                <c:pt idx="8">
                  <c:v>22.164025025300006</c:v>
                </c:pt>
                <c:pt idx="9">
                  <c:v>18</c:v>
                </c:pt>
                <c:pt idx="10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13-4191-A3F7-7B9F1C1B59F8}"/>
            </c:ext>
          </c:extLst>
        </c:ser>
        <c:ser>
          <c:idx val="1"/>
          <c:order val="1"/>
          <c:tx>
            <c:strRef>
              <c:f>'Grafikoni za saopstenje'!$K$130</c:f>
              <c:strCache>
                <c:ptCount val="1"/>
                <c:pt idx="0">
                  <c:v> Electricity, gas, steam and air conditiong supply</c:v>
                </c:pt>
              </c:strCache>
            </c:strRef>
          </c:tx>
          <c:spPr>
            <a:ln w="22225">
              <a:solidFill>
                <a:srgbClr val="BFBFBF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saopstenje'!$M$130:$W$130</c:f>
              <c:numCache>
                <c:formatCode>General</c:formatCode>
                <c:ptCount val="11"/>
                <c:pt idx="0">
                  <c:v>431.67534229109987</c:v>
                </c:pt>
                <c:pt idx="1">
                  <c:v>396.25071494259964</c:v>
                </c:pt>
                <c:pt idx="2">
                  <c:v>360.15396177589997</c:v>
                </c:pt>
                <c:pt idx="3">
                  <c:v>405.91038374299984</c:v>
                </c:pt>
                <c:pt idx="4">
                  <c:v>377.80931529759988</c:v>
                </c:pt>
                <c:pt idx="5">
                  <c:v>401</c:v>
                </c:pt>
                <c:pt idx="6">
                  <c:v>330</c:v>
                </c:pt>
                <c:pt idx="7">
                  <c:v>330</c:v>
                </c:pt>
                <c:pt idx="8">
                  <c:v>327</c:v>
                </c:pt>
                <c:pt idx="9">
                  <c:v>331</c:v>
                </c:pt>
                <c:pt idx="10">
                  <c:v>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13-4191-A3F7-7B9F1C1B59F8}"/>
            </c:ext>
          </c:extLst>
        </c:ser>
        <c:ser>
          <c:idx val="2"/>
          <c:order val="2"/>
          <c:tx>
            <c:strRef>
              <c:f>'Grafikoni za saopstenje'!$K$131</c:f>
              <c:strCache>
                <c:ptCount val="1"/>
                <c:pt idx="0">
                  <c:v> Households</c:v>
                </c:pt>
              </c:strCache>
            </c:strRef>
          </c:tx>
          <c:spPr>
            <a:ln w="22225">
              <a:solidFill>
                <a:srgbClr val="E69AAA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saopstenje'!$M$131:$W$131</c:f>
              <c:numCache>
                <c:formatCode>General</c:formatCode>
                <c:ptCount val="11"/>
                <c:pt idx="0">
                  <c:v>18.022871738399999</c:v>
                </c:pt>
                <c:pt idx="1">
                  <c:v>10.427784524300003</c:v>
                </c:pt>
                <c:pt idx="2">
                  <c:v>10.009240416500004</c:v>
                </c:pt>
                <c:pt idx="3">
                  <c:v>12.129604498300004</c:v>
                </c:pt>
                <c:pt idx="4">
                  <c:v>10.281303790599997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13-4191-A3F7-7B9F1C1B59F8}"/>
            </c:ext>
          </c:extLst>
        </c:ser>
        <c:ser>
          <c:idx val="3"/>
          <c:order val="3"/>
          <c:tx>
            <c:strRef>
              <c:f>'Grafikoni za saopstenje'!$K$132</c:f>
              <c:strCache>
                <c:ptCount val="1"/>
                <c:pt idx="0">
                  <c:v> Other sections</c:v>
                </c:pt>
              </c:strCache>
            </c:strRef>
          </c:tx>
          <c:spPr>
            <a:ln w="22225">
              <a:solidFill>
                <a:srgbClr val="94263D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saopstenje'!$M$132:$W$132</c:f>
              <c:numCache>
                <c:formatCode>General</c:formatCode>
                <c:ptCount val="11"/>
                <c:pt idx="0">
                  <c:v>12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13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213-4191-A3F7-7B9F1C1B59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1974784"/>
        <c:axId val="145589376"/>
      </c:lineChart>
      <c:catAx>
        <c:axId val="25197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589376"/>
        <c:crosses val="autoZero"/>
        <c:auto val="1"/>
        <c:lblAlgn val="ctr"/>
        <c:lblOffset val="100"/>
        <c:noMultiLvlLbl val="0"/>
      </c:catAx>
      <c:valAx>
        <c:axId val="1455893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kilotons (Gg)</a:t>
                </a:r>
              </a:p>
            </c:rich>
          </c:tx>
          <c:layout>
            <c:manualLayout>
              <c:xMode val="edge"/>
              <c:yMode val="edge"/>
              <c:x val="3.9264201605326296E-3"/>
              <c:y val="0.3634713191166812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1974784"/>
        <c:crosses val="autoZero"/>
        <c:crossBetween val="between"/>
      </c:valAx>
      <c:spPr>
        <a:effectLst>
          <a:glow rad="127000">
            <a:schemeClr val="accent1">
              <a:alpha val="0"/>
            </a:schemeClr>
          </a:glow>
          <a:softEdge rad="1270000"/>
        </a:effectLst>
      </c:spPr>
    </c:plotArea>
    <c:legend>
      <c:legendPos val="r"/>
      <c:layout>
        <c:manualLayout>
          <c:xMode val="edge"/>
          <c:yMode val="edge"/>
          <c:x val="0.67182132518111215"/>
          <c:y val="0.21701485634265141"/>
          <c:w val="0.31364203036098381"/>
          <c:h val="0.565970287314697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C552-C697-4464-9CDC-E7598EF2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3794</CharactersWithSpaces>
  <SharedDoc>false</SharedDoc>
  <HLinks>
    <vt:vector size="6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</cp:revision>
  <cp:lastPrinted>2018-09-20T06:33:00Z</cp:lastPrinted>
  <dcterms:created xsi:type="dcterms:W3CDTF">2020-09-14T11:31:00Z</dcterms:created>
  <dcterms:modified xsi:type="dcterms:W3CDTF">2020-09-18T05:30:00Z</dcterms:modified>
</cp:coreProperties>
</file>