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27"/>
        <w:tblW w:w="5000" w:type="pct"/>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1"/>
        <w:gridCol w:w="3343"/>
      </w:tblGrid>
      <w:tr w:rsidR="00391A81" w:rsidRPr="00185079" w:rsidTr="006A1222">
        <w:trPr>
          <w:cantSplit/>
          <w:trHeight w:val="631"/>
        </w:trPr>
        <w:tc>
          <w:tcPr>
            <w:tcW w:w="812" w:type="pct"/>
            <w:tcBorders>
              <w:top w:val="single" w:sz="12" w:space="0" w:color="808080"/>
              <w:left w:val="nil"/>
              <w:bottom w:val="nil"/>
            </w:tcBorders>
            <w:vAlign w:val="center"/>
          </w:tcPr>
          <w:p w:rsidR="00391A81" w:rsidRPr="00185079" w:rsidRDefault="00391A81" w:rsidP="00391A81">
            <w:pPr>
              <w:jc w:val="center"/>
              <w:rPr>
                <w:rFonts w:cs="Arial"/>
                <w:b/>
                <w:bCs/>
              </w:rPr>
            </w:pPr>
            <w:r w:rsidRPr="00185079">
              <w:rPr>
                <w:noProof/>
                <w:lang w:val="en-US"/>
              </w:rPr>
              <w:drawing>
                <wp:anchor distT="0" distB="0" distL="114300" distR="114300" simplePos="0" relativeHeight="251668480" behindDoc="0" locked="0" layoutInCell="1" allowOverlap="1">
                  <wp:simplePos x="0" y="0"/>
                  <wp:positionH relativeFrom="character">
                    <wp:posOffset>0</wp:posOffset>
                  </wp:positionH>
                  <wp:positionV relativeFrom="line">
                    <wp:posOffset>0</wp:posOffset>
                  </wp:positionV>
                  <wp:extent cx="904875" cy="219075"/>
                  <wp:effectExtent l="0" t="0" r="0" b="0"/>
                  <wp:wrapNone/>
                  <wp:docPr id="1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9D748F">
              <w:rPr>
                <w:rFonts w:cs="Arial"/>
                <w:b/>
                <w:bCs/>
              </w:rPr>
            </w:r>
            <w:r w:rsidR="009D748F">
              <w:rPr>
                <w:rFonts w:cs="Arial"/>
                <w:b/>
                <w:bCs/>
              </w:rPr>
              <w:pict>
                <v:rect id="Rectangle 1" o:spid="_x0000_s1032" style="width:71.15pt;height:17.6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391A81" w:rsidRPr="00185079" w:rsidRDefault="00391A81" w:rsidP="00391A81">
            <w:pPr>
              <w:jc w:val="right"/>
              <w:rPr>
                <w:rFonts w:cs="Arial"/>
                <w:b/>
                <w:bCs/>
                <w:color w:val="808080"/>
              </w:rPr>
            </w:pPr>
          </w:p>
        </w:tc>
        <w:tc>
          <w:tcPr>
            <w:tcW w:w="0" w:type="auto"/>
            <w:tcBorders>
              <w:top w:val="single" w:sz="12" w:space="0" w:color="808080"/>
              <w:bottom w:val="nil"/>
              <w:right w:val="nil"/>
            </w:tcBorders>
            <w:vAlign w:val="center"/>
          </w:tcPr>
          <w:p w:rsidR="00391A81" w:rsidRPr="00185079" w:rsidRDefault="00391A81" w:rsidP="00391A81">
            <w:pPr>
              <w:jc w:val="right"/>
              <w:rPr>
                <w:rFonts w:cs="Arial"/>
                <w:b/>
                <w:color w:val="808080"/>
              </w:rPr>
            </w:pPr>
            <w:r w:rsidRPr="00185079">
              <w:rPr>
                <w:rFonts w:cs="Arial"/>
              </w:rPr>
              <w:t>ISSN 0353-9555</w:t>
            </w:r>
          </w:p>
        </w:tc>
      </w:tr>
      <w:tr w:rsidR="00391A81" w:rsidRPr="00185079" w:rsidTr="00146319">
        <w:trPr>
          <w:cantSplit/>
          <w:trHeight w:val="836"/>
        </w:trPr>
        <w:tc>
          <w:tcPr>
            <w:tcW w:w="0" w:type="auto"/>
            <w:gridSpan w:val="2"/>
            <w:tcBorders>
              <w:top w:val="nil"/>
              <w:left w:val="nil"/>
              <w:right w:val="nil"/>
            </w:tcBorders>
            <w:vAlign w:val="center"/>
          </w:tcPr>
          <w:p w:rsidR="00391A81" w:rsidRPr="00185079" w:rsidRDefault="00391A81" w:rsidP="00391A81">
            <w:pPr>
              <w:rPr>
                <w:rFonts w:cs="Arial"/>
                <w:color w:val="808080"/>
              </w:rPr>
            </w:pPr>
            <w:r w:rsidRPr="00185079">
              <w:rPr>
                <w:rFonts w:cs="Arial"/>
                <w:b/>
                <w:bCs/>
                <w:color w:val="808080"/>
                <w:sz w:val="48"/>
                <w:szCs w:val="48"/>
              </w:rPr>
              <w:t>STATISTICAL RELEASE</w:t>
            </w:r>
          </w:p>
        </w:tc>
        <w:tc>
          <w:tcPr>
            <w:tcW w:w="0" w:type="auto"/>
            <w:tcBorders>
              <w:top w:val="nil"/>
              <w:left w:val="nil"/>
              <w:right w:val="nil"/>
            </w:tcBorders>
            <w:shd w:val="clear" w:color="auto" w:fill="auto"/>
            <w:vAlign w:val="center"/>
          </w:tcPr>
          <w:p w:rsidR="00391A81" w:rsidRPr="00185079" w:rsidRDefault="00391A81" w:rsidP="00391A81">
            <w:pPr>
              <w:jc w:val="right"/>
              <w:rPr>
                <w:rFonts w:cs="Arial"/>
                <w:b/>
                <w:bCs/>
                <w:color w:val="808080"/>
                <w:sz w:val="12"/>
                <w:szCs w:val="12"/>
              </w:rPr>
            </w:pPr>
            <w:r w:rsidRPr="00185079">
              <w:rPr>
                <w:rFonts w:cs="Arial"/>
                <w:b/>
                <w:bCs/>
                <w:color w:val="808080"/>
                <w:sz w:val="48"/>
                <w:szCs w:val="48"/>
              </w:rPr>
              <w:t>RS10</w:t>
            </w:r>
          </w:p>
        </w:tc>
      </w:tr>
      <w:tr w:rsidR="00391A81" w:rsidRPr="00185079" w:rsidTr="00146319">
        <w:trPr>
          <w:cantSplit/>
          <w:trHeight w:hRule="exact" w:val="279"/>
        </w:trPr>
        <w:tc>
          <w:tcPr>
            <w:tcW w:w="0" w:type="auto"/>
            <w:gridSpan w:val="2"/>
            <w:tcBorders>
              <w:top w:val="nil"/>
              <w:left w:val="nil"/>
              <w:bottom w:val="nil"/>
              <w:right w:val="nil"/>
            </w:tcBorders>
            <w:vAlign w:val="center"/>
          </w:tcPr>
          <w:p w:rsidR="00391A81" w:rsidRPr="00185079" w:rsidRDefault="00391A81" w:rsidP="00D03039">
            <w:pPr>
              <w:rPr>
                <w:rFonts w:cs="Arial"/>
                <w:color w:val="FF0000"/>
              </w:rPr>
            </w:pPr>
            <w:r w:rsidRPr="00185079">
              <w:rPr>
                <w:rFonts w:cs="Arial"/>
              </w:rPr>
              <w:t xml:space="preserve">Number </w:t>
            </w:r>
            <w:r w:rsidR="00D03039" w:rsidRPr="00185079">
              <w:rPr>
                <w:rFonts w:cs="Arial"/>
              </w:rPr>
              <w:t>237</w:t>
            </w:r>
            <w:r w:rsidRPr="00185079">
              <w:rPr>
                <w:rFonts w:cs="Arial"/>
              </w:rPr>
              <w:t>- Year LX</w:t>
            </w:r>
            <w:r w:rsidR="005D0BFA" w:rsidRPr="00185079">
              <w:rPr>
                <w:rFonts w:cs="Arial"/>
              </w:rPr>
              <w:t>X</w:t>
            </w:r>
            <w:r w:rsidRPr="00185079">
              <w:rPr>
                <w:rFonts w:cs="Arial"/>
              </w:rPr>
              <w:t xml:space="preserve">, </w:t>
            </w:r>
            <w:r w:rsidR="00C137BD" w:rsidRPr="00185079">
              <w:rPr>
                <w:rFonts w:cs="Arial"/>
              </w:rPr>
              <w:t>31</w:t>
            </w:r>
            <w:r w:rsidRPr="00185079">
              <w:rPr>
                <w:rFonts w:cs="Arial"/>
              </w:rPr>
              <w:t>/</w:t>
            </w:r>
            <w:r w:rsidR="00C137BD" w:rsidRPr="00185079">
              <w:rPr>
                <w:rFonts w:cs="Arial"/>
              </w:rPr>
              <w:t>08</w:t>
            </w:r>
            <w:r w:rsidRPr="00185079">
              <w:rPr>
                <w:rFonts w:cs="Arial"/>
              </w:rPr>
              <w:t>/20</w:t>
            </w:r>
            <w:r w:rsidR="00783A4C" w:rsidRPr="00185079">
              <w:rPr>
                <w:rFonts w:cs="Arial"/>
              </w:rPr>
              <w:t>20</w:t>
            </w:r>
          </w:p>
        </w:tc>
        <w:tc>
          <w:tcPr>
            <w:tcW w:w="0" w:type="auto"/>
            <w:tcBorders>
              <w:left w:val="nil"/>
              <w:bottom w:val="nil"/>
              <w:right w:val="nil"/>
            </w:tcBorders>
            <w:shd w:val="clear" w:color="auto" w:fill="auto"/>
            <w:vAlign w:val="center"/>
          </w:tcPr>
          <w:p w:rsidR="00391A81" w:rsidRPr="00185079" w:rsidRDefault="00391A81" w:rsidP="00391A81">
            <w:pPr>
              <w:jc w:val="right"/>
              <w:rPr>
                <w:rFonts w:cs="Arial"/>
                <w:b/>
                <w:bCs/>
                <w:color w:val="FF0000"/>
                <w:sz w:val="48"/>
                <w:szCs w:val="48"/>
              </w:rPr>
            </w:pPr>
          </w:p>
        </w:tc>
      </w:tr>
      <w:tr w:rsidR="00391A81" w:rsidRPr="00185079" w:rsidTr="00146319">
        <w:trPr>
          <w:cantSplit/>
          <w:trHeight w:val="411"/>
        </w:trPr>
        <w:tc>
          <w:tcPr>
            <w:tcW w:w="0" w:type="auto"/>
            <w:gridSpan w:val="2"/>
            <w:tcBorders>
              <w:top w:val="nil"/>
              <w:left w:val="nil"/>
              <w:bottom w:val="single" w:sz="12" w:space="0" w:color="808080"/>
              <w:right w:val="nil"/>
            </w:tcBorders>
            <w:vAlign w:val="center"/>
          </w:tcPr>
          <w:p w:rsidR="00391A81" w:rsidRPr="00185079" w:rsidRDefault="00391A81" w:rsidP="00391A81">
            <w:pPr>
              <w:rPr>
                <w:rFonts w:cs="Arial"/>
                <w:b/>
                <w:bCs/>
                <w:sz w:val="24"/>
                <w:szCs w:val="24"/>
              </w:rPr>
            </w:pPr>
            <w:r w:rsidRPr="00185079">
              <w:rPr>
                <w:rFonts w:cs="Arial"/>
                <w:b/>
                <w:bCs/>
                <w:sz w:val="24"/>
                <w:szCs w:val="24"/>
              </w:rPr>
              <w:t xml:space="preserve">Labour Force Survey </w:t>
            </w:r>
          </w:p>
        </w:tc>
        <w:tc>
          <w:tcPr>
            <w:tcW w:w="0" w:type="auto"/>
            <w:tcBorders>
              <w:top w:val="nil"/>
              <w:left w:val="nil"/>
              <w:bottom w:val="single" w:sz="12" w:space="0" w:color="808080"/>
              <w:right w:val="nil"/>
            </w:tcBorders>
            <w:vAlign w:val="center"/>
          </w:tcPr>
          <w:p w:rsidR="00391A81" w:rsidRPr="00185079" w:rsidRDefault="00391A81" w:rsidP="00D03039">
            <w:pPr>
              <w:jc w:val="right"/>
              <w:rPr>
                <w:rFonts w:cs="Arial"/>
                <w:b/>
                <w:bCs/>
              </w:rPr>
            </w:pPr>
            <w:r w:rsidRPr="00185079">
              <w:rPr>
                <w:rFonts w:cs="Arial"/>
              </w:rPr>
              <w:t>SERB</w:t>
            </w:r>
            <w:r w:rsidR="00D03039" w:rsidRPr="00185079">
              <w:rPr>
                <w:rFonts w:cs="Arial"/>
              </w:rPr>
              <w:t>237</w:t>
            </w:r>
            <w:r w:rsidR="009D748F">
              <w:rPr>
                <w:rFonts w:cs="Arial"/>
              </w:rPr>
              <w:t xml:space="preserve"> </w:t>
            </w:r>
            <w:r w:rsidRPr="00185079">
              <w:rPr>
                <w:rFonts w:cs="Arial"/>
              </w:rPr>
              <w:t xml:space="preserve">RS10 </w:t>
            </w:r>
            <w:r w:rsidR="00C137BD" w:rsidRPr="00185079">
              <w:rPr>
                <w:rFonts w:cs="Arial"/>
              </w:rPr>
              <w:t>3108</w:t>
            </w:r>
            <w:r w:rsidR="00D0048F" w:rsidRPr="00185079">
              <w:rPr>
                <w:rFonts w:cs="Arial"/>
              </w:rPr>
              <w:t>20</w:t>
            </w:r>
          </w:p>
        </w:tc>
      </w:tr>
    </w:tbl>
    <w:p w:rsidR="00391A81" w:rsidRPr="00185079" w:rsidRDefault="00391A81" w:rsidP="00F20EB9">
      <w:pPr>
        <w:spacing w:before="600" w:after="480"/>
        <w:jc w:val="center"/>
        <w:rPr>
          <w:rFonts w:cs="Arial"/>
          <w:b/>
          <w:bCs/>
          <w:sz w:val="24"/>
          <w:szCs w:val="24"/>
        </w:rPr>
      </w:pPr>
      <w:r w:rsidRPr="00185079">
        <w:rPr>
          <w:rFonts w:cs="Arial"/>
          <w:b/>
          <w:bCs/>
          <w:sz w:val="24"/>
          <w:szCs w:val="24"/>
        </w:rPr>
        <w:t xml:space="preserve">Labour Force Survey, </w:t>
      </w:r>
      <w:r w:rsidR="00C137BD" w:rsidRPr="00185079">
        <w:rPr>
          <w:rFonts w:cs="Arial"/>
          <w:b/>
          <w:bCs/>
          <w:sz w:val="24"/>
          <w:szCs w:val="24"/>
        </w:rPr>
        <w:t>I</w:t>
      </w:r>
      <w:r w:rsidR="00810978" w:rsidRPr="00185079">
        <w:rPr>
          <w:rFonts w:cs="Arial"/>
          <w:b/>
          <w:bCs/>
          <w:sz w:val="24"/>
          <w:szCs w:val="24"/>
        </w:rPr>
        <w:t>I</w:t>
      </w:r>
      <w:r w:rsidRPr="00185079">
        <w:rPr>
          <w:rFonts w:cs="Arial"/>
          <w:b/>
          <w:bCs/>
          <w:sz w:val="24"/>
          <w:szCs w:val="24"/>
        </w:rPr>
        <w:t xml:space="preserve"> quarter 20</w:t>
      </w:r>
      <w:r w:rsidR="00D0048F" w:rsidRPr="00185079">
        <w:rPr>
          <w:rFonts w:cs="Arial"/>
          <w:b/>
          <w:bCs/>
          <w:sz w:val="24"/>
          <w:szCs w:val="24"/>
        </w:rPr>
        <w:t>20</w:t>
      </w:r>
    </w:p>
    <w:p w:rsidR="00391A81" w:rsidRPr="00185079" w:rsidRDefault="00391A81" w:rsidP="0023292A">
      <w:pPr>
        <w:pStyle w:val="NormalWeb"/>
        <w:spacing w:beforeLines="0" w:before="120" w:afterLines="0" w:after="120" w:line="264" w:lineRule="auto"/>
        <w:ind w:firstLine="403"/>
        <w:jc w:val="both"/>
        <w:rPr>
          <w:rFonts w:ascii="Arial" w:hAnsi="Arial" w:cs="Arial"/>
          <w:lang w:val="en-GB"/>
        </w:rPr>
      </w:pPr>
      <w:r w:rsidRPr="0023292A">
        <w:rPr>
          <w:rFonts w:ascii="Arial" w:hAnsi="Arial" w:cs="Arial"/>
          <w:lang w:val="en-GB"/>
        </w:rPr>
        <w:t xml:space="preserve">In the </w:t>
      </w:r>
      <w:r w:rsidR="00D03039" w:rsidRPr="0023292A">
        <w:rPr>
          <w:rFonts w:ascii="Arial" w:hAnsi="Arial" w:cs="Arial"/>
          <w:lang w:val="en-GB"/>
        </w:rPr>
        <w:t>second</w:t>
      </w:r>
      <w:r w:rsidRPr="0023292A">
        <w:rPr>
          <w:rFonts w:ascii="Arial" w:hAnsi="Arial" w:cs="Arial"/>
          <w:lang w:val="en-GB"/>
        </w:rPr>
        <w:t xml:space="preserve"> quarter of 20</w:t>
      </w:r>
      <w:r w:rsidR="00D03039" w:rsidRPr="0023292A">
        <w:rPr>
          <w:rFonts w:ascii="Arial" w:hAnsi="Arial" w:cs="Arial"/>
          <w:lang w:val="en-GB"/>
        </w:rPr>
        <w:t>20</w:t>
      </w:r>
      <w:r w:rsidRPr="0023292A">
        <w:rPr>
          <w:rFonts w:ascii="Arial" w:hAnsi="Arial" w:cs="Arial"/>
          <w:lang w:val="en-GB"/>
        </w:rPr>
        <w:t>, number of the employed amounted to 2 </w:t>
      </w:r>
      <w:r w:rsidR="00D03039" w:rsidRPr="0023292A">
        <w:rPr>
          <w:rFonts w:ascii="Arial" w:hAnsi="Arial" w:cs="Arial"/>
          <w:lang w:val="en-GB"/>
        </w:rPr>
        <w:t>844</w:t>
      </w:r>
      <w:r w:rsidRPr="0023292A">
        <w:rPr>
          <w:rFonts w:ascii="Arial" w:hAnsi="Arial" w:cs="Arial"/>
          <w:lang w:val="en-GB"/>
        </w:rPr>
        <w:t> </w:t>
      </w:r>
      <w:r w:rsidR="00D03039" w:rsidRPr="0023292A">
        <w:rPr>
          <w:rFonts w:ascii="Arial" w:hAnsi="Arial" w:cs="Arial"/>
          <w:lang w:val="en-GB"/>
        </w:rPr>
        <w:t>2</w:t>
      </w:r>
      <w:r w:rsidRPr="0023292A">
        <w:rPr>
          <w:rFonts w:ascii="Arial" w:hAnsi="Arial" w:cs="Arial"/>
          <w:lang w:val="en-GB"/>
        </w:rPr>
        <w:t xml:space="preserve">00, and number of the unemployed to </w:t>
      </w:r>
      <w:r w:rsidR="00D03039" w:rsidRPr="0023292A">
        <w:rPr>
          <w:rFonts w:ascii="Arial" w:hAnsi="Arial" w:cs="Arial"/>
          <w:lang w:val="en-GB"/>
        </w:rPr>
        <w:t>222</w:t>
      </w:r>
      <w:r w:rsidRPr="0023292A">
        <w:rPr>
          <w:rFonts w:ascii="Arial" w:hAnsi="Arial" w:cs="Arial"/>
          <w:lang w:val="en-GB"/>
        </w:rPr>
        <w:t> </w:t>
      </w:r>
      <w:r w:rsidR="00D03039" w:rsidRPr="0023292A">
        <w:rPr>
          <w:rFonts w:ascii="Arial" w:hAnsi="Arial" w:cs="Arial"/>
          <w:lang w:val="en-GB"/>
        </w:rPr>
        <w:t>9</w:t>
      </w:r>
      <w:r w:rsidRPr="0023292A">
        <w:rPr>
          <w:rFonts w:ascii="Arial" w:hAnsi="Arial" w:cs="Arial"/>
          <w:lang w:val="en-GB"/>
        </w:rPr>
        <w:t>00. Employment rate</w:t>
      </w:r>
      <w:r w:rsidR="00901882" w:rsidRPr="0023292A">
        <w:rPr>
          <w:rFonts w:ascii="Arial" w:hAnsi="Arial" w:cs="Arial"/>
          <w:lang w:val="en-GB"/>
        </w:rPr>
        <w:t xml:space="preserve"> for the </w:t>
      </w:r>
      <w:r w:rsidR="001156FD" w:rsidRPr="0023292A">
        <w:rPr>
          <w:rFonts w:ascii="Arial" w:hAnsi="Arial" w:cs="Arial"/>
          <w:lang w:val="en-GB"/>
        </w:rPr>
        <w:t xml:space="preserve">mentioned </w:t>
      </w:r>
      <w:r w:rsidR="00901882" w:rsidRPr="0023292A">
        <w:rPr>
          <w:rFonts w:ascii="Arial" w:hAnsi="Arial" w:cs="Arial"/>
          <w:lang w:val="en-GB"/>
        </w:rPr>
        <w:t xml:space="preserve">period </w:t>
      </w:r>
      <w:r w:rsidRPr="0023292A">
        <w:rPr>
          <w:rFonts w:ascii="Arial" w:hAnsi="Arial" w:cs="Arial"/>
          <w:lang w:val="en-GB"/>
        </w:rPr>
        <w:t>amount</w:t>
      </w:r>
      <w:r w:rsidR="001156FD" w:rsidRPr="0023292A">
        <w:rPr>
          <w:rFonts w:ascii="Arial" w:hAnsi="Arial" w:cs="Arial"/>
          <w:lang w:val="en-GB"/>
        </w:rPr>
        <w:t>ed</w:t>
      </w:r>
      <w:r w:rsidRPr="0023292A">
        <w:rPr>
          <w:rFonts w:ascii="Arial" w:hAnsi="Arial" w:cs="Arial"/>
          <w:lang w:val="en-GB"/>
        </w:rPr>
        <w:t xml:space="preserve"> to 4</w:t>
      </w:r>
      <w:r w:rsidR="00D03039" w:rsidRPr="0023292A">
        <w:rPr>
          <w:rFonts w:ascii="Arial" w:hAnsi="Arial" w:cs="Arial"/>
          <w:lang w:val="en-GB"/>
        </w:rPr>
        <w:t>8</w:t>
      </w:r>
      <w:r w:rsidRPr="0023292A">
        <w:rPr>
          <w:rFonts w:ascii="Arial" w:hAnsi="Arial" w:cs="Arial"/>
          <w:lang w:val="en-GB"/>
        </w:rPr>
        <w:t>.</w:t>
      </w:r>
      <w:r w:rsidR="00D03039" w:rsidRPr="0023292A">
        <w:rPr>
          <w:rFonts w:ascii="Arial" w:hAnsi="Arial" w:cs="Arial"/>
          <w:lang w:val="en-GB"/>
        </w:rPr>
        <w:t>2</w:t>
      </w:r>
      <w:r w:rsidRPr="0023292A">
        <w:rPr>
          <w:rFonts w:ascii="Arial" w:hAnsi="Arial" w:cs="Arial"/>
          <w:lang w:val="en-GB"/>
        </w:rPr>
        <w:t>%</w:t>
      </w:r>
      <w:r w:rsidR="00A92DE7" w:rsidRPr="0023292A">
        <w:rPr>
          <w:rFonts w:ascii="Arial" w:hAnsi="Arial" w:cs="Arial"/>
          <w:lang w:val="en-GB"/>
        </w:rPr>
        <w:t>,</w:t>
      </w:r>
      <w:r w:rsidR="00901882" w:rsidRPr="0023292A">
        <w:rPr>
          <w:rFonts w:ascii="Arial" w:hAnsi="Arial" w:cs="Arial"/>
          <w:lang w:val="en-GB"/>
        </w:rPr>
        <w:t xml:space="preserve"> while unemployment rate, in the same period, had the value</w:t>
      </w:r>
      <w:r w:rsidR="001156FD" w:rsidRPr="0023292A">
        <w:rPr>
          <w:rFonts w:ascii="Arial" w:hAnsi="Arial" w:cs="Arial"/>
          <w:lang w:val="en-GB"/>
        </w:rPr>
        <w:t xml:space="preserve"> of</w:t>
      </w:r>
      <w:r w:rsidR="00D03039" w:rsidRPr="0023292A">
        <w:rPr>
          <w:rFonts w:ascii="Arial" w:hAnsi="Arial" w:cs="Arial"/>
          <w:lang w:val="en-GB"/>
        </w:rPr>
        <w:t xml:space="preserve"> 7</w:t>
      </w:r>
      <w:r w:rsidR="00901882" w:rsidRPr="0023292A">
        <w:rPr>
          <w:rFonts w:ascii="Arial" w:hAnsi="Arial" w:cs="Arial"/>
          <w:lang w:val="en-GB"/>
        </w:rPr>
        <w:t>.</w:t>
      </w:r>
      <w:r w:rsidR="00D03039" w:rsidRPr="0023292A">
        <w:rPr>
          <w:rFonts w:ascii="Arial" w:hAnsi="Arial" w:cs="Arial"/>
          <w:lang w:val="en-GB"/>
        </w:rPr>
        <w:t>3</w:t>
      </w:r>
      <w:r w:rsidR="00901882" w:rsidRPr="0023292A">
        <w:rPr>
          <w:rFonts w:ascii="Arial" w:hAnsi="Arial" w:cs="Arial"/>
          <w:lang w:val="en-GB"/>
        </w:rPr>
        <w:t>%</w:t>
      </w:r>
      <w:r w:rsidR="00FB2E36" w:rsidRPr="0023292A">
        <w:rPr>
          <w:rFonts w:ascii="Arial" w:hAnsi="Arial" w:cs="Arial"/>
          <w:lang w:val="en-GB"/>
        </w:rPr>
        <w:t>.</w:t>
      </w:r>
    </w:p>
    <w:p w:rsidR="00391A81" w:rsidRPr="00185079" w:rsidRDefault="00391A81" w:rsidP="0023292A">
      <w:pPr>
        <w:pStyle w:val="NormalWeb"/>
        <w:spacing w:beforeLines="0" w:before="480" w:afterLines="0"/>
        <w:jc w:val="center"/>
        <w:rPr>
          <w:rFonts w:ascii="Arial" w:hAnsi="Arial" w:cs="Arial"/>
          <w:lang w:val="en-GB"/>
        </w:rPr>
      </w:pPr>
      <w:r w:rsidRPr="00185079">
        <w:rPr>
          <w:rFonts w:ascii="Arial" w:hAnsi="Arial" w:cs="Arial"/>
          <w:bCs/>
          <w:lang w:val="en-GB"/>
        </w:rPr>
        <w:t>Graph 1</w:t>
      </w:r>
      <w:r w:rsidR="0023292A">
        <w:rPr>
          <w:rFonts w:ascii="Arial" w:hAnsi="Arial" w:cs="Arial"/>
          <w:bCs/>
          <w:lang w:val="en-GB"/>
        </w:rPr>
        <w:t xml:space="preserve"> </w:t>
      </w:r>
      <w:r w:rsidRPr="00185079">
        <w:rPr>
          <w:rFonts w:ascii="Arial" w:hAnsi="Arial" w:cs="Arial"/>
          <w:lang w:val="en-GB"/>
        </w:rPr>
        <w:t>Trend of employment/unemployment rates (in %), population 15+, 201</w:t>
      </w:r>
      <w:r w:rsidR="00D0048F" w:rsidRPr="00185079">
        <w:rPr>
          <w:rFonts w:ascii="Arial" w:hAnsi="Arial" w:cs="Arial"/>
          <w:lang w:val="en-GB"/>
        </w:rPr>
        <w:t>5</w:t>
      </w:r>
      <w:r w:rsidRPr="00185079">
        <w:rPr>
          <w:rFonts w:ascii="Arial" w:hAnsi="Arial" w:cs="Arial"/>
          <w:lang w:val="en-GB"/>
        </w:rPr>
        <w:t>-20</w:t>
      </w:r>
      <w:r w:rsidR="00D0048F" w:rsidRPr="00185079">
        <w:rPr>
          <w:rFonts w:ascii="Arial" w:hAnsi="Arial" w:cs="Arial"/>
          <w:lang w:val="en-GB"/>
        </w:rPr>
        <w:t>20</w:t>
      </w:r>
    </w:p>
    <w:p w:rsidR="00E263C3" w:rsidRPr="00185079" w:rsidRDefault="00C137BD" w:rsidP="00AE37FB">
      <w:pPr>
        <w:jc w:val="center"/>
        <w:rPr>
          <w:rFonts w:cs="Arial"/>
        </w:rPr>
      </w:pPr>
      <w:r w:rsidRPr="00185079">
        <w:rPr>
          <w:rFonts w:cs="Arial"/>
          <w:noProof/>
          <w:lang w:val="en-US"/>
        </w:rPr>
        <w:drawing>
          <wp:inline distT="0" distB="0" distL="0" distR="0">
            <wp:extent cx="6478849" cy="2894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882"/>
                    <a:stretch/>
                  </pic:blipFill>
                  <pic:spPr bwMode="auto">
                    <a:xfrm>
                      <a:off x="0" y="0"/>
                      <a:ext cx="6479540" cy="2894639"/>
                    </a:xfrm>
                    <a:prstGeom prst="rect">
                      <a:avLst/>
                    </a:prstGeom>
                    <a:noFill/>
                    <a:ln>
                      <a:noFill/>
                    </a:ln>
                    <a:extLst>
                      <a:ext uri="{53640926-AAD7-44D8-BBD7-CCE9431645EC}">
                        <a14:shadowObscured xmlns:a14="http://schemas.microsoft.com/office/drawing/2010/main"/>
                      </a:ext>
                    </a:extLst>
                  </pic:spPr>
                </pic:pic>
              </a:graphicData>
            </a:graphic>
          </wp:inline>
        </w:drawing>
      </w:r>
    </w:p>
    <w:p w:rsidR="00F1064B" w:rsidRPr="0023292A" w:rsidRDefault="00F1064B" w:rsidP="0023292A">
      <w:pPr>
        <w:spacing w:before="480" w:after="120" w:line="264" w:lineRule="auto"/>
        <w:ind w:firstLine="397"/>
        <w:rPr>
          <w:rStyle w:val="Heading1Char"/>
          <w:rFonts w:ascii="Arial" w:hAnsi="Arial" w:cs="Arial"/>
          <w:b w:val="0"/>
          <w:iCs/>
          <w:color w:val="003399"/>
          <w:sz w:val="22"/>
          <w:szCs w:val="22"/>
        </w:rPr>
      </w:pPr>
      <w:r w:rsidRPr="0023292A">
        <w:rPr>
          <w:rStyle w:val="Heading1Char"/>
          <w:rFonts w:ascii="Arial" w:hAnsi="Arial" w:cs="Arial"/>
          <w:b w:val="0"/>
          <w:iCs/>
          <w:color w:val="003399"/>
          <w:sz w:val="22"/>
          <w:szCs w:val="22"/>
        </w:rPr>
        <w:t xml:space="preserve">Comparison with the </w:t>
      </w:r>
      <w:r w:rsidR="00480A96" w:rsidRPr="0023292A">
        <w:rPr>
          <w:rStyle w:val="Heading1Char"/>
          <w:rFonts w:ascii="Arial" w:hAnsi="Arial" w:cs="Arial"/>
          <w:b w:val="0"/>
          <w:iCs/>
          <w:color w:val="003399"/>
          <w:sz w:val="22"/>
          <w:szCs w:val="22"/>
        </w:rPr>
        <w:t>previous</w:t>
      </w:r>
      <w:r w:rsidRPr="0023292A">
        <w:rPr>
          <w:rStyle w:val="Heading1Char"/>
          <w:rFonts w:ascii="Arial" w:hAnsi="Arial" w:cs="Arial"/>
          <w:b w:val="0"/>
          <w:iCs/>
          <w:color w:val="003399"/>
          <w:sz w:val="22"/>
          <w:szCs w:val="22"/>
        </w:rPr>
        <w:t xml:space="preserve"> quarter</w:t>
      </w:r>
      <w:r w:rsidR="00D03039" w:rsidRPr="0023292A">
        <w:rPr>
          <w:rStyle w:val="Heading1Char"/>
          <w:rFonts w:ascii="Arial" w:hAnsi="Arial" w:cs="Arial"/>
          <w:b w:val="0"/>
          <w:iCs/>
          <w:color w:val="003399"/>
          <w:sz w:val="22"/>
          <w:szCs w:val="22"/>
        </w:rPr>
        <w:t>, basic indicators</w:t>
      </w:r>
    </w:p>
    <w:p w:rsidR="00722224" w:rsidRPr="00270D6B" w:rsidRDefault="009D748F" w:rsidP="0081154A">
      <w:pPr>
        <w:rPr>
          <w:rFonts w:cs="Arial"/>
          <w:lang w:val="en-US"/>
        </w:rPr>
      </w:pPr>
      <w:r>
        <w:rPr>
          <w:rFonts w:ascii="Calibri" w:eastAsia="Calibri" w:hAnsi="Calibri"/>
          <w:noProof/>
          <w:sz w:val="24"/>
          <w:szCs w:val="24"/>
          <w:lang w:val="en-US"/>
        </w:rPr>
        <w:pict>
          <v:roundrect id="Text Box 2" o:spid="_x0000_s1031" style="position:absolute;margin-left:1.7pt;margin-top:49.1pt;width:507.75pt;height:93pt;z-index:251672576;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" fillcolor="#f2f2f2 [3052]" strokecolor="#039" strokeweight=".5pt">
            <v:stroke joinstyle="miter"/>
            <v:textbox>
              <w:txbxContent>
                <w:p w:rsidR="00160E27" w:rsidRPr="00160E27" w:rsidRDefault="00160E27" w:rsidP="00160E27">
                  <w:pPr>
                    <w:pStyle w:val="ListParagraph"/>
                    <w:spacing w:before="120" w:after="120" w:line="264" w:lineRule="auto"/>
                    <w:ind w:left="0" w:firstLine="403"/>
                    <w:contextualSpacing w:val="0"/>
                    <w:jc w:val="both"/>
                    <w:rPr>
                      <w:rFonts w:ascii="Arial" w:eastAsia="Times New Roman" w:hAnsi="Arial" w:cs="Arial"/>
                      <w:sz w:val="20"/>
                      <w:szCs w:val="20"/>
                    </w:rPr>
                  </w:pPr>
                  <w:r w:rsidRPr="00270D6B">
                    <w:rPr>
                      <w:rFonts w:ascii="Arial" w:eastAsia="Times New Roman" w:hAnsi="Arial" w:cs="Arial"/>
                      <w:sz w:val="20"/>
                      <w:szCs w:val="20"/>
                    </w:rPr>
                    <w:t>According to the definition of the International Labor O</w:t>
                  </w:r>
                  <w:r w:rsidR="00D77E6C" w:rsidRPr="00270D6B">
                    <w:rPr>
                      <w:rFonts w:ascii="Arial" w:eastAsia="Times New Roman" w:hAnsi="Arial" w:cs="Arial"/>
                      <w:sz w:val="20"/>
                      <w:szCs w:val="20"/>
                    </w:rPr>
                    <w:t>rganization</w:t>
                  </w:r>
                  <w:r w:rsidRPr="00270D6B">
                    <w:rPr>
                      <w:rFonts w:ascii="Arial" w:eastAsia="Times New Roman" w:hAnsi="Arial" w:cs="Arial"/>
                      <w:sz w:val="20"/>
                      <w:szCs w:val="20"/>
                    </w:rPr>
                    <w:t>,</w:t>
                  </w:r>
                  <w:r w:rsidR="00F94E14" w:rsidRPr="00270D6B">
                    <w:rPr>
                      <w:rFonts w:ascii="Arial" w:eastAsia="Times New Roman" w:hAnsi="Arial" w:cs="Arial"/>
                      <w:sz w:val="20"/>
                      <w:szCs w:val="20"/>
                    </w:rPr>
                    <w:t xml:space="preserve"> which is used in the survey since 2004,</w:t>
                  </w:r>
                  <w:r w:rsidRPr="00270D6B">
                    <w:rPr>
                      <w:rFonts w:ascii="Arial" w:eastAsia="Times New Roman" w:hAnsi="Arial" w:cs="Arial"/>
                      <w:sz w:val="20"/>
                      <w:szCs w:val="20"/>
                    </w:rPr>
                    <w:t xml:space="preserve"> the unemployed are considered persons who performed no paid job in the observed week, who were actively seeking</w:t>
                  </w:r>
                  <w:r w:rsidRPr="00160E27">
                    <w:rPr>
                      <w:rFonts w:ascii="Arial" w:eastAsia="Times New Roman" w:hAnsi="Arial" w:cs="Arial"/>
                      <w:sz w:val="20"/>
                      <w:szCs w:val="20"/>
                    </w:rPr>
                    <w:t xml:space="preserve"> job in the four weeks preceding the observed week and who were able to start working   within two weeks after the end of the observed week. </w:t>
                  </w:r>
                </w:p>
                <w:p w:rsidR="00160E27" w:rsidRPr="00BD6B86" w:rsidRDefault="00160E27" w:rsidP="00160E27">
                  <w:pPr>
                    <w:pStyle w:val="ListParagraph"/>
                    <w:spacing w:before="120" w:after="120" w:line="264" w:lineRule="auto"/>
                    <w:ind w:left="0" w:firstLine="403"/>
                    <w:contextualSpacing w:val="0"/>
                    <w:jc w:val="both"/>
                    <w:rPr>
                      <w:rFonts w:ascii="Arial" w:eastAsia="Times New Roman" w:hAnsi="Arial" w:cs="Arial"/>
                      <w:color w:val="FFFFFF" w:themeColor="background1"/>
                      <w:sz w:val="20"/>
                      <w:szCs w:val="20"/>
                      <w:lang w:val="sr-Cyrl-RS"/>
                    </w:rPr>
                  </w:pPr>
                  <w:r w:rsidRPr="00160E27">
                    <w:rPr>
                      <w:rFonts w:ascii="Arial" w:eastAsia="Times New Roman" w:hAnsi="Arial" w:cs="Arial"/>
                      <w:sz w:val="20"/>
                      <w:szCs w:val="20"/>
                    </w:rPr>
                    <w:t xml:space="preserve">Therefore, someone who did not actively look for a job is not considered </w:t>
                  </w:r>
                  <w:r w:rsidR="00535184">
                    <w:rPr>
                      <w:rFonts w:ascii="Arial" w:eastAsia="Times New Roman" w:hAnsi="Arial" w:cs="Arial"/>
                      <w:sz w:val="20"/>
                      <w:szCs w:val="20"/>
                    </w:rPr>
                    <w:t xml:space="preserve">as </w:t>
                  </w:r>
                  <w:r w:rsidRPr="00160E27">
                    <w:rPr>
                      <w:rFonts w:ascii="Arial" w:eastAsia="Times New Roman" w:hAnsi="Arial" w:cs="Arial"/>
                      <w:sz w:val="20"/>
                      <w:szCs w:val="20"/>
                    </w:rPr>
                    <w:t xml:space="preserve">unemployed but inactive.  </w:t>
                  </w:r>
                  <w:r w:rsidRPr="00BD6B86">
                    <w:rPr>
                      <w:rFonts w:ascii="Arial" w:eastAsia="Times New Roman" w:hAnsi="Arial" w:cs="Arial"/>
                      <w:color w:val="FFFFFF" w:themeColor="background1"/>
                      <w:sz w:val="20"/>
                      <w:szCs w:val="20"/>
                      <w:lang w:val="sr-Cyrl-RS"/>
                    </w:rPr>
                    <w:t>Дакле, неко ко није активно тражио посао не сматра се незапосленим већ неактивним.</w:t>
                  </w:r>
                </w:p>
                <w:p w:rsidR="00160E27" w:rsidRPr="00160E27" w:rsidRDefault="00160E27" w:rsidP="00160E27">
                  <w:pPr>
                    <w:rPr>
                      <w:color w:val="FFFFFF" w:themeColor="background1"/>
                      <w:lang w:val="sr-Cyrl-RS"/>
                    </w:rPr>
                  </w:pPr>
                </w:p>
              </w:txbxContent>
            </v:textbox>
            <w10:wrap type="square" anchorx="margin"/>
          </v:roundrect>
        </w:pict>
      </w:r>
      <w:bookmarkStart w:id="0" w:name="_Hlk49416999"/>
      <w:r w:rsidR="00D03039" w:rsidRPr="00270D6B">
        <w:rPr>
          <w:iCs/>
        </w:rPr>
        <w:t>According to the LFS data for the second quarter</w:t>
      </w:r>
      <w:r w:rsidR="00B938DE">
        <w:rPr>
          <w:iCs/>
        </w:rPr>
        <w:t xml:space="preserve"> of</w:t>
      </w:r>
      <w:r w:rsidR="00D03039" w:rsidRPr="00270D6B">
        <w:rPr>
          <w:iCs/>
        </w:rPr>
        <w:t xml:space="preserve"> 2020, regarding population </w:t>
      </w:r>
      <w:r w:rsidR="00722224" w:rsidRPr="00270D6B">
        <w:rPr>
          <w:iCs/>
        </w:rPr>
        <w:t xml:space="preserve">15 and </w:t>
      </w:r>
      <w:r w:rsidR="00D03039" w:rsidRPr="00270D6B">
        <w:rPr>
          <w:iCs/>
        </w:rPr>
        <w:t xml:space="preserve">over, </w:t>
      </w:r>
      <w:r w:rsidR="0081154A" w:rsidRPr="00270D6B">
        <w:rPr>
          <w:rFonts w:cs="Arial"/>
          <w:lang w:val="en-US"/>
        </w:rPr>
        <w:t>decrease in employment (-33 200) and unemployment (-87 400) was noted</w:t>
      </w:r>
      <w:r w:rsidR="00722224" w:rsidRPr="00270D6B">
        <w:rPr>
          <w:iCs/>
        </w:rPr>
        <w:t xml:space="preserve">, on the </w:t>
      </w:r>
      <w:r w:rsidR="003728FD" w:rsidRPr="00270D6B">
        <w:rPr>
          <w:iCs/>
        </w:rPr>
        <w:t>account</w:t>
      </w:r>
      <w:r w:rsidR="00722224" w:rsidRPr="00270D6B">
        <w:rPr>
          <w:iCs/>
        </w:rPr>
        <w:t xml:space="preserve"> of increased inactivity (+113 100), when compared with the first quarter 2020</w:t>
      </w:r>
      <w:bookmarkEnd w:id="0"/>
      <w:r w:rsidR="00722224" w:rsidRPr="00270D6B">
        <w:rPr>
          <w:iCs/>
        </w:rPr>
        <w:t>.</w:t>
      </w:r>
    </w:p>
    <w:p w:rsidR="003728FD" w:rsidRPr="00270D6B" w:rsidRDefault="003728FD" w:rsidP="0023292A">
      <w:pPr>
        <w:pStyle w:val="ListParagraph"/>
        <w:spacing w:before="360" w:after="120" w:line="264" w:lineRule="auto"/>
        <w:ind w:left="0" w:firstLine="403"/>
        <w:contextualSpacing w:val="0"/>
        <w:jc w:val="both"/>
        <w:rPr>
          <w:rFonts w:ascii="Arial" w:eastAsia="Times New Roman" w:hAnsi="Arial" w:cs="Arial"/>
          <w:sz w:val="20"/>
          <w:szCs w:val="20"/>
          <w:lang w:val="en-GB"/>
        </w:rPr>
      </w:pPr>
      <w:r w:rsidRPr="00270D6B">
        <w:rPr>
          <w:rFonts w:ascii="Arial" w:eastAsia="Times New Roman" w:hAnsi="Arial"/>
          <w:iCs/>
          <w:sz w:val="20"/>
          <w:szCs w:val="20"/>
          <w:lang w:val="en-GB"/>
        </w:rPr>
        <w:t xml:space="preserve">Decreased employment was recorded in the informal sector (-35 400), while in formal </w:t>
      </w:r>
      <w:r w:rsidR="00185079" w:rsidRPr="00270D6B">
        <w:rPr>
          <w:rFonts w:ascii="Arial" w:eastAsia="Times New Roman" w:hAnsi="Arial"/>
          <w:iCs/>
          <w:sz w:val="20"/>
          <w:szCs w:val="20"/>
          <w:lang w:val="en-GB"/>
        </w:rPr>
        <w:t>sector</w:t>
      </w:r>
      <w:r w:rsidR="00DD3A6A" w:rsidRPr="00270D6B">
        <w:rPr>
          <w:rFonts w:ascii="Arial" w:eastAsia="Times New Roman" w:hAnsi="Arial"/>
          <w:iCs/>
          <w:sz w:val="20"/>
          <w:szCs w:val="20"/>
          <w:lang w:val="en-GB"/>
        </w:rPr>
        <w:t xml:space="preserve"> there was</w:t>
      </w:r>
      <w:r w:rsidRPr="00270D6B">
        <w:rPr>
          <w:rFonts w:ascii="Arial" w:eastAsia="Times New Roman" w:hAnsi="Arial"/>
          <w:iCs/>
          <w:sz w:val="20"/>
          <w:szCs w:val="20"/>
          <w:lang w:val="en-GB"/>
        </w:rPr>
        <w:t xml:space="preserve"> insignificant increase (+2 200).</w:t>
      </w:r>
      <w:r w:rsidR="00D03039" w:rsidRPr="00270D6B">
        <w:rPr>
          <w:rFonts w:ascii="Arial" w:eastAsia="Times New Roman" w:hAnsi="Arial"/>
          <w:iCs/>
          <w:sz w:val="20"/>
          <w:szCs w:val="20"/>
          <w:lang w:val="en-GB"/>
        </w:rPr>
        <w:t xml:space="preserve"> </w:t>
      </w:r>
    </w:p>
    <w:p w:rsidR="003728FD" w:rsidRPr="00451F6D" w:rsidRDefault="00E323C1" w:rsidP="003728FD">
      <w:pPr>
        <w:pStyle w:val="ListParagraph"/>
        <w:spacing w:before="120" w:after="120" w:line="264" w:lineRule="auto"/>
        <w:ind w:left="0" w:firstLine="403"/>
        <w:contextualSpacing w:val="0"/>
        <w:jc w:val="both"/>
        <w:rPr>
          <w:rFonts w:ascii="Arial" w:eastAsia="Times New Roman" w:hAnsi="Arial"/>
          <w:iCs/>
          <w:sz w:val="20"/>
          <w:szCs w:val="20"/>
        </w:rPr>
      </w:pPr>
      <w:r w:rsidRPr="00270D6B">
        <w:rPr>
          <w:rFonts w:ascii="Arial" w:eastAsia="Times New Roman" w:hAnsi="Arial"/>
          <w:iCs/>
          <w:sz w:val="20"/>
          <w:szCs w:val="20"/>
          <w:lang w:val="en-GB"/>
        </w:rPr>
        <w:t>Employment rate decreased by 0.5 percentage points (p.</w:t>
      </w:r>
      <w:r w:rsidR="00320FEB" w:rsidRPr="00270D6B">
        <w:rPr>
          <w:rFonts w:ascii="Arial" w:eastAsia="Times New Roman" w:hAnsi="Arial"/>
          <w:iCs/>
          <w:sz w:val="20"/>
          <w:szCs w:val="20"/>
          <w:lang w:val="en-GB"/>
        </w:rPr>
        <w:t xml:space="preserve"> </w:t>
      </w:r>
      <w:r w:rsidRPr="00270D6B">
        <w:rPr>
          <w:rFonts w:ascii="Arial" w:eastAsia="Times New Roman" w:hAnsi="Arial"/>
          <w:iCs/>
          <w:sz w:val="20"/>
          <w:szCs w:val="20"/>
          <w:lang w:val="en-GB"/>
        </w:rPr>
        <w:t xml:space="preserve">p.) and amounted to 48.2%, while </w:t>
      </w:r>
      <w:r w:rsidR="00185079" w:rsidRPr="00270D6B">
        <w:rPr>
          <w:rFonts w:ascii="Arial" w:eastAsia="Times New Roman" w:hAnsi="Arial"/>
          <w:iCs/>
          <w:sz w:val="20"/>
          <w:szCs w:val="20"/>
          <w:lang w:val="en-GB"/>
        </w:rPr>
        <w:t>unemployment</w:t>
      </w:r>
      <w:r w:rsidRPr="00270D6B">
        <w:rPr>
          <w:rFonts w:ascii="Arial" w:eastAsia="Times New Roman" w:hAnsi="Arial"/>
          <w:iCs/>
          <w:sz w:val="20"/>
          <w:szCs w:val="20"/>
          <w:lang w:val="en-GB"/>
        </w:rPr>
        <w:t xml:space="preserve"> rate decreased by 2.5 p.</w:t>
      </w:r>
      <w:r w:rsidR="00320FEB" w:rsidRPr="00270D6B">
        <w:rPr>
          <w:rFonts w:ascii="Arial" w:eastAsia="Times New Roman" w:hAnsi="Arial"/>
          <w:iCs/>
          <w:sz w:val="20"/>
          <w:szCs w:val="20"/>
          <w:lang w:val="en-GB"/>
        </w:rPr>
        <w:t xml:space="preserve"> </w:t>
      </w:r>
      <w:r w:rsidRPr="00270D6B">
        <w:rPr>
          <w:rFonts w:ascii="Arial" w:eastAsia="Times New Roman" w:hAnsi="Arial"/>
          <w:iCs/>
          <w:sz w:val="20"/>
          <w:szCs w:val="20"/>
          <w:lang w:val="en-GB"/>
        </w:rPr>
        <w:t xml:space="preserve">p. and </w:t>
      </w:r>
      <w:r w:rsidR="00DD3A6A" w:rsidRPr="00270D6B">
        <w:rPr>
          <w:rFonts w:ascii="Arial" w:eastAsia="Times New Roman" w:hAnsi="Arial"/>
          <w:iCs/>
          <w:sz w:val="20"/>
          <w:szCs w:val="20"/>
          <w:lang w:val="en-GB"/>
        </w:rPr>
        <w:t>had the value of</w:t>
      </w:r>
      <w:r w:rsidRPr="00270D6B">
        <w:rPr>
          <w:rFonts w:ascii="Arial" w:eastAsia="Times New Roman" w:hAnsi="Arial"/>
          <w:iCs/>
          <w:sz w:val="20"/>
          <w:szCs w:val="20"/>
          <w:lang w:val="en-GB"/>
        </w:rPr>
        <w:t xml:space="preserve"> 7.3%. Inactivity rate increased by 2 p.</w:t>
      </w:r>
      <w:r w:rsidR="001622FF">
        <w:rPr>
          <w:rFonts w:ascii="Arial" w:eastAsia="Times New Roman" w:hAnsi="Arial"/>
          <w:iCs/>
          <w:sz w:val="20"/>
          <w:szCs w:val="20"/>
          <w:lang w:val="en-GB"/>
        </w:rPr>
        <w:t xml:space="preserve"> </w:t>
      </w:r>
      <w:r w:rsidRPr="00270D6B">
        <w:rPr>
          <w:rFonts w:ascii="Arial" w:eastAsia="Times New Roman" w:hAnsi="Arial"/>
          <w:iCs/>
          <w:sz w:val="20"/>
          <w:szCs w:val="20"/>
          <w:lang w:val="en-GB"/>
        </w:rPr>
        <w:t>p. and reached the level of 48%.</w:t>
      </w:r>
    </w:p>
    <w:p w:rsidR="003728FD" w:rsidRPr="00270D6B" w:rsidRDefault="00E323C1" w:rsidP="009D748F">
      <w:pPr>
        <w:pStyle w:val="ListParagraph"/>
        <w:spacing w:before="120" w:after="120" w:line="264" w:lineRule="auto"/>
        <w:ind w:left="0" w:firstLine="403"/>
        <w:contextualSpacing w:val="0"/>
        <w:rPr>
          <w:rFonts w:ascii="Arial" w:eastAsia="Times New Roman" w:hAnsi="Arial" w:cs="Arial"/>
          <w:sz w:val="20"/>
          <w:szCs w:val="20"/>
          <w:lang w:val="en-GB"/>
        </w:rPr>
      </w:pPr>
      <w:r w:rsidRPr="00270D6B">
        <w:rPr>
          <w:rFonts w:ascii="Arial" w:eastAsia="Times New Roman" w:hAnsi="Arial" w:cs="Arial"/>
          <w:sz w:val="20"/>
          <w:szCs w:val="20"/>
          <w:lang w:val="en-GB"/>
        </w:rPr>
        <w:lastRenderedPageBreak/>
        <w:t xml:space="preserve">Inactivity mostly increased among people with </w:t>
      </w:r>
      <w:r w:rsidR="00DD3A6A" w:rsidRPr="00270D6B">
        <w:rPr>
          <w:rFonts w:ascii="Arial" w:eastAsia="Times New Roman" w:hAnsi="Arial" w:cs="Arial"/>
          <w:sz w:val="20"/>
          <w:szCs w:val="20"/>
          <w:lang w:val="en-GB"/>
        </w:rPr>
        <w:t xml:space="preserve">completed </w:t>
      </w:r>
      <w:r w:rsidRPr="00270D6B">
        <w:rPr>
          <w:rFonts w:ascii="Arial" w:eastAsia="Times New Roman" w:hAnsi="Arial" w:cs="Arial"/>
          <w:sz w:val="20"/>
          <w:szCs w:val="20"/>
          <w:lang w:val="en-GB"/>
        </w:rPr>
        <w:t xml:space="preserve">secondary education (+147 300 persons), as well as in the age group 25-34 (+50 000 </w:t>
      </w:r>
      <w:r w:rsidR="00185079" w:rsidRPr="00270D6B">
        <w:rPr>
          <w:rFonts w:ascii="Arial" w:eastAsia="Times New Roman" w:hAnsi="Arial" w:cs="Arial"/>
          <w:sz w:val="20"/>
          <w:szCs w:val="20"/>
          <w:lang w:val="en-GB"/>
        </w:rPr>
        <w:t>persons</w:t>
      </w:r>
      <w:r w:rsidRPr="00270D6B">
        <w:rPr>
          <w:rFonts w:ascii="Arial" w:eastAsia="Times New Roman" w:hAnsi="Arial" w:cs="Arial"/>
          <w:sz w:val="20"/>
          <w:szCs w:val="20"/>
          <w:lang w:val="en-GB"/>
        </w:rPr>
        <w:t xml:space="preserve">). </w:t>
      </w:r>
    </w:p>
    <w:p w:rsidR="00E01A97" w:rsidRPr="00270D6B" w:rsidRDefault="00100214" w:rsidP="00100214">
      <w:pPr>
        <w:pStyle w:val="ListParagraph"/>
        <w:spacing w:before="120" w:after="120" w:line="264" w:lineRule="auto"/>
        <w:ind w:left="0" w:firstLine="403"/>
        <w:contextualSpacing w:val="0"/>
        <w:jc w:val="both"/>
        <w:rPr>
          <w:rFonts w:ascii="Arial" w:eastAsia="Times New Roman" w:hAnsi="Arial" w:cs="Arial"/>
          <w:sz w:val="20"/>
          <w:szCs w:val="20"/>
          <w:lang w:val="en-GB"/>
        </w:rPr>
      </w:pPr>
      <w:r w:rsidRPr="00270D6B">
        <w:rPr>
          <w:rFonts w:ascii="Arial" w:eastAsia="Times New Roman" w:hAnsi="Arial" w:cs="Arial"/>
          <w:sz w:val="20"/>
          <w:szCs w:val="20"/>
          <w:lang w:val="en-GB"/>
        </w:rPr>
        <w:t xml:space="preserve">Region Juzne i Istocne Srbije is the only region in </w:t>
      </w:r>
      <w:r w:rsidR="00E01A97" w:rsidRPr="00270D6B">
        <w:rPr>
          <w:rFonts w:ascii="Arial" w:eastAsia="Times New Roman" w:hAnsi="Arial" w:cs="Arial"/>
          <w:sz w:val="20"/>
          <w:szCs w:val="20"/>
          <w:lang w:val="en-GB"/>
        </w:rPr>
        <w:t xml:space="preserve">the Republic of </w:t>
      </w:r>
      <w:r w:rsidRPr="00270D6B">
        <w:rPr>
          <w:rFonts w:ascii="Arial" w:eastAsia="Times New Roman" w:hAnsi="Arial" w:cs="Arial"/>
          <w:sz w:val="20"/>
          <w:szCs w:val="20"/>
          <w:lang w:val="en-GB"/>
        </w:rPr>
        <w:t xml:space="preserve">Serbia where increased employment was recorded in the second quarter relative to the first quarter </w:t>
      </w:r>
      <w:r w:rsidR="00274B5E" w:rsidRPr="00270D6B">
        <w:rPr>
          <w:rFonts w:ascii="Arial" w:eastAsia="Times New Roman" w:hAnsi="Arial" w:cs="Arial"/>
          <w:sz w:val="20"/>
          <w:szCs w:val="20"/>
          <w:lang w:val="en-GB"/>
        </w:rPr>
        <w:t xml:space="preserve">of </w:t>
      </w:r>
      <w:r w:rsidRPr="00270D6B">
        <w:rPr>
          <w:rFonts w:ascii="Arial" w:eastAsia="Times New Roman" w:hAnsi="Arial" w:cs="Arial"/>
          <w:sz w:val="20"/>
          <w:szCs w:val="20"/>
          <w:lang w:val="en-GB"/>
        </w:rPr>
        <w:t xml:space="preserve">2020 (+22 500), simultaneously presenting </w:t>
      </w:r>
      <w:r w:rsidR="00E01A97" w:rsidRPr="00270D6B">
        <w:rPr>
          <w:rFonts w:ascii="Arial" w:eastAsia="Times New Roman" w:hAnsi="Arial" w:cs="Arial"/>
          <w:sz w:val="20"/>
          <w:szCs w:val="20"/>
          <w:lang w:val="en-GB"/>
        </w:rPr>
        <w:t xml:space="preserve">the only region in </w:t>
      </w:r>
      <w:r w:rsidR="00274B5E" w:rsidRPr="00270D6B">
        <w:rPr>
          <w:rFonts w:ascii="Arial" w:eastAsia="Times New Roman" w:hAnsi="Arial" w:cs="Arial"/>
          <w:sz w:val="20"/>
          <w:szCs w:val="20"/>
          <w:lang w:val="en-GB"/>
        </w:rPr>
        <w:t>which</w:t>
      </w:r>
      <w:r w:rsidR="00E01A97" w:rsidRPr="00270D6B">
        <w:rPr>
          <w:rFonts w:ascii="Arial" w:eastAsia="Times New Roman" w:hAnsi="Arial" w:cs="Arial"/>
          <w:sz w:val="20"/>
          <w:szCs w:val="20"/>
          <w:lang w:val="en-GB"/>
        </w:rPr>
        <w:t xml:space="preserve"> inactivity was in</w:t>
      </w:r>
      <w:r w:rsidR="00D77E6C" w:rsidRPr="00270D6B">
        <w:rPr>
          <w:rFonts w:ascii="Arial" w:eastAsia="Times New Roman" w:hAnsi="Arial" w:cs="Arial"/>
          <w:sz w:val="20"/>
          <w:szCs w:val="20"/>
        </w:rPr>
        <w:t>s</w:t>
      </w:r>
      <w:r w:rsidR="00E01A97" w:rsidRPr="00270D6B">
        <w:rPr>
          <w:rFonts w:ascii="Arial" w:eastAsia="Times New Roman" w:hAnsi="Arial" w:cs="Arial"/>
          <w:sz w:val="20"/>
          <w:szCs w:val="20"/>
          <w:lang w:val="en-GB"/>
        </w:rPr>
        <w:t xml:space="preserve">ignificantly decreased (-1.4%). </w:t>
      </w:r>
    </w:p>
    <w:p w:rsidR="00100214" w:rsidRPr="00270D6B" w:rsidRDefault="00E01A97" w:rsidP="00100214">
      <w:pPr>
        <w:pStyle w:val="ListParagraph"/>
        <w:spacing w:before="120" w:after="120" w:line="264" w:lineRule="auto"/>
        <w:ind w:left="0" w:firstLine="403"/>
        <w:contextualSpacing w:val="0"/>
        <w:jc w:val="both"/>
        <w:rPr>
          <w:rFonts w:ascii="Arial" w:eastAsia="Times New Roman" w:hAnsi="Arial" w:cs="Arial"/>
          <w:sz w:val="20"/>
          <w:szCs w:val="20"/>
          <w:lang w:val="en-GB"/>
        </w:rPr>
      </w:pPr>
      <w:r w:rsidRPr="00270D6B">
        <w:rPr>
          <w:rFonts w:ascii="Arial" w:eastAsia="Times New Roman" w:hAnsi="Arial" w:cs="Arial"/>
          <w:sz w:val="20"/>
          <w:szCs w:val="20"/>
          <w:lang w:val="en-GB"/>
        </w:rPr>
        <w:t xml:space="preserve">While decreased unemployment was </w:t>
      </w:r>
      <w:r w:rsidR="00185079" w:rsidRPr="00270D6B">
        <w:rPr>
          <w:rFonts w:ascii="Arial" w:eastAsia="Times New Roman" w:hAnsi="Arial" w:cs="Arial"/>
          <w:sz w:val="20"/>
          <w:szCs w:val="20"/>
          <w:lang w:val="en-GB"/>
        </w:rPr>
        <w:t>equally</w:t>
      </w:r>
      <w:r w:rsidRPr="00270D6B">
        <w:rPr>
          <w:rFonts w:ascii="Arial" w:eastAsia="Times New Roman" w:hAnsi="Arial" w:cs="Arial"/>
          <w:sz w:val="20"/>
          <w:szCs w:val="20"/>
          <w:lang w:val="en-GB"/>
        </w:rPr>
        <w:t xml:space="preserve"> distributed within both genders, decreased employment exclusively related to females (-34 700). </w:t>
      </w:r>
    </w:p>
    <w:p w:rsidR="004E711A" w:rsidRPr="00270D6B" w:rsidRDefault="004E711A" w:rsidP="004E711A">
      <w:pPr>
        <w:pStyle w:val="ListParagraph"/>
        <w:spacing w:before="480" w:after="120" w:line="264" w:lineRule="auto"/>
        <w:ind w:left="0" w:firstLine="397"/>
        <w:contextualSpacing w:val="0"/>
        <w:rPr>
          <w:rStyle w:val="Heading1Char"/>
          <w:rFonts w:ascii="Arial" w:eastAsia="Calibri" w:hAnsi="Arial" w:cs="Arial"/>
          <w:b w:val="0"/>
          <w:iCs/>
          <w:color w:val="003399"/>
          <w:sz w:val="22"/>
          <w:szCs w:val="22"/>
        </w:rPr>
      </w:pPr>
      <w:r w:rsidRPr="00270D6B">
        <w:rPr>
          <w:rStyle w:val="Heading1Char"/>
          <w:rFonts w:ascii="Arial" w:eastAsia="Calibri" w:hAnsi="Arial" w:cs="Arial"/>
          <w:b w:val="0"/>
          <w:iCs/>
          <w:color w:val="003399"/>
          <w:sz w:val="22"/>
          <w:szCs w:val="22"/>
        </w:rPr>
        <w:t>Comparison with the same quarter of the previous year, basic indicators</w:t>
      </w:r>
    </w:p>
    <w:p w:rsidR="004E711A" w:rsidRPr="00270D6B" w:rsidRDefault="004E711A" w:rsidP="004E711A">
      <w:pPr>
        <w:pStyle w:val="ListParagraph"/>
        <w:spacing w:before="120" w:after="120" w:line="264" w:lineRule="auto"/>
        <w:ind w:left="0" w:firstLine="397"/>
        <w:contextualSpacing w:val="0"/>
        <w:jc w:val="both"/>
        <w:rPr>
          <w:rFonts w:ascii="Arial" w:eastAsia="Times New Roman" w:hAnsi="Arial"/>
          <w:iCs/>
          <w:sz w:val="20"/>
          <w:szCs w:val="20"/>
          <w:lang w:val="en-GB"/>
        </w:rPr>
      </w:pPr>
      <w:r w:rsidRPr="00270D6B">
        <w:rPr>
          <w:rFonts w:ascii="Arial" w:eastAsia="Times New Roman" w:hAnsi="Arial"/>
          <w:iCs/>
          <w:sz w:val="20"/>
          <w:szCs w:val="20"/>
          <w:lang w:val="en-GB"/>
        </w:rPr>
        <w:t>According to the LFS data for the second quarter 2020, regarding population 15 and over, decreased employment (-72 300) and unemployment (-111 100), on the account of increased inactivity (+153 800) was noted, when compared with the second quarter 2019.</w:t>
      </w:r>
    </w:p>
    <w:p w:rsidR="004E711A" w:rsidRPr="00270D6B" w:rsidRDefault="004E711A" w:rsidP="004E711A">
      <w:pPr>
        <w:pStyle w:val="NormalWeb"/>
        <w:spacing w:beforeLines="0" w:before="120" w:afterLines="0" w:after="120" w:line="288" w:lineRule="auto"/>
        <w:ind w:firstLine="397"/>
        <w:jc w:val="both"/>
        <w:rPr>
          <w:rFonts w:ascii="Arial" w:eastAsia="Times New Roman" w:hAnsi="Arial" w:cs="Arial"/>
          <w:lang w:val="en-GB"/>
        </w:rPr>
      </w:pPr>
      <w:r w:rsidRPr="00270D6B">
        <w:rPr>
          <w:rFonts w:ascii="Arial" w:eastAsia="Times New Roman" w:hAnsi="Arial" w:cs="Arial"/>
          <w:lang w:val="en-GB"/>
        </w:rPr>
        <w:t xml:space="preserve">The greatest decline in total employment was recorded in the sector of Agriculture, forestry and </w:t>
      </w:r>
      <w:r w:rsidRPr="00FE3115">
        <w:rPr>
          <w:rFonts w:ascii="Arial" w:eastAsia="Times New Roman" w:hAnsi="Arial" w:cs="Arial"/>
          <w:lang w:val="en-GB"/>
        </w:rPr>
        <w:t xml:space="preserve">fishing </w:t>
      </w:r>
      <w:r w:rsidR="00FE3115">
        <w:rPr>
          <w:rFonts w:ascii="Arial" w:eastAsia="Times New Roman" w:hAnsi="Arial" w:cs="Arial"/>
          <w:highlight w:val="red"/>
          <w:lang w:val="en-GB"/>
        </w:rPr>
        <w:t xml:space="preserve">           </w:t>
      </w:r>
      <w:r w:rsidRPr="00FE3115">
        <w:rPr>
          <w:rFonts w:ascii="Arial" w:eastAsia="Times New Roman" w:hAnsi="Arial" w:cs="Arial"/>
          <w:lang w:val="en-GB"/>
        </w:rPr>
        <w:t xml:space="preserve">(-44 000), </w:t>
      </w:r>
      <w:r w:rsidRPr="00270D6B">
        <w:rPr>
          <w:rFonts w:ascii="Arial" w:eastAsia="Times New Roman" w:hAnsi="Arial" w:cs="Arial"/>
          <w:lang w:val="en-GB"/>
        </w:rPr>
        <w:t xml:space="preserve">and observed according to the educational structure, in the category of persons with the completed primary school (-33 100). The number of employees was mostly decreased in Beogradski region (-31 500) and the least decrease was observed in Region Juzne i Istocne Srbije (-9 300). </w:t>
      </w:r>
    </w:p>
    <w:p w:rsidR="004E711A" w:rsidRPr="00270D6B" w:rsidRDefault="004E711A" w:rsidP="004E711A">
      <w:pPr>
        <w:pStyle w:val="NormalWeb"/>
        <w:spacing w:beforeLines="0" w:before="120" w:afterLines="0" w:after="120" w:line="288" w:lineRule="auto"/>
        <w:ind w:firstLine="397"/>
        <w:jc w:val="both"/>
        <w:rPr>
          <w:rFonts w:ascii="Arial" w:eastAsia="Times New Roman" w:hAnsi="Arial" w:cs="Arial"/>
          <w:lang w:val="en-GB"/>
        </w:rPr>
      </w:pPr>
      <w:r w:rsidRPr="00270D6B">
        <w:rPr>
          <w:rFonts w:ascii="Arial" w:eastAsia="Times New Roman" w:hAnsi="Arial" w:cs="Arial"/>
          <w:lang w:val="en-GB"/>
        </w:rPr>
        <w:t>Within total employment, there was a decrease in informal employment (-132 400) and an increase in formal employment (+60 100). The largest inter-annual increase in formal employment was recorded in Construction sector (+16 600).</w:t>
      </w:r>
    </w:p>
    <w:p w:rsidR="004E711A" w:rsidRPr="00270D6B" w:rsidRDefault="004E711A" w:rsidP="004E711A">
      <w:pPr>
        <w:pStyle w:val="NormalWeb"/>
        <w:spacing w:before="2" w:after="2" w:line="288" w:lineRule="auto"/>
        <w:ind w:firstLine="397"/>
        <w:jc w:val="both"/>
        <w:rPr>
          <w:rFonts w:ascii="Arial" w:eastAsia="Times New Roman" w:hAnsi="Arial" w:cs="Arial"/>
          <w:lang w:val="en-GB"/>
        </w:rPr>
      </w:pPr>
      <w:r w:rsidRPr="00270D6B">
        <w:rPr>
          <w:rFonts w:ascii="Arial" w:eastAsia="Times New Roman" w:hAnsi="Arial" w:cs="Arial"/>
          <w:lang w:val="en-GB"/>
        </w:rPr>
        <w:t>The informal employment rate was 15.2%, which is 4.2 percentage points less compared to the same period last year.</w:t>
      </w:r>
    </w:p>
    <w:p w:rsidR="004E711A" w:rsidRPr="00270D6B" w:rsidRDefault="004E711A" w:rsidP="004E711A">
      <w:pPr>
        <w:pStyle w:val="NormalWeb"/>
        <w:spacing w:before="2" w:after="2" w:line="288" w:lineRule="auto"/>
        <w:ind w:firstLine="397"/>
        <w:jc w:val="both"/>
        <w:rPr>
          <w:rFonts w:ascii="Arial" w:eastAsia="Times New Roman" w:hAnsi="Arial" w:cs="Arial"/>
          <w:lang w:val="en-GB"/>
        </w:rPr>
      </w:pPr>
      <w:r w:rsidRPr="00270D6B">
        <w:rPr>
          <w:rFonts w:ascii="Arial" w:eastAsia="Times New Roman" w:hAnsi="Arial" w:cs="Arial"/>
          <w:lang w:val="en-GB"/>
        </w:rPr>
        <w:t>The long-term unemployment rate was 4.1%,</w:t>
      </w:r>
      <w:r w:rsidR="001622FF">
        <w:rPr>
          <w:rFonts w:ascii="Arial" w:eastAsia="Times New Roman" w:hAnsi="Arial" w:cs="Arial"/>
          <w:lang w:val="en-GB"/>
        </w:rPr>
        <w:t xml:space="preserve"> which is 2.0 percentage points</w:t>
      </w:r>
      <w:r w:rsidRPr="00270D6B">
        <w:rPr>
          <w:rFonts w:ascii="Arial" w:eastAsia="Times New Roman" w:hAnsi="Arial" w:cs="Arial"/>
          <w:lang w:val="en-GB"/>
        </w:rPr>
        <w:t xml:space="preserve"> less than in the second quarter of 2019.</w:t>
      </w:r>
    </w:p>
    <w:p w:rsidR="004E711A" w:rsidRPr="00270D6B" w:rsidRDefault="004E711A" w:rsidP="004E711A">
      <w:pPr>
        <w:pStyle w:val="NormalWeb"/>
        <w:spacing w:beforeLines="0" w:before="120" w:afterLines="0" w:after="120" w:line="288" w:lineRule="auto"/>
        <w:ind w:firstLine="397"/>
        <w:jc w:val="both"/>
        <w:rPr>
          <w:rFonts w:ascii="Arial" w:eastAsia="Times New Roman" w:hAnsi="Arial" w:cs="Arial"/>
          <w:lang w:val="en-GB"/>
        </w:rPr>
      </w:pPr>
      <w:r w:rsidRPr="00270D6B">
        <w:rPr>
          <w:rFonts w:ascii="Arial" w:eastAsia="Times New Roman" w:hAnsi="Arial" w:cs="Arial"/>
          <w:lang w:val="en-GB"/>
        </w:rPr>
        <w:t>In the population of youth, aged 15-24, inter-annual activity decrease</w:t>
      </w:r>
      <w:r w:rsidR="00320FEB" w:rsidRPr="00270D6B">
        <w:rPr>
          <w:rFonts w:ascii="Arial" w:eastAsia="Times New Roman" w:hAnsi="Arial" w:cs="Arial"/>
          <w:lang w:val="en-GB"/>
        </w:rPr>
        <w:t>d</w:t>
      </w:r>
      <w:r w:rsidRPr="00270D6B">
        <w:rPr>
          <w:rFonts w:ascii="Arial" w:eastAsia="Times New Roman" w:hAnsi="Arial" w:cs="Arial"/>
          <w:lang w:val="en-GB"/>
        </w:rPr>
        <w:t xml:space="preserve"> (-41 400 persons) and inactivity increase</w:t>
      </w:r>
      <w:r w:rsidR="00320FEB" w:rsidRPr="00270D6B">
        <w:rPr>
          <w:rFonts w:ascii="Arial" w:eastAsia="Times New Roman" w:hAnsi="Arial" w:cs="Arial"/>
          <w:lang w:val="en-GB"/>
        </w:rPr>
        <w:t>d (+30 600 persons)</w:t>
      </w:r>
      <w:r w:rsidRPr="00270D6B">
        <w:rPr>
          <w:rFonts w:ascii="Arial" w:eastAsia="Times New Roman" w:hAnsi="Arial" w:cs="Arial"/>
          <w:lang w:val="en-GB"/>
        </w:rPr>
        <w:t>. The number of the employed aged 15 to 24 decreased by 25 200, while the number of unemployed of the mentioned age decreased by 16 200 compared to the same period last year</w:t>
      </w:r>
      <w:r w:rsidR="00FE3115">
        <w:rPr>
          <w:rFonts w:ascii="Arial" w:eastAsia="Times New Roman" w:hAnsi="Arial" w:cs="Arial"/>
          <w:lang w:val="en-GB"/>
        </w:rPr>
        <w:t>.</w:t>
      </w:r>
    </w:p>
    <w:p w:rsidR="004E711A" w:rsidRPr="00270D6B" w:rsidRDefault="004E711A" w:rsidP="004E711A">
      <w:pPr>
        <w:pStyle w:val="NormalWeb"/>
        <w:spacing w:beforeLines="0" w:before="120" w:afterLines="0" w:after="120" w:line="288" w:lineRule="auto"/>
        <w:ind w:firstLine="397"/>
        <w:jc w:val="both"/>
        <w:rPr>
          <w:rFonts w:ascii="Arial" w:eastAsia="Times New Roman" w:hAnsi="Arial" w:cs="Arial"/>
          <w:lang w:val="en-GB"/>
        </w:rPr>
      </w:pPr>
      <w:r w:rsidRPr="00270D6B">
        <w:rPr>
          <w:rFonts w:ascii="Arial" w:eastAsia="Times New Roman" w:hAnsi="Arial" w:cs="Arial"/>
          <w:lang w:val="en-GB"/>
        </w:rPr>
        <w:t>The NEET</w:t>
      </w:r>
      <w:r w:rsidR="00130513" w:rsidRPr="00270D6B">
        <w:rPr>
          <w:rFonts w:ascii="Arial" w:eastAsia="Times New Roman" w:hAnsi="Arial" w:cs="Arial"/>
          <w:lang w:val="sr-Cyrl-RS"/>
        </w:rPr>
        <w:t>(“</w:t>
      </w:r>
      <w:r w:rsidR="00130513" w:rsidRPr="00270D6B">
        <w:rPr>
          <w:rStyle w:val="Emphasis"/>
          <w:rFonts w:ascii="Arial" w:hAnsi="Arial" w:cs="Arial"/>
        </w:rPr>
        <w:t>Not</w:t>
      </w:r>
      <w:r w:rsidR="00130513" w:rsidRPr="00270D6B">
        <w:rPr>
          <w:rStyle w:val="Emphasis"/>
          <w:rFonts w:ascii="Arial" w:hAnsi="Arial" w:cs="Arial"/>
          <w:lang w:val="sr-Cyrl-RS"/>
        </w:rPr>
        <w:t xml:space="preserve"> </w:t>
      </w:r>
      <w:r w:rsidR="00130513" w:rsidRPr="00270D6B">
        <w:rPr>
          <w:rStyle w:val="Emphasis"/>
          <w:rFonts w:ascii="Arial" w:hAnsi="Arial" w:cs="Arial"/>
        </w:rPr>
        <w:t>in</w:t>
      </w:r>
      <w:r w:rsidR="00130513" w:rsidRPr="00270D6B">
        <w:rPr>
          <w:rStyle w:val="Emphasis"/>
          <w:rFonts w:ascii="Arial" w:hAnsi="Arial" w:cs="Arial"/>
          <w:lang w:val="sr-Cyrl-RS"/>
        </w:rPr>
        <w:t xml:space="preserve"> </w:t>
      </w:r>
      <w:r w:rsidR="00130513" w:rsidRPr="00270D6B">
        <w:rPr>
          <w:rStyle w:val="Emphasis"/>
          <w:rFonts w:ascii="Arial" w:hAnsi="Arial" w:cs="Arial"/>
        </w:rPr>
        <w:t>Education</w:t>
      </w:r>
      <w:r w:rsidR="00130513" w:rsidRPr="00270D6B">
        <w:rPr>
          <w:rStyle w:val="Emphasis"/>
          <w:rFonts w:ascii="Arial" w:hAnsi="Arial" w:cs="Arial"/>
          <w:lang w:val="sr-Cyrl-RS"/>
        </w:rPr>
        <w:t xml:space="preserve">, </w:t>
      </w:r>
      <w:r w:rsidR="00130513" w:rsidRPr="00270D6B">
        <w:rPr>
          <w:rStyle w:val="Emphasis"/>
          <w:rFonts w:ascii="Arial" w:hAnsi="Arial" w:cs="Arial"/>
        </w:rPr>
        <w:t>Employment</w:t>
      </w:r>
      <w:r w:rsidR="00130513" w:rsidRPr="00270D6B">
        <w:rPr>
          <w:rStyle w:val="Emphasis"/>
          <w:rFonts w:ascii="Arial" w:hAnsi="Arial" w:cs="Arial"/>
          <w:lang w:val="sr-Cyrl-RS"/>
        </w:rPr>
        <w:t xml:space="preserve">, </w:t>
      </w:r>
      <w:r w:rsidR="00130513" w:rsidRPr="00270D6B">
        <w:rPr>
          <w:rStyle w:val="Emphasis"/>
          <w:rFonts w:ascii="Arial" w:hAnsi="Arial" w:cs="Arial"/>
        </w:rPr>
        <w:t>or</w:t>
      </w:r>
      <w:r w:rsidR="00130513" w:rsidRPr="00270D6B">
        <w:rPr>
          <w:rStyle w:val="Emphasis"/>
          <w:rFonts w:ascii="Arial" w:hAnsi="Arial" w:cs="Arial"/>
          <w:lang w:val="sr-Cyrl-RS"/>
        </w:rPr>
        <w:t xml:space="preserve"> </w:t>
      </w:r>
      <w:r w:rsidR="00130513" w:rsidRPr="00270D6B">
        <w:rPr>
          <w:rStyle w:val="Emphasis"/>
          <w:rFonts w:ascii="Arial" w:hAnsi="Arial" w:cs="Arial"/>
        </w:rPr>
        <w:t>Training</w:t>
      </w:r>
      <w:r w:rsidR="00130513" w:rsidRPr="00270D6B">
        <w:rPr>
          <w:rStyle w:val="Emphasis"/>
          <w:rFonts w:ascii="Arial" w:hAnsi="Arial" w:cs="Arial"/>
          <w:lang w:val="sr-Cyrl-RS"/>
        </w:rPr>
        <w:t>”</w:t>
      </w:r>
      <w:r w:rsidR="00130513" w:rsidRPr="00270D6B">
        <w:rPr>
          <w:rFonts w:ascii="Arial" w:eastAsia="Times New Roman" w:hAnsi="Arial" w:cs="Arial"/>
          <w:lang w:val="sr-Cyrl-RS"/>
        </w:rPr>
        <w:t>)</w:t>
      </w:r>
      <w:r w:rsidRPr="00270D6B">
        <w:rPr>
          <w:rFonts w:ascii="Arial" w:eastAsia="Times New Roman" w:hAnsi="Arial" w:cs="Arial"/>
          <w:lang w:val="en-GB"/>
        </w:rPr>
        <w:t xml:space="preserve"> rate, representing the share of the young aged 15 to 24 who neither work nor are in the process of education in total population of young amounted to 15.9% and compared to the same period last year it is higher by 1.8 p.</w:t>
      </w:r>
      <w:r w:rsidR="00FE3115">
        <w:rPr>
          <w:rFonts w:ascii="Arial" w:eastAsia="Times New Roman" w:hAnsi="Arial" w:cs="Arial"/>
          <w:lang w:val="en-GB"/>
        </w:rPr>
        <w:t xml:space="preserve"> </w:t>
      </w:r>
      <w:r w:rsidRPr="00270D6B">
        <w:rPr>
          <w:rFonts w:ascii="Arial" w:eastAsia="Times New Roman" w:hAnsi="Arial" w:cs="Arial"/>
          <w:lang w:val="en-GB"/>
        </w:rPr>
        <w:t>p. In the population aged 15 to 29, the NEET rate increased by 2.5 p. p. and in the second quarter of 2020 it was 20.1%</w:t>
      </w:r>
    </w:p>
    <w:p w:rsidR="00E01A97" w:rsidRPr="00270D6B" w:rsidRDefault="00E01A97" w:rsidP="004E711A">
      <w:pPr>
        <w:spacing w:before="480" w:after="120" w:line="264" w:lineRule="auto"/>
        <w:ind w:firstLine="397"/>
        <w:rPr>
          <w:rStyle w:val="IntenseEmphasis"/>
          <w:i w:val="0"/>
          <w:color w:val="003399"/>
          <w:sz w:val="22"/>
          <w:szCs w:val="22"/>
        </w:rPr>
      </w:pPr>
      <w:r w:rsidRPr="00270D6B">
        <w:rPr>
          <w:rStyle w:val="IntenseEmphasis"/>
          <w:i w:val="0"/>
          <w:color w:val="003399"/>
          <w:sz w:val="22"/>
          <w:szCs w:val="22"/>
        </w:rPr>
        <w:t xml:space="preserve">COVID - 19 and additional indicators on </w:t>
      </w:r>
      <w:r w:rsidR="00185079" w:rsidRPr="00270D6B">
        <w:rPr>
          <w:rStyle w:val="IntenseEmphasis"/>
          <w:i w:val="0"/>
          <w:color w:val="003399"/>
          <w:sz w:val="22"/>
          <w:szCs w:val="22"/>
        </w:rPr>
        <w:t>labour</w:t>
      </w:r>
      <w:r w:rsidRPr="00270D6B">
        <w:rPr>
          <w:rStyle w:val="IntenseEmphasis"/>
          <w:i w:val="0"/>
          <w:color w:val="003399"/>
          <w:sz w:val="22"/>
          <w:szCs w:val="22"/>
        </w:rPr>
        <w:t xml:space="preserve"> market trends</w:t>
      </w:r>
    </w:p>
    <w:p w:rsidR="00E01A97" w:rsidRPr="00270D6B" w:rsidRDefault="00E01A97" w:rsidP="0023292A">
      <w:pPr>
        <w:pStyle w:val="ListParagraph"/>
        <w:spacing w:before="120" w:after="120" w:line="264" w:lineRule="auto"/>
        <w:ind w:left="0" w:firstLine="397"/>
        <w:contextualSpacing w:val="0"/>
        <w:jc w:val="both"/>
        <w:rPr>
          <w:rFonts w:ascii="Arial" w:eastAsia="Times New Roman" w:hAnsi="Arial" w:cs="Arial"/>
          <w:sz w:val="20"/>
          <w:szCs w:val="20"/>
          <w:lang w:val="en-GB"/>
        </w:rPr>
      </w:pPr>
      <w:r w:rsidRPr="00270D6B">
        <w:rPr>
          <w:rFonts w:ascii="Arial" w:eastAsia="Times New Roman" w:hAnsi="Arial" w:cs="Arial"/>
          <w:sz w:val="20"/>
          <w:szCs w:val="20"/>
          <w:lang w:val="en-GB"/>
        </w:rPr>
        <w:t xml:space="preserve">In the second quarter of 2020, changes in the </w:t>
      </w:r>
      <w:r w:rsidR="00185079" w:rsidRPr="00270D6B">
        <w:rPr>
          <w:rFonts w:ascii="Arial" w:eastAsia="Times New Roman" w:hAnsi="Arial" w:cs="Arial"/>
          <w:sz w:val="20"/>
          <w:szCs w:val="20"/>
          <w:lang w:val="en-GB"/>
        </w:rPr>
        <w:t>labour</w:t>
      </w:r>
      <w:r w:rsidRPr="00270D6B">
        <w:rPr>
          <w:rFonts w:ascii="Arial" w:eastAsia="Times New Roman" w:hAnsi="Arial" w:cs="Arial"/>
          <w:sz w:val="20"/>
          <w:szCs w:val="20"/>
          <w:lang w:val="en-GB"/>
        </w:rPr>
        <w:t xml:space="preserve"> market were more affected by the COVID-19 </w:t>
      </w:r>
      <w:r w:rsidR="003E08CB" w:rsidRPr="00270D6B">
        <w:rPr>
          <w:rFonts w:ascii="Arial" w:eastAsia="Times New Roman" w:hAnsi="Arial" w:cs="Arial"/>
          <w:sz w:val="20"/>
          <w:szCs w:val="20"/>
          <w:lang w:val="en-GB"/>
        </w:rPr>
        <w:t>pandemic</w:t>
      </w:r>
      <w:r w:rsidRPr="00270D6B">
        <w:rPr>
          <w:rFonts w:ascii="Arial" w:eastAsia="Times New Roman" w:hAnsi="Arial" w:cs="Arial"/>
          <w:sz w:val="20"/>
          <w:szCs w:val="20"/>
          <w:lang w:val="en-GB"/>
        </w:rPr>
        <w:t xml:space="preserve"> and the measures of the</w:t>
      </w:r>
      <w:r w:rsidR="00274B5E" w:rsidRPr="00270D6B">
        <w:rPr>
          <w:rFonts w:ascii="Arial" w:eastAsia="Times New Roman" w:hAnsi="Arial" w:cs="Arial"/>
          <w:sz w:val="20"/>
          <w:szCs w:val="20"/>
          <w:lang w:val="en-GB"/>
        </w:rPr>
        <w:t xml:space="preserve"> </w:t>
      </w:r>
      <w:r w:rsidRPr="00270D6B">
        <w:rPr>
          <w:rFonts w:ascii="Arial" w:eastAsia="Times New Roman" w:hAnsi="Arial" w:cs="Arial"/>
          <w:sz w:val="20"/>
          <w:szCs w:val="20"/>
          <w:lang w:val="en-GB"/>
        </w:rPr>
        <w:t xml:space="preserve">Government </w:t>
      </w:r>
      <w:r w:rsidR="00274B5E" w:rsidRPr="00270D6B">
        <w:rPr>
          <w:rFonts w:ascii="Arial" w:eastAsia="Times New Roman" w:hAnsi="Arial" w:cs="Arial"/>
          <w:sz w:val="20"/>
          <w:szCs w:val="20"/>
          <w:lang w:val="en-GB"/>
        </w:rPr>
        <w:t>of the RS</w:t>
      </w:r>
      <w:r w:rsidR="005E1A17" w:rsidRPr="00270D6B">
        <w:rPr>
          <w:rFonts w:ascii="Arial" w:eastAsia="Times New Roman" w:hAnsi="Arial" w:cs="Arial"/>
          <w:sz w:val="20"/>
          <w:szCs w:val="20"/>
          <w:lang w:val="en-GB"/>
        </w:rPr>
        <w:t>,</w:t>
      </w:r>
      <w:r w:rsidR="00274B5E" w:rsidRPr="00270D6B">
        <w:rPr>
          <w:rFonts w:ascii="Arial" w:eastAsia="Times New Roman" w:hAnsi="Arial" w:cs="Arial"/>
          <w:sz w:val="20"/>
          <w:szCs w:val="20"/>
          <w:lang w:val="en-GB"/>
        </w:rPr>
        <w:t xml:space="preserve"> </w:t>
      </w:r>
      <w:r w:rsidRPr="00270D6B">
        <w:rPr>
          <w:rFonts w:ascii="Arial" w:eastAsia="Times New Roman" w:hAnsi="Arial" w:cs="Arial"/>
          <w:sz w:val="20"/>
          <w:szCs w:val="20"/>
          <w:lang w:val="en-GB"/>
        </w:rPr>
        <w:t>introduced in the first quarter of 2020</w:t>
      </w:r>
      <w:r w:rsidR="005E1A17" w:rsidRPr="00270D6B">
        <w:rPr>
          <w:rFonts w:ascii="Arial" w:eastAsia="Times New Roman" w:hAnsi="Arial" w:cs="Arial"/>
          <w:sz w:val="20"/>
          <w:szCs w:val="20"/>
          <w:lang w:val="en-GB"/>
        </w:rPr>
        <w:t>,</w:t>
      </w:r>
      <w:r w:rsidRPr="00270D6B">
        <w:rPr>
          <w:rFonts w:ascii="Arial" w:eastAsia="Times New Roman" w:hAnsi="Arial" w:cs="Arial"/>
          <w:sz w:val="20"/>
          <w:szCs w:val="20"/>
          <w:lang w:val="en-GB"/>
        </w:rPr>
        <w:t xml:space="preserve"> in order to maintain economic stability. In such situation, classic definitions of employment and unemployment (according to the definition of the International </w:t>
      </w:r>
      <w:r w:rsidR="00185079" w:rsidRPr="00270D6B">
        <w:rPr>
          <w:rFonts w:ascii="Arial" w:eastAsia="Times New Roman" w:hAnsi="Arial" w:cs="Arial"/>
          <w:sz w:val="20"/>
          <w:szCs w:val="20"/>
          <w:lang w:val="en-GB"/>
        </w:rPr>
        <w:t>Labour</w:t>
      </w:r>
      <w:r w:rsidRPr="00270D6B">
        <w:rPr>
          <w:rFonts w:ascii="Arial" w:eastAsia="Times New Roman" w:hAnsi="Arial" w:cs="Arial"/>
          <w:sz w:val="20"/>
          <w:szCs w:val="20"/>
          <w:lang w:val="en-GB"/>
        </w:rPr>
        <w:t xml:space="preserve"> Organization - ILO) are not </w:t>
      </w:r>
      <w:r w:rsidR="000F1049" w:rsidRPr="000F1049">
        <w:rPr>
          <w:rFonts w:ascii="Arial" w:eastAsia="Times New Roman" w:hAnsi="Arial" w:cs="Arial"/>
          <w:sz w:val="20"/>
          <w:szCs w:val="20"/>
          <w:lang w:val="en-GB"/>
        </w:rPr>
        <w:t>sufficient</w:t>
      </w:r>
      <w:r w:rsidRPr="00270D6B">
        <w:rPr>
          <w:rFonts w:ascii="Arial" w:eastAsia="Times New Roman" w:hAnsi="Arial" w:cs="Arial"/>
          <w:sz w:val="20"/>
          <w:szCs w:val="20"/>
          <w:lang w:val="en-GB"/>
        </w:rPr>
        <w:t xml:space="preserve"> to describe all the changes that have taken place in the </w:t>
      </w:r>
      <w:r w:rsidR="00185079" w:rsidRPr="00270D6B">
        <w:rPr>
          <w:rFonts w:ascii="Arial" w:eastAsia="Times New Roman" w:hAnsi="Arial" w:cs="Arial"/>
          <w:sz w:val="20"/>
          <w:szCs w:val="20"/>
          <w:lang w:val="en-GB"/>
        </w:rPr>
        <w:t>labour</w:t>
      </w:r>
      <w:r w:rsidRPr="00270D6B">
        <w:rPr>
          <w:rFonts w:ascii="Arial" w:eastAsia="Times New Roman" w:hAnsi="Arial" w:cs="Arial"/>
          <w:sz w:val="20"/>
          <w:szCs w:val="20"/>
          <w:lang w:val="en-GB"/>
        </w:rPr>
        <w:t xml:space="preserve"> market.</w:t>
      </w:r>
      <w:r w:rsidR="006C5E33" w:rsidRPr="00270D6B">
        <w:rPr>
          <w:rFonts w:ascii="Arial" w:eastAsia="Times New Roman" w:hAnsi="Arial" w:cs="Arial"/>
          <w:sz w:val="20"/>
          <w:szCs w:val="20"/>
          <w:lang w:val="en-GB"/>
        </w:rPr>
        <w:t xml:space="preserve"> In the</w:t>
      </w:r>
      <w:r w:rsidR="0078778C" w:rsidRPr="00270D6B">
        <w:rPr>
          <w:rFonts w:ascii="Arial" w:eastAsia="Times New Roman" w:hAnsi="Arial" w:cs="Arial"/>
          <w:sz w:val="20"/>
          <w:szCs w:val="20"/>
        </w:rPr>
        <w:t xml:space="preserve"> begi</w:t>
      </w:r>
      <w:r w:rsidR="00C535DF" w:rsidRPr="00270D6B">
        <w:rPr>
          <w:rFonts w:ascii="Arial" w:eastAsia="Times New Roman" w:hAnsi="Arial" w:cs="Arial"/>
          <w:sz w:val="20"/>
          <w:szCs w:val="20"/>
        </w:rPr>
        <w:t>n</w:t>
      </w:r>
      <w:r w:rsidR="0078778C" w:rsidRPr="00270D6B">
        <w:rPr>
          <w:rFonts w:ascii="Arial" w:eastAsia="Times New Roman" w:hAnsi="Arial" w:cs="Arial"/>
          <w:sz w:val="20"/>
          <w:szCs w:val="20"/>
        </w:rPr>
        <w:t>ning</w:t>
      </w:r>
      <w:r w:rsidR="006C5E33" w:rsidRPr="00270D6B">
        <w:rPr>
          <w:rFonts w:ascii="Arial" w:eastAsia="Times New Roman" w:hAnsi="Arial" w:cs="Arial"/>
          <w:sz w:val="20"/>
          <w:szCs w:val="20"/>
          <w:lang w:val="en-GB"/>
        </w:rPr>
        <w:t xml:space="preserve">, the Government's measures to mitigate </w:t>
      </w:r>
      <w:r w:rsidR="004306C2" w:rsidRPr="00270D6B">
        <w:rPr>
          <w:rFonts w:ascii="Arial" w:eastAsia="Times New Roman" w:hAnsi="Arial" w:cs="Arial"/>
          <w:sz w:val="20"/>
          <w:szCs w:val="20"/>
          <w:lang w:val="en-GB"/>
        </w:rPr>
        <w:t>con</w:t>
      </w:r>
      <w:r w:rsidR="00826CD4" w:rsidRPr="00270D6B">
        <w:rPr>
          <w:rFonts w:ascii="Arial" w:eastAsia="Times New Roman" w:hAnsi="Arial" w:cs="Arial"/>
          <w:sz w:val="20"/>
          <w:szCs w:val="20"/>
          <w:lang w:val="en-GB"/>
        </w:rPr>
        <w:t>s</w:t>
      </w:r>
      <w:r w:rsidR="004306C2" w:rsidRPr="00270D6B">
        <w:rPr>
          <w:rFonts w:ascii="Arial" w:eastAsia="Times New Roman" w:hAnsi="Arial" w:cs="Arial"/>
          <w:sz w:val="20"/>
          <w:szCs w:val="20"/>
          <w:lang w:val="en-GB"/>
        </w:rPr>
        <w:t>equences</w:t>
      </w:r>
      <w:r w:rsidR="006C5E33" w:rsidRPr="00270D6B">
        <w:rPr>
          <w:rFonts w:ascii="Arial" w:eastAsia="Times New Roman" w:hAnsi="Arial" w:cs="Arial"/>
          <w:sz w:val="20"/>
          <w:szCs w:val="20"/>
          <w:lang w:val="en-GB"/>
        </w:rPr>
        <w:t xml:space="preserve"> </w:t>
      </w:r>
      <w:r w:rsidR="004306C2" w:rsidRPr="00270D6B">
        <w:rPr>
          <w:rFonts w:ascii="Arial" w:eastAsia="Times New Roman" w:hAnsi="Arial" w:cs="Arial"/>
          <w:sz w:val="20"/>
          <w:szCs w:val="20"/>
          <w:lang w:val="en-GB"/>
        </w:rPr>
        <w:t>of</w:t>
      </w:r>
      <w:r w:rsidR="006C5E33" w:rsidRPr="00270D6B">
        <w:rPr>
          <w:rFonts w:ascii="Arial" w:eastAsia="Times New Roman" w:hAnsi="Arial" w:cs="Arial"/>
          <w:sz w:val="20"/>
          <w:szCs w:val="20"/>
          <w:lang w:val="en-GB"/>
        </w:rPr>
        <w:t xml:space="preserve"> the pandemic prevented the loss of jobs. The percentage of employees who were absent from work or worked from home increased. </w:t>
      </w:r>
      <w:r w:rsidR="00357281">
        <w:rPr>
          <w:rFonts w:ascii="Arial" w:eastAsia="Times New Roman" w:hAnsi="Arial" w:cs="Arial"/>
          <w:sz w:val="20"/>
          <w:szCs w:val="20"/>
          <w:lang w:val="sr-Cyrl-RS"/>
        </w:rPr>
        <w:t>Newly formed</w:t>
      </w:r>
      <w:r w:rsidR="006C5E33" w:rsidRPr="00270D6B">
        <w:rPr>
          <w:rFonts w:ascii="Arial" w:eastAsia="Times New Roman" w:hAnsi="Arial" w:cs="Arial"/>
          <w:sz w:val="20"/>
          <w:szCs w:val="20"/>
          <w:lang w:val="en-GB"/>
        </w:rPr>
        <w:t xml:space="preserve"> economic crisis has also led to a reduction in unemployment because individuals who could not look for </w:t>
      </w:r>
      <w:r w:rsidR="00274B5E" w:rsidRPr="00270D6B">
        <w:rPr>
          <w:rFonts w:ascii="Arial" w:eastAsia="Times New Roman" w:hAnsi="Arial" w:cs="Arial"/>
          <w:sz w:val="20"/>
          <w:szCs w:val="20"/>
          <w:lang w:val="en-GB"/>
        </w:rPr>
        <w:t>job</w:t>
      </w:r>
      <w:r w:rsidR="006C5E33" w:rsidRPr="00270D6B">
        <w:rPr>
          <w:rFonts w:ascii="Arial" w:eastAsia="Times New Roman" w:hAnsi="Arial" w:cs="Arial"/>
          <w:sz w:val="20"/>
          <w:szCs w:val="20"/>
          <w:lang w:val="en-GB"/>
        </w:rPr>
        <w:t xml:space="preserve"> or were unable to start work</w:t>
      </w:r>
      <w:r w:rsidR="00422F43" w:rsidRPr="00270D6B">
        <w:rPr>
          <w:rFonts w:ascii="Arial" w:eastAsia="Times New Roman" w:hAnsi="Arial" w:cs="Arial"/>
          <w:sz w:val="20"/>
          <w:szCs w:val="20"/>
          <w:lang w:val="en-GB"/>
        </w:rPr>
        <w:t>ing</w:t>
      </w:r>
      <w:r w:rsidR="006C5E33" w:rsidRPr="00270D6B">
        <w:rPr>
          <w:rFonts w:ascii="Arial" w:eastAsia="Times New Roman" w:hAnsi="Arial" w:cs="Arial"/>
          <w:sz w:val="20"/>
          <w:szCs w:val="20"/>
          <w:lang w:val="en-GB"/>
        </w:rPr>
        <w:t xml:space="preserve"> due to measures </w:t>
      </w:r>
      <w:r w:rsidR="00422F43" w:rsidRPr="00270D6B">
        <w:rPr>
          <w:rFonts w:ascii="Arial" w:eastAsia="Times New Roman" w:hAnsi="Arial" w:cs="Arial"/>
          <w:sz w:val="20"/>
          <w:szCs w:val="20"/>
          <w:lang w:val="en-GB"/>
        </w:rPr>
        <w:t>for</w:t>
      </w:r>
      <w:r w:rsidR="006C5E33" w:rsidRPr="00270D6B">
        <w:rPr>
          <w:rFonts w:ascii="Arial" w:eastAsia="Times New Roman" w:hAnsi="Arial" w:cs="Arial"/>
          <w:sz w:val="20"/>
          <w:szCs w:val="20"/>
          <w:lang w:val="en-GB"/>
        </w:rPr>
        <w:t xml:space="preserve"> prevent</w:t>
      </w:r>
      <w:r w:rsidR="00422F43" w:rsidRPr="00270D6B">
        <w:rPr>
          <w:rFonts w:ascii="Arial" w:eastAsia="Times New Roman" w:hAnsi="Arial" w:cs="Arial"/>
          <w:sz w:val="20"/>
          <w:szCs w:val="20"/>
          <w:lang w:val="en-GB"/>
        </w:rPr>
        <w:t>ing</w:t>
      </w:r>
      <w:r w:rsidR="006C5E33" w:rsidRPr="00270D6B">
        <w:rPr>
          <w:rFonts w:ascii="Arial" w:eastAsia="Times New Roman" w:hAnsi="Arial" w:cs="Arial"/>
          <w:sz w:val="20"/>
          <w:szCs w:val="20"/>
          <w:lang w:val="en-GB"/>
        </w:rPr>
        <w:t xml:space="preserve"> the spread of the virus are </w:t>
      </w:r>
      <w:r w:rsidR="00422F43" w:rsidRPr="00270D6B">
        <w:rPr>
          <w:rFonts w:ascii="Arial" w:eastAsia="Times New Roman" w:hAnsi="Arial" w:cs="Arial"/>
          <w:sz w:val="20"/>
          <w:szCs w:val="20"/>
          <w:lang w:val="en-GB"/>
        </w:rPr>
        <w:t xml:space="preserve">not </w:t>
      </w:r>
      <w:r w:rsidR="006C5E33" w:rsidRPr="00270D6B">
        <w:rPr>
          <w:rFonts w:ascii="Arial" w:eastAsia="Times New Roman" w:hAnsi="Arial" w:cs="Arial"/>
          <w:sz w:val="20"/>
          <w:szCs w:val="20"/>
          <w:lang w:val="en-GB"/>
        </w:rPr>
        <w:t>considered unemployed (according to the ILO concept)</w:t>
      </w:r>
      <w:r w:rsidR="00422F43" w:rsidRPr="00270D6B">
        <w:rPr>
          <w:rFonts w:ascii="Arial" w:eastAsia="Times New Roman" w:hAnsi="Arial" w:cs="Arial"/>
          <w:sz w:val="20"/>
          <w:szCs w:val="20"/>
          <w:lang w:val="en-GB"/>
        </w:rPr>
        <w:t>,</w:t>
      </w:r>
      <w:r w:rsidR="006C5E33" w:rsidRPr="00270D6B">
        <w:rPr>
          <w:rFonts w:ascii="Arial" w:eastAsia="Times New Roman" w:hAnsi="Arial" w:cs="Arial"/>
          <w:sz w:val="20"/>
          <w:szCs w:val="20"/>
          <w:lang w:val="en-GB"/>
        </w:rPr>
        <w:t xml:space="preserve"> </w:t>
      </w:r>
      <w:r w:rsidR="00422F43" w:rsidRPr="00270D6B">
        <w:rPr>
          <w:rFonts w:ascii="Arial" w:eastAsia="Times New Roman" w:hAnsi="Arial" w:cs="Arial"/>
          <w:sz w:val="20"/>
          <w:szCs w:val="20"/>
          <w:lang w:val="en-GB"/>
        </w:rPr>
        <w:t>but</w:t>
      </w:r>
      <w:r w:rsidR="006C5E33" w:rsidRPr="00270D6B">
        <w:rPr>
          <w:rFonts w:ascii="Arial" w:eastAsia="Times New Roman" w:hAnsi="Arial" w:cs="Arial"/>
          <w:sz w:val="20"/>
          <w:szCs w:val="20"/>
          <w:lang w:val="en-GB"/>
        </w:rPr>
        <w:t xml:space="preserve"> inactive.</w:t>
      </w:r>
    </w:p>
    <w:p w:rsidR="00422F43" w:rsidRPr="00270D6B" w:rsidRDefault="00422F43" w:rsidP="0023292A">
      <w:pPr>
        <w:pStyle w:val="ListParagraph"/>
        <w:spacing w:before="120" w:after="120" w:line="264" w:lineRule="auto"/>
        <w:ind w:left="0" w:firstLine="397"/>
        <w:contextualSpacing w:val="0"/>
        <w:jc w:val="both"/>
        <w:rPr>
          <w:rFonts w:ascii="Arial" w:hAnsi="Arial" w:cs="Arial"/>
          <w:sz w:val="20"/>
          <w:szCs w:val="20"/>
          <w:lang w:val="en-GB"/>
        </w:rPr>
      </w:pPr>
      <w:r w:rsidRPr="00270D6B">
        <w:rPr>
          <w:rFonts w:ascii="Arial" w:hAnsi="Arial" w:cs="Arial"/>
          <w:sz w:val="20"/>
          <w:szCs w:val="20"/>
          <w:lang w:val="en-GB"/>
        </w:rPr>
        <w:t xml:space="preserve">In accordance with the recommendations of the European Statistical Organization - Eurostat, in this Communication special attention is paid to additional indicators in order to present in more detail the latest developments in the </w:t>
      </w:r>
      <w:r w:rsidR="00185079" w:rsidRPr="00270D6B">
        <w:rPr>
          <w:rFonts w:ascii="Arial" w:hAnsi="Arial" w:cs="Arial"/>
          <w:sz w:val="20"/>
          <w:szCs w:val="20"/>
          <w:lang w:val="en-GB"/>
        </w:rPr>
        <w:t>labour</w:t>
      </w:r>
      <w:r w:rsidRPr="00270D6B">
        <w:rPr>
          <w:rFonts w:ascii="Arial" w:hAnsi="Arial" w:cs="Arial"/>
          <w:sz w:val="20"/>
          <w:szCs w:val="20"/>
          <w:lang w:val="en-GB"/>
        </w:rPr>
        <w:t xml:space="preserve"> market. These additional indicators </w:t>
      </w:r>
      <w:r w:rsidR="000F1049">
        <w:rPr>
          <w:rFonts w:ascii="Arial" w:hAnsi="Arial" w:cs="Arial"/>
          <w:sz w:val="20"/>
          <w:szCs w:val="20"/>
          <w:lang w:val="en-GB"/>
        </w:rPr>
        <w:t xml:space="preserve">are </w:t>
      </w:r>
      <w:r w:rsidRPr="00270D6B">
        <w:rPr>
          <w:rFonts w:ascii="Arial" w:hAnsi="Arial" w:cs="Arial"/>
          <w:sz w:val="20"/>
          <w:szCs w:val="20"/>
          <w:lang w:val="en-GB"/>
        </w:rPr>
        <w:t>relate</w:t>
      </w:r>
      <w:r w:rsidR="000F1049">
        <w:rPr>
          <w:rFonts w:ascii="Arial" w:hAnsi="Arial" w:cs="Arial"/>
          <w:sz w:val="20"/>
          <w:szCs w:val="20"/>
          <w:lang w:val="en-GB"/>
        </w:rPr>
        <w:t>d</w:t>
      </w:r>
      <w:r w:rsidRPr="00270D6B">
        <w:rPr>
          <w:rFonts w:ascii="Arial" w:hAnsi="Arial" w:cs="Arial"/>
          <w:sz w:val="20"/>
          <w:szCs w:val="20"/>
          <w:lang w:val="en-GB"/>
        </w:rPr>
        <w:t xml:space="preserve"> to total </w:t>
      </w:r>
      <w:r w:rsidR="00185079" w:rsidRPr="00270D6B">
        <w:rPr>
          <w:rFonts w:ascii="Arial" w:hAnsi="Arial" w:cs="Arial"/>
          <w:sz w:val="20"/>
          <w:szCs w:val="20"/>
          <w:lang w:val="en-GB"/>
        </w:rPr>
        <w:t>labour</w:t>
      </w:r>
      <w:r w:rsidRPr="00270D6B">
        <w:rPr>
          <w:rFonts w:ascii="Arial" w:hAnsi="Arial" w:cs="Arial"/>
          <w:sz w:val="20"/>
          <w:szCs w:val="20"/>
          <w:lang w:val="en-GB"/>
        </w:rPr>
        <w:t xml:space="preserve"> market slack, </w:t>
      </w:r>
      <w:r w:rsidR="00451F6D">
        <w:rPr>
          <w:rFonts w:ascii="Arial" w:hAnsi="Arial" w:cs="Arial"/>
          <w:sz w:val="20"/>
          <w:szCs w:val="20"/>
          <w:lang w:val="en-GB"/>
        </w:rPr>
        <w:t>absence from work</w:t>
      </w:r>
      <w:r w:rsidRPr="00270D6B">
        <w:rPr>
          <w:rFonts w:ascii="Arial" w:hAnsi="Arial" w:cs="Arial"/>
          <w:sz w:val="20"/>
          <w:szCs w:val="20"/>
          <w:lang w:val="en-GB"/>
        </w:rPr>
        <w:t xml:space="preserve">, work from home and </w:t>
      </w:r>
      <w:r w:rsidR="00DB03FC">
        <w:rPr>
          <w:rFonts w:ascii="Arial" w:hAnsi="Arial" w:cs="Arial"/>
          <w:sz w:val="20"/>
          <w:szCs w:val="20"/>
          <w:lang w:val="en-GB"/>
        </w:rPr>
        <w:t xml:space="preserve">actual </w:t>
      </w:r>
      <w:r w:rsidRPr="00270D6B">
        <w:rPr>
          <w:rFonts w:ascii="Arial" w:hAnsi="Arial" w:cs="Arial"/>
          <w:sz w:val="20"/>
          <w:szCs w:val="20"/>
          <w:lang w:val="en-GB"/>
        </w:rPr>
        <w:t>hours worked.</w:t>
      </w:r>
    </w:p>
    <w:p w:rsidR="00F445CF" w:rsidRPr="00270D6B" w:rsidRDefault="00185079" w:rsidP="0023292A">
      <w:pPr>
        <w:pStyle w:val="ListParagraph"/>
        <w:spacing w:before="120" w:after="120" w:line="264" w:lineRule="auto"/>
        <w:ind w:left="0" w:firstLine="397"/>
        <w:contextualSpacing w:val="0"/>
        <w:jc w:val="both"/>
        <w:rPr>
          <w:rFonts w:ascii="Arial" w:hAnsi="Arial" w:cs="Arial"/>
          <w:sz w:val="20"/>
          <w:szCs w:val="20"/>
          <w:lang w:val="en-GB"/>
        </w:rPr>
      </w:pPr>
      <w:r w:rsidRPr="00270D6B">
        <w:rPr>
          <w:rFonts w:ascii="Arial" w:hAnsi="Arial" w:cs="Arial"/>
          <w:b/>
          <w:sz w:val="20"/>
          <w:szCs w:val="20"/>
          <w:lang w:val="en-GB"/>
        </w:rPr>
        <w:t>Labour</w:t>
      </w:r>
      <w:r w:rsidR="00422F43" w:rsidRPr="00270D6B">
        <w:rPr>
          <w:rFonts w:ascii="Arial" w:hAnsi="Arial" w:cs="Arial"/>
          <w:b/>
          <w:sz w:val="20"/>
          <w:szCs w:val="20"/>
          <w:lang w:val="en-GB"/>
        </w:rPr>
        <w:t xml:space="preserve"> market slack</w:t>
      </w:r>
      <w:r w:rsidR="00422F43" w:rsidRPr="00270D6B">
        <w:rPr>
          <w:rFonts w:ascii="Arial" w:hAnsi="Arial" w:cs="Arial"/>
          <w:sz w:val="20"/>
          <w:szCs w:val="20"/>
          <w:lang w:val="en-GB"/>
        </w:rPr>
        <w:t xml:space="preserve"> represents the participation of 1) the unemployed, 2) employees who work less than full time and would like to work more, 3) those who are looking for a job but cannot work and 4) those who can work </w:t>
      </w:r>
      <w:r w:rsidR="00422F43" w:rsidRPr="00270D6B">
        <w:rPr>
          <w:rFonts w:ascii="Arial" w:hAnsi="Arial" w:cs="Arial"/>
          <w:sz w:val="20"/>
          <w:szCs w:val="20"/>
          <w:lang w:val="en-GB"/>
        </w:rPr>
        <w:lastRenderedPageBreak/>
        <w:t xml:space="preserve">but do not look for </w:t>
      </w:r>
      <w:r w:rsidR="00274B5E" w:rsidRPr="00270D6B">
        <w:rPr>
          <w:rFonts w:ascii="Arial" w:hAnsi="Arial" w:cs="Arial"/>
          <w:sz w:val="20"/>
          <w:szCs w:val="20"/>
          <w:lang w:val="en-GB"/>
        </w:rPr>
        <w:t>job</w:t>
      </w:r>
      <w:r w:rsidR="00422F43" w:rsidRPr="00270D6B">
        <w:rPr>
          <w:rFonts w:ascii="Arial" w:hAnsi="Arial" w:cs="Arial"/>
          <w:sz w:val="20"/>
          <w:szCs w:val="20"/>
          <w:lang w:val="en-GB"/>
        </w:rPr>
        <w:t>; in an ex</w:t>
      </w:r>
      <w:r w:rsidR="00690346" w:rsidRPr="00270D6B">
        <w:rPr>
          <w:rFonts w:ascii="Arial" w:hAnsi="Arial" w:cs="Arial"/>
          <w:sz w:val="20"/>
          <w:szCs w:val="20"/>
          <w:lang w:val="en-GB"/>
        </w:rPr>
        <w:t>te</w:t>
      </w:r>
      <w:r w:rsidR="00422F43" w:rsidRPr="00270D6B">
        <w:rPr>
          <w:rFonts w:ascii="Arial" w:hAnsi="Arial" w:cs="Arial"/>
          <w:sz w:val="20"/>
          <w:szCs w:val="20"/>
          <w:lang w:val="en-GB"/>
        </w:rPr>
        <w:t>nded labour</w:t>
      </w:r>
      <w:r w:rsidR="004D7487" w:rsidRPr="00270D6B">
        <w:rPr>
          <w:rFonts w:ascii="Arial" w:hAnsi="Arial" w:cs="Arial"/>
          <w:sz w:val="20"/>
          <w:szCs w:val="20"/>
          <w:lang w:val="en-GB"/>
        </w:rPr>
        <w:t xml:space="preserve"> </w:t>
      </w:r>
      <w:r w:rsidR="00422F43" w:rsidRPr="00270D6B">
        <w:rPr>
          <w:rFonts w:ascii="Arial" w:hAnsi="Arial" w:cs="Arial"/>
          <w:sz w:val="20"/>
          <w:szCs w:val="20"/>
          <w:lang w:val="en-GB"/>
        </w:rPr>
        <w:t>force</w:t>
      </w:r>
      <w:r w:rsidR="003840A6" w:rsidRPr="00270D6B">
        <w:rPr>
          <w:rFonts w:ascii="Arial" w:hAnsi="Arial" w:cs="Arial"/>
          <w:sz w:val="20"/>
          <w:szCs w:val="20"/>
          <w:lang w:val="en-GB"/>
        </w:rPr>
        <w:t>, where the ex</w:t>
      </w:r>
      <w:r w:rsidR="00690346" w:rsidRPr="00270D6B">
        <w:rPr>
          <w:rFonts w:ascii="Arial" w:hAnsi="Arial" w:cs="Arial"/>
          <w:sz w:val="20"/>
          <w:szCs w:val="20"/>
          <w:lang w:val="en-GB"/>
        </w:rPr>
        <w:t>te</w:t>
      </w:r>
      <w:r w:rsidR="003840A6" w:rsidRPr="00270D6B">
        <w:rPr>
          <w:rFonts w:ascii="Arial" w:hAnsi="Arial" w:cs="Arial"/>
          <w:sz w:val="20"/>
          <w:szCs w:val="20"/>
          <w:lang w:val="en-GB"/>
        </w:rPr>
        <w:t xml:space="preserve">nded labour force </w:t>
      </w:r>
      <w:r w:rsidR="00ED4B9F" w:rsidRPr="00270D6B">
        <w:rPr>
          <w:rFonts w:ascii="Arial" w:hAnsi="Arial" w:cs="Arial"/>
          <w:sz w:val="20"/>
          <w:szCs w:val="20"/>
          <w:lang w:val="en-GB"/>
        </w:rPr>
        <w:t>include</w:t>
      </w:r>
      <w:r w:rsidR="003840A6" w:rsidRPr="00270D6B">
        <w:rPr>
          <w:rFonts w:ascii="Arial" w:hAnsi="Arial" w:cs="Arial"/>
          <w:sz w:val="20"/>
          <w:szCs w:val="20"/>
          <w:lang w:val="en-GB"/>
        </w:rPr>
        <w:t>s employed and unemployed persons together with potential labour force (those who are looking for a job but cannot work and those who can work but do not look for job)</w:t>
      </w:r>
      <w:r w:rsidR="00422F43" w:rsidRPr="00270D6B">
        <w:rPr>
          <w:rFonts w:ascii="Arial" w:hAnsi="Arial" w:cs="Arial"/>
          <w:sz w:val="20"/>
          <w:szCs w:val="20"/>
          <w:lang w:val="en-GB"/>
        </w:rPr>
        <w:t>.</w:t>
      </w:r>
      <w:r w:rsidR="00264FED" w:rsidRPr="00270D6B">
        <w:rPr>
          <w:rFonts w:ascii="Arial" w:hAnsi="Arial" w:cs="Arial"/>
          <w:sz w:val="20"/>
          <w:szCs w:val="20"/>
          <w:lang w:val="en-GB"/>
        </w:rPr>
        <w:t xml:space="preserve"> </w:t>
      </w:r>
    </w:p>
    <w:p w:rsidR="00F445CF" w:rsidRPr="00270D6B" w:rsidRDefault="00185079" w:rsidP="0023292A">
      <w:pPr>
        <w:pStyle w:val="ListParagraph"/>
        <w:spacing w:before="120" w:after="120" w:line="264" w:lineRule="auto"/>
        <w:ind w:left="0" w:firstLine="397"/>
        <w:contextualSpacing w:val="0"/>
        <w:jc w:val="both"/>
        <w:rPr>
          <w:rFonts w:ascii="Arial" w:hAnsi="Arial" w:cs="Arial"/>
          <w:sz w:val="20"/>
          <w:szCs w:val="20"/>
          <w:lang w:val="en-GB"/>
        </w:rPr>
      </w:pPr>
      <w:r w:rsidRPr="00270D6B">
        <w:rPr>
          <w:rFonts w:ascii="Arial" w:hAnsi="Arial" w:cs="Arial"/>
          <w:sz w:val="20"/>
          <w:szCs w:val="20"/>
          <w:lang w:val="en-GB"/>
        </w:rPr>
        <w:t>Labour</w:t>
      </w:r>
      <w:r w:rsidR="00264FED" w:rsidRPr="00270D6B">
        <w:rPr>
          <w:rFonts w:ascii="Arial" w:hAnsi="Arial" w:cs="Arial"/>
          <w:sz w:val="20"/>
          <w:szCs w:val="20"/>
          <w:lang w:val="en-GB"/>
        </w:rPr>
        <w:t xml:space="preserve"> market slack</w:t>
      </w:r>
      <w:r w:rsidR="00422F43" w:rsidRPr="00270D6B">
        <w:rPr>
          <w:rFonts w:ascii="Arial" w:eastAsia="Times New Roman" w:hAnsi="Arial" w:cs="Arial"/>
          <w:sz w:val="20"/>
          <w:szCs w:val="20"/>
          <w:lang w:val="en-GB"/>
        </w:rPr>
        <w:t xml:space="preserve"> in the second quarter of 2020 amounted to 19.9% and compared to the same period last year</w:t>
      </w:r>
      <w:r w:rsidR="00264FED" w:rsidRPr="00270D6B">
        <w:rPr>
          <w:rFonts w:ascii="Arial" w:eastAsia="Times New Roman" w:hAnsi="Arial" w:cs="Arial"/>
          <w:sz w:val="20"/>
          <w:szCs w:val="20"/>
          <w:lang w:val="en-GB"/>
        </w:rPr>
        <w:t>,</w:t>
      </w:r>
      <w:r w:rsidR="00422F43" w:rsidRPr="00270D6B">
        <w:rPr>
          <w:rFonts w:ascii="Arial" w:eastAsia="Times New Roman" w:hAnsi="Arial" w:cs="Arial"/>
          <w:sz w:val="20"/>
          <w:szCs w:val="20"/>
          <w:lang w:val="en-GB"/>
        </w:rPr>
        <w:t xml:space="preserve"> it was higher by 0.4 percentage points</w:t>
      </w:r>
      <w:r w:rsidR="00264FED" w:rsidRPr="00270D6B">
        <w:rPr>
          <w:rFonts w:ascii="Arial" w:eastAsia="Times New Roman" w:hAnsi="Arial" w:cs="Arial"/>
          <w:sz w:val="20"/>
          <w:szCs w:val="20"/>
          <w:lang w:val="en-GB"/>
        </w:rPr>
        <w:t>,</w:t>
      </w:r>
      <w:r w:rsidR="00422F43" w:rsidRPr="00270D6B">
        <w:rPr>
          <w:rFonts w:ascii="Arial" w:eastAsia="Times New Roman" w:hAnsi="Arial" w:cs="Arial"/>
          <w:sz w:val="20"/>
          <w:szCs w:val="20"/>
          <w:lang w:val="en-GB"/>
        </w:rPr>
        <w:t xml:space="preserve"> </w:t>
      </w:r>
      <w:r w:rsidR="00264FED" w:rsidRPr="00270D6B">
        <w:rPr>
          <w:rFonts w:ascii="Arial" w:eastAsia="Times New Roman" w:hAnsi="Arial" w:cs="Arial"/>
          <w:sz w:val="20"/>
          <w:szCs w:val="20"/>
          <w:lang w:val="en-GB"/>
        </w:rPr>
        <w:t>pointing</w:t>
      </w:r>
      <w:r w:rsidR="00422F43" w:rsidRPr="00270D6B">
        <w:rPr>
          <w:rFonts w:ascii="Arial" w:eastAsia="Times New Roman" w:hAnsi="Arial" w:cs="Arial"/>
          <w:sz w:val="20"/>
          <w:szCs w:val="20"/>
          <w:lang w:val="en-GB"/>
        </w:rPr>
        <w:t xml:space="preserve"> that the so-called </w:t>
      </w:r>
      <w:r w:rsidR="00264FED" w:rsidRPr="00270D6B">
        <w:rPr>
          <w:rFonts w:ascii="Arial" w:eastAsia="Times New Roman" w:hAnsi="Arial" w:cs="Arial"/>
          <w:sz w:val="20"/>
          <w:szCs w:val="20"/>
          <w:lang w:val="en-GB"/>
        </w:rPr>
        <w:t>un</w:t>
      </w:r>
      <w:r w:rsidR="00422F43" w:rsidRPr="00270D6B">
        <w:rPr>
          <w:rFonts w:ascii="Arial" w:eastAsia="Times New Roman" w:hAnsi="Arial" w:cs="Arial"/>
          <w:sz w:val="20"/>
          <w:szCs w:val="20"/>
          <w:lang w:val="en-GB"/>
        </w:rPr>
        <w:t>satisfied</w:t>
      </w:r>
      <w:r w:rsidR="000C0B64" w:rsidRPr="00270D6B">
        <w:rPr>
          <w:rFonts w:ascii="Arial" w:eastAsia="Times New Roman" w:hAnsi="Arial" w:cs="Arial"/>
          <w:sz w:val="20"/>
          <w:szCs w:val="20"/>
          <w:lang w:val="en-GB"/>
        </w:rPr>
        <w:t xml:space="preserve"> need for</w:t>
      </w:r>
      <w:r w:rsidR="00422F43" w:rsidRPr="00270D6B">
        <w:rPr>
          <w:rFonts w:ascii="Arial" w:eastAsia="Times New Roman" w:hAnsi="Arial" w:cs="Arial"/>
          <w:sz w:val="20"/>
          <w:szCs w:val="20"/>
          <w:lang w:val="en-GB"/>
        </w:rPr>
        <w:t xml:space="preserve"> employment</w:t>
      </w:r>
      <w:r w:rsidR="000C0B64" w:rsidRPr="00270D6B">
        <w:rPr>
          <w:rFonts w:ascii="Arial" w:eastAsia="Times New Roman" w:hAnsi="Arial" w:cs="Arial"/>
          <w:sz w:val="20"/>
          <w:szCs w:val="20"/>
          <w:lang w:val="en-GB"/>
        </w:rPr>
        <w:t xml:space="preserve"> </w:t>
      </w:r>
      <w:r w:rsidR="00264FED" w:rsidRPr="00270D6B">
        <w:rPr>
          <w:rFonts w:ascii="Arial" w:eastAsia="Times New Roman" w:hAnsi="Arial" w:cs="Arial"/>
          <w:sz w:val="20"/>
          <w:szCs w:val="20"/>
          <w:lang w:val="en-GB"/>
        </w:rPr>
        <w:t>increased</w:t>
      </w:r>
      <w:r w:rsidR="00422F43" w:rsidRPr="00270D6B">
        <w:rPr>
          <w:rFonts w:ascii="Arial" w:eastAsia="Times New Roman" w:hAnsi="Arial" w:cs="Arial"/>
          <w:sz w:val="20"/>
          <w:szCs w:val="20"/>
          <w:lang w:val="en-GB"/>
        </w:rPr>
        <w:t xml:space="preserve">, regardless of the fact that the unemployment rate was significantly reduced in the mentioned period. </w:t>
      </w:r>
      <w:r w:rsidR="00F445CF" w:rsidRPr="00270D6B">
        <w:rPr>
          <w:rFonts w:ascii="Arial" w:hAnsi="Arial" w:cs="Arial"/>
          <w:sz w:val="20"/>
          <w:szCs w:val="20"/>
          <w:lang w:val="en-GB"/>
        </w:rPr>
        <w:t xml:space="preserve">Among the mentioned categories of the expanded </w:t>
      </w:r>
      <w:r w:rsidRPr="00270D6B">
        <w:rPr>
          <w:rFonts w:ascii="Arial" w:hAnsi="Arial" w:cs="Arial"/>
          <w:sz w:val="20"/>
          <w:szCs w:val="20"/>
          <w:lang w:val="en-GB"/>
        </w:rPr>
        <w:t>labour</w:t>
      </w:r>
      <w:r w:rsidR="00F445CF" w:rsidRPr="00270D6B">
        <w:rPr>
          <w:rFonts w:ascii="Arial" w:hAnsi="Arial" w:cs="Arial"/>
          <w:sz w:val="20"/>
          <w:szCs w:val="20"/>
          <w:lang w:val="en-GB"/>
        </w:rPr>
        <w:t xml:space="preserve"> forc</w:t>
      </w:r>
      <w:r w:rsidR="00D24E06" w:rsidRPr="00270D6B">
        <w:rPr>
          <w:rFonts w:ascii="Arial" w:hAnsi="Arial" w:cs="Arial"/>
          <w:sz w:val="20"/>
          <w:szCs w:val="20"/>
          <w:lang w:val="en-GB"/>
        </w:rPr>
        <w:t>e</w:t>
      </w:r>
      <w:r w:rsidR="00F445CF" w:rsidRPr="00270D6B">
        <w:rPr>
          <w:rFonts w:ascii="Arial" w:hAnsi="Arial" w:cs="Arial"/>
          <w:sz w:val="20"/>
          <w:szCs w:val="20"/>
          <w:lang w:val="en-GB"/>
        </w:rPr>
        <w:t xml:space="preserve">, the number of those who can start working even though they are not looking for a job has increased the most, 153 100 </w:t>
      </w:r>
      <w:r w:rsidR="00D24E06" w:rsidRPr="00270D6B">
        <w:rPr>
          <w:rFonts w:ascii="Arial" w:hAnsi="Arial" w:cs="Arial"/>
          <w:sz w:val="20"/>
          <w:szCs w:val="20"/>
          <w:lang w:val="en-GB"/>
        </w:rPr>
        <w:t xml:space="preserve">inter-annually </w:t>
      </w:r>
      <w:r w:rsidR="00F445CF" w:rsidRPr="00270D6B">
        <w:rPr>
          <w:rFonts w:ascii="Arial" w:hAnsi="Arial" w:cs="Arial"/>
          <w:sz w:val="20"/>
          <w:szCs w:val="20"/>
          <w:lang w:val="en-GB"/>
        </w:rPr>
        <w:t>and 84 500</w:t>
      </w:r>
      <w:r w:rsidR="00243170" w:rsidRPr="00270D6B">
        <w:rPr>
          <w:rFonts w:ascii="Arial" w:hAnsi="Arial" w:cs="Arial"/>
          <w:sz w:val="20"/>
          <w:szCs w:val="20"/>
          <w:lang w:val="en-GB"/>
        </w:rPr>
        <w:t xml:space="preserve"> inter-quarterly</w:t>
      </w:r>
      <w:r w:rsidR="00F445CF" w:rsidRPr="00270D6B">
        <w:rPr>
          <w:rFonts w:ascii="Arial" w:hAnsi="Arial" w:cs="Arial"/>
          <w:sz w:val="20"/>
          <w:szCs w:val="20"/>
          <w:lang w:val="en-GB"/>
        </w:rPr>
        <w:t>.</w:t>
      </w:r>
    </w:p>
    <w:p w:rsidR="00F445CF" w:rsidRPr="00185079" w:rsidRDefault="00F445CF" w:rsidP="0023292A">
      <w:pPr>
        <w:pStyle w:val="ListParagraph"/>
        <w:spacing w:before="120" w:after="120" w:line="264" w:lineRule="auto"/>
        <w:ind w:left="0" w:firstLine="397"/>
        <w:contextualSpacing w:val="0"/>
        <w:jc w:val="both"/>
        <w:rPr>
          <w:rFonts w:ascii="Arial" w:hAnsi="Arial" w:cs="Arial"/>
          <w:sz w:val="20"/>
          <w:szCs w:val="20"/>
          <w:lang w:val="en-GB"/>
        </w:rPr>
      </w:pPr>
      <w:r w:rsidRPr="00270D6B">
        <w:rPr>
          <w:rFonts w:ascii="Arial" w:hAnsi="Arial" w:cs="Arial"/>
          <w:b/>
          <w:sz w:val="20"/>
          <w:szCs w:val="20"/>
          <w:lang w:val="en-GB"/>
        </w:rPr>
        <w:t>Absence from work</w:t>
      </w:r>
      <w:r w:rsidRPr="00270D6B">
        <w:rPr>
          <w:rFonts w:ascii="Arial" w:hAnsi="Arial" w:cs="Arial"/>
          <w:sz w:val="20"/>
          <w:szCs w:val="20"/>
          <w:lang w:val="en-GB"/>
        </w:rPr>
        <w:t xml:space="preserve"> is determined by the participation of employees who are absent from work in the total number of employees. In the second quarter of 2020, 11.4% of employees were absent from work, which is 2.4 percentage points more than in the first quarter of 2020, and 6.0 percentage points more compared to the same</w:t>
      </w:r>
      <w:r w:rsidRPr="00185079">
        <w:rPr>
          <w:rFonts w:ascii="Arial" w:hAnsi="Arial" w:cs="Arial"/>
          <w:sz w:val="20"/>
          <w:szCs w:val="20"/>
          <w:lang w:val="en-GB"/>
        </w:rPr>
        <w:t xml:space="preserve"> period last year.</w:t>
      </w:r>
    </w:p>
    <w:p w:rsidR="00F445CF" w:rsidRPr="00160E27" w:rsidRDefault="00F445CF" w:rsidP="0023292A">
      <w:pPr>
        <w:pStyle w:val="ListParagraph"/>
        <w:spacing w:before="480" w:after="120" w:line="264" w:lineRule="auto"/>
        <w:ind w:left="0"/>
        <w:contextualSpacing w:val="0"/>
        <w:jc w:val="center"/>
        <w:rPr>
          <w:rFonts w:ascii="Arial" w:hAnsi="Arial" w:cs="Arial"/>
          <w:sz w:val="20"/>
          <w:szCs w:val="20"/>
          <w:lang w:val="en-GB"/>
        </w:rPr>
      </w:pPr>
      <w:r w:rsidRPr="00160E27">
        <w:rPr>
          <w:rFonts w:ascii="Arial" w:hAnsi="Arial" w:cs="Arial"/>
          <w:sz w:val="20"/>
          <w:szCs w:val="20"/>
          <w:lang w:val="en-GB"/>
        </w:rPr>
        <w:t>Graph 2. Number of employees absent from work according to reasons for absence</w:t>
      </w:r>
    </w:p>
    <w:p w:rsidR="00F445CF" w:rsidRPr="00185079" w:rsidRDefault="00F445CF" w:rsidP="0023292A">
      <w:pPr>
        <w:pStyle w:val="Caption"/>
        <w:spacing w:after="0"/>
        <w:jc w:val="center"/>
        <w:rPr>
          <w:rFonts w:ascii="Arial" w:hAnsi="Arial" w:cs="Arial"/>
          <w:sz w:val="20"/>
          <w:szCs w:val="20"/>
          <w:lang w:val="en-GB"/>
        </w:rPr>
      </w:pPr>
      <w:r w:rsidRPr="00185079">
        <w:rPr>
          <w:rFonts w:ascii="Arial" w:hAnsi="Arial" w:cs="Arial"/>
          <w:i w:val="0"/>
          <w:color w:val="auto"/>
          <w:sz w:val="20"/>
          <w:szCs w:val="20"/>
          <w:lang w:val="en-GB"/>
        </w:rPr>
        <w:t> </w:t>
      </w:r>
      <w:r w:rsidR="00287615">
        <w:rPr>
          <w:noProof/>
        </w:rPr>
        <w:drawing>
          <wp:inline distT="0" distB="0" distL="0" distR="0" wp14:anchorId="5D7894F8" wp14:editId="4294D5C2">
            <wp:extent cx="6479540" cy="2519680"/>
            <wp:effectExtent l="0" t="0" r="0" b="0"/>
            <wp:docPr id="1" name="Chart 1">
              <a:extLst xmlns:a="http://schemas.openxmlformats.org/drawingml/2006/main">
                <a:ext uri="{FF2B5EF4-FFF2-40B4-BE49-F238E27FC236}">
                  <a16:creationId xmlns:a16="http://schemas.microsoft.com/office/drawing/2014/main" id="{B80B2B3A-498A-44AB-B50B-230977E767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5079" w:rsidRDefault="00185079" w:rsidP="00F445CF">
      <w:pPr>
        <w:ind w:firstLine="403"/>
        <w:jc w:val="both"/>
        <w:rPr>
          <w:rFonts w:cs="Arial"/>
        </w:rPr>
      </w:pPr>
    </w:p>
    <w:p w:rsidR="00F445CF" w:rsidRPr="00270D6B" w:rsidRDefault="00F445CF" w:rsidP="000721DA">
      <w:pPr>
        <w:spacing w:before="120" w:after="120"/>
        <w:ind w:firstLine="397"/>
        <w:jc w:val="both"/>
        <w:rPr>
          <w:rFonts w:cs="Arial"/>
        </w:rPr>
      </w:pPr>
      <w:r w:rsidRPr="00270D6B">
        <w:rPr>
          <w:rFonts w:cs="Arial"/>
        </w:rPr>
        <w:t xml:space="preserve">The greatest number of employees who were absent from work during the second quarter cited </w:t>
      </w:r>
      <w:r w:rsidR="0090288A" w:rsidRPr="00270D6B">
        <w:rPr>
          <w:rFonts w:cs="Arial"/>
        </w:rPr>
        <w:t xml:space="preserve">as the reason </w:t>
      </w:r>
      <w:r w:rsidRPr="00270D6B">
        <w:rPr>
          <w:rFonts w:cs="Arial"/>
        </w:rPr>
        <w:t>the reduced volume of work due to technical or economic reasons (204</w:t>
      </w:r>
      <w:r w:rsidR="0090288A" w:rsidRPr="00270D6B">
        <w:rPr>
          <w:rFonts w:cs="Arial"/>
        </w:rPr>
        <w:t xml:space="preserve"> </w:t>
      </w:r>
      <w:r w:rsidRPr="00270D6B">
        <w:rPr>
          <w:rFonts w:cs="Arial"/>
        </w:rPr>
        <w:t xml:space="preserve">200), which </w:t>
      </w:r>
      <w:r w:rsidR="0090288A" w:rsidRPr="00270D6B">
        <w:rPr>
          <w:rFonts w:cs="Arial"/>
        </w:rPr>
        <w:t>presents</w:t>
      </w:r>
      <w:r w:rsidRPr="00270D6B">
        <w:rPr>
          <w:rFonts w:cs="Arial"/>
        </w:rPr>
        <w:t xml:space="preserve"> a drastic </w:t>
      </w:r>
      <w:r w:rsidR="001223AC" w:rsidRPr="00270D6B">
        <w:rPr>
          <w:rFonts w:cs="Arial"/>
        </w:rPr>
        <w:t>increase</w:t>
      </w:r>
      <w:r w:rsidRPr="00270D6B">
        <w:rPr>
          <w:rFonts w:cs="Arial"/>
        </w:rPr>
        <w:t xml:space="preserve"> compared to the previous period. On the other hand, the number of employees who were absent from work due to </w:t>
      </w:r>
      <w:r w:rsidR="0090288A" w:rsidRPr="00270D6B">
        <w:rPr>
          <w:rFonts w:cs="Arial"/>
        </w:rPr>
        <w:t>vacation, public or religious holidays</w:t>
      </w:r>
      <w:r w:rsidR="001223AC" w:rsidRPr="00270D6B">
        <w:rPr>
          <w:rFonts w:cs="Arial"/>
        </w:rPr>
        <w:t xml:space="preserve"> and</w:t>
      </w:r>
      <w:r w:rsidR="0090288A" w:rsidRPr="00270D6B">
        <w:rPr>
          <w:rFonts w:cs="Arial"/>
        </w:rPr>
        <w:t xml:space="preserve"> </w:t>
      </w:r>
      <w:r w:rsidRPr="00270D6B">
        <w:rPr>
          <w:rFonts w:cs="Arial"/>
        </w:rPr>
        <w:t>annual leave</w:t>
      </w:r>
      <w:r w:rsidR="001223AC" w:rsidRPr="00270D6B">
        <w:rPr>
          <w:rFonts w:cs="Arial"/>
        </w:rPr>
        <w:t xml:space="preserve"> was decreased</w:t>
      </w:r>
      <w:r w:rsidRPr="00270D6B">
        <w:rPr>
          <w:rFonts w:cs="Arial"/>
        </w:rPr>
        <w:t>, while the number of employees who were absent from work due to illness, injury or temporary incapacity remained almost unchanged</w:t>
      </w:r>
      <w:r w:rsidR="0090288A" w:rsidRPr="00270D6B">
        <w:rPr>
          <w:rFonts w:cs="Arial"/>
        </w:rPr>
        <w:t>.</w:t>
      </w:r>
    </w:p>
    <w:p w:rsidR="0090288A" w:rsidRPr="00270D6B" w:rsidRDefault="0090288A" w:rsidP="000721DA">
      <w:pPr>
        <w:pStyle w:val="ListParagraph"/>
        <w:spacing w:before="120" w:after="120" w:line="264" w:lineRule="auto"/>
        <w:ind w:left="0" w:firstLine="397"/>
        <w:contextualSpacing w:val="0"/>
        <w:jc w:val="both"/>
        <w:rPr>
          <w:rFonts w:ascii="Arial" w:eastAsia="Times New Roman" w:hAnsi="Arial" w:cs="Arial"/>
          <w:sz w:val="20"/>
          <w:szCs w:val="20"/>
          <w:lang w:val="en-GB"/>
        </w:rPr>
      </w:pPr>
      <w:r w:rsidRPr="00270D6B">
        <w:rPr>
          <w:rFonts w:ascii="Arial" w:eastAsia="Times New Roman" w:hAnsi="Arial" w:cs="Arial"/>
          <w:b/>
          <w:sz w:val="20"/>
          <w:szCs w:val="20"/>
          <w:lang w:val="en-GB"/>
        </w:rPr>
        <w:t xml:space="preserve">Work from home, </w:t>
      </w:r>
      <w:r w:rsidRPr="00270D6B">
        <w:rPr>
          <w:rFonts w:ascii="Arial" w:eastAsia="Times New Roman" w:hAnsi="Arial" w:cs="Arial"/>
          <w:sz w:val="20"/>
          <w:szCs w:val="20"/>
          <w:lang w:val="en-GB"/>
        </w:rPr>
        <w:t xml:space="preserve">measured by the share of employees who worked from home in total number of employees, in the second quarter of 2020 amounted to 12.1%, which is the increase </w:t>
      </w:r>
      <w:r w:rsidR="0005304E" w:rsidRPr="00270D6B">
        <w:rPr>
          <w:rFonts w:ascii="Arial" w:eastAsia="Times New Roman" w:hAnsi="Arial" w:cs="Arial"/>
          <w:sz w:val="20"/>
          <w:szCs w:val="20"/>
          <w:lang w:val="en-GB"/>
        </w:rPr>
        <w:t>of</w:t>
      </w:r>
      <w:r w:rsidRPr="00270D6B">
        <w:rPr>
          <w:rFonts w:ascii="Arial" w:eastAsia="Times New Roman" w:hAnsi="Arial" w:cs="Arial"/>
          <w:sz w:val="20"/>
          <w:szCs w:val="20"/>
          <w:lang w:val="en-GB"/>
        </w:rPr>
        <w:t xml:space="preserve"> 2.9 percentage points relative to the first quarter of 2020 and </w:t>
      </w:r>
      <w:r w:rsidR="0005304E" w:rsidRPr="00270D6B">
        <w:rPr>
          <w:rFonts w:ascii="Arial" w:eastAsia="Times New Roman" w:hAnsi="Arial" w:cs="Arial"/>
          <w:sz w:val="20"/>
          <w:szCs w:val="20"/>
          <w:lang w:val="en-GB"/>
        </w:rPr>
        <w:t>of</w:t>
      </w:r>
      <w:r w:rsidRPr="00270D6B">
        <w:rPr>
          <w:rFonts w:ascii="Arial" w:eastAsia="Times New Roman" w:hAnsi="Arial" w:cs="Arial"/>
          <w:sz w:val="20"/>
          <w:szCs w:val="20"/>
          <w:lang w:val="en-GB"/>
        </w:rPr>
        <w:t xml:space="preserve"> 4.0 p</w:t>
      </w:r>
      <w:r w:rsidR="00480A96" w:rsidRPr="00270D6B">
        <w:rPr>
          <w:rFonts w:ascii="Arial" w:eastAsia="Times New Roman" w:hAnsi="Arial" w:cs="Arial"/>
          <w:sz w:val="20"/>
          <w:szCs w:val="20"/>
          <w:lang w:val="en-GB"/>
        </w:rPr>
        <w:t>.</w:t>
      </w:r>
      <w:r w:rsidR="005E1A17" w:rsidRPr="00270D6B">
        <w:rPr>
          <w:rFonts w:ascii="Arial" w:eastAsia="Times New Roman" w:hAnsi="Arial" w:cs="Arial"/>
          <w:sz w:val="20"/>
          <w:szCs w:val="20"/>
          <w:lang w:val="en-GB"/>
        </w:rPr>
        <w:t xml:space="preserve"> </w:t>
      </w:r>
      <w:r w:rsidRPr="00270D6B">
        <w:rPr>
          <w:rFonts w:ascii="Arial" w:eastAsia="Times New Roman" w:hAnsi="Arial" w:cs="Arial"/>
          <w:sz w:val="20"/>
          <w:szCs w:val="20"/>
          <w:lang w:val="en-GB"/>
        </w:rPr>
        <w:t>p. compared to the same period last year.</w:t>
      </w:r>
    </w:p>
    <w:p w:rsidR="000721DA" w:rsidRPr="00270D6B" w:rsidRDefault="0090288A" w:rsidP="000721DA">
      <w:pPr>
        <w:pStyle w:val="ListParagraph"/>
        <w:spacing w:before="120" w:after="120" w:line="264" w:lineRule="auto"/>
        <w:ind w:left="0" w:firstLine="397"/>
        <w:contextualSpacing w:val="0"/>
        <w:jc w:val="both"/>
        <w:rPr>
          <w:rFonts w:ascii="Arial" w:eastAsia="Times New Roman" w:hAnsi="Arial" w:cs="Arial"/>
          <w:sz w:val="20"/>
          <w:szCs w:val="20"/>
          <w:lang w:val="en-GB"/>
        </w:rPr>
      </w:pPr>
      <w:r w:rsidRPr="00270D6B">
        <w:rPr>
          <w:rFonts w:ascii="Arial" w:eastAsia="Times New Roman" w:hAnsi="Arial" w:cs="Arial"/>
          <w:sz w:val="20"/>
          <w:szCs w:val="20"/>
          <w:lang w:val="en-GB"/>
        </w:rPr>
        <w:t xml:space="preserve">The average </w:t>
      </w:r>
      <w:r w:rsidRPr="00270D6B">
        <w:rPr>
          <w:rFonts w:ascii="Arial" w:eastAsia="Times New Roman" w:hAnsi="Arial" w:cs="Arial"/>
          <w:b/>
          <w:sz w:val="20"/>
          <w:szCs w:val="20"/>
          <w:lang w:val="en-GB"/>
        </w:rPr>
        <w:t>weekly</w:t>
      </w:r>
      <w:r w:rsidR="00DB03FC">
        <w:rPr>
          <w:rFonts w:ascii="Arial" w:eastAsia="Times New Roman" w:hAnsi="Arial" w:cs="Arial"/>
          <w:b/>
          <w:sz w:val="20"/>
          <w:szCs w:val="20"/>
          <w:lang w:val="en-GB"/>
        </w:rPr>
        <w:t xml:space="preserve"> actual</w:t>
      </w:r>
      <w:r w:rsidRPr="00270D6B">
        <w:rPr>
          <w:rFonts w:ascii="Arial" w:eastAsia="Times New Roman" w:hAnsi="Arial" w:cs="Arial"/>
          <w:b/>
          <w:sz w:val="20"/>
          <w:szCs w:val="20"/>
          <w:lang w:val="en-GB"/>
        </w:rPr>
        <w:t xml:space="preserve"> hours </w:t>
      </w:r>
      <w:r w:rsidR="004859F7" w:rsidRPr="00270D6B">
        <w:rPr>
          <w:rFonts w:ascii="Arial" w:eastAsia="Times New Roman" w:hAnsi="Arial" w:cs="Arial"/>
          <w:b/>
          <w:sz w:val="20"/>
          <w:szCs w:val="20"/>
          <w:lang w:val="en-GB"/>
        </w:rPr>
        <w:t>work</w:t>
      </w:r>
      <w:r w:rsidRPr="00270D6B">
        <w:rPr>
          <w:rFonts w:ascii="Arial" w:eastAsia="Times New Roman" w:hAnsi="Arial" w:cs="Arial"/>
          <w:b/>
          <w:sz w:val="20"/>
          <w:szCs w:val="20"/>
          <w:lang w:val="en-GB"/>
        </w:rPr>
        <w:t>ed</w:t>
      </w:r>
      <w:r w:rsidRPr="00270D6B">
        <w:rPr>
          <w:rFonts w:ascii="Arial" w:eastAsia="Times New Roman" w:hAnsi="Arial" w:cs="Arial"/>
          <w:sz w:val="20"/>
          <w:szCs w:val="20"/>
          <w:lang w:val="en-GB"/>
        </w:rPr>
        <w:t xml:space="preserve"> on the main job in the second quarter of 2020 amounted to 36.2, and compared to the first quarter of 2020, they remained unchanged, while compared to the same period last year, when they amounted to 39.1 , the decrease of 7.5% was recorded.</w:t>
      </w:r>
    </w:p>
    <w:p w:rsidR="0090288A" w:rsidRPr="000721DA" w:rsidRDefault="0090288A" w:rsidP="000721DA">
      <w:pPr>
        <w:pStyle w:val="ListParagraph"/>
        <w:spacing w:before="120" w:after="120" w:line="264" w:lineRule="auto"/>
        <w:ind w:left="0" w:firstLine="397"/>
        <w:contextualSpacing w:val="0"/>
        <w:jc w:val="both"/>
        <w:rPr>
          <w:rFonts w:ascii="Arial" w:eastAsia="Times New Roman" w:hAnsi="Arial" w:cs="Arial"/>
          <w:sz w:val="20"/>
          <w:szCs w:val="20"/>
          <w:lang w:val="en-GB"/>
        </w:rPr>
      </w:pPr>
      <w:r w:rsidRPr="00270D6B">
        <w:rPr>
          <w:rFonts w:ascii="Arial" w:eastAsia="Times New Roman" w:hAnsi="Arial" w:cs="Arial"/>
          <w:sz w:val="20"/>
          <w:szCs w:val="20"/>
          <w:lang w:val="en-GB"/>
        </w:rPr>
        <w:t xml:space="preserve">Observed by activity </w:t>
      </w:r>
      <w:r w:rsidR="006A5DF8" w:rsidRPr="00270D6B">
        <w:rPr>
          <w:rFonts w:ascii="Arial" w:eastAsia="Times New Roman" w:hAnsi="Arial" w:cs="Arial"/>
          <w:sz w:val="20"/>
          <w:szCs w:val="20"/>
          <w:lang w:val="en-GB"/>
        </w:rPr>
        <w:t>sectors</w:t>
      </w:r>
      <w:r w:rsidRPr="00270D6B">
        <w:rPr>
          <w:rFonts w:ascii="Arial" w:eastAsia="Times New Roman" w:hAnsi="Arial" w:cs="Arial"/>
          <w:sz w:val="20"/>
          <w:szCs w:val="20"/>
          <w:lang w:val="en-GB"/>
        </w:rPr>
        <w:t>, the largest decrease in average</w:t>
      </w:r>
      <w:r w:rsidR="00DB03FC">
        <w:rPr>
          <w:rFonts w:ascii="Arial" w:eastAsia="Times New Roman" w:hAnsi="Arial" w:cs="Arial"/>
          <w:sz w:val="20"/>
          <w:szCs w:val="20"/>
          <w:lang w:val="en-GB"/>
        </w:rPr>
        <w:t xml:space="preserve"> actual</w:t>
      </w:r>
      <w:r w:rsidRPr="00270D6B">
        <w:rPr>
          <w:rFonts w:ascii="Arial" w:eastAsia="Times New Roman" w:hAnsi="Arial" w:cs="Arial"/>
          <w:sz w:val="20"/>
          <w:szCs w:val="20"/>
          <w:lang w:val="en-GB"/>
        </w:rPr>
        <w:t xml:space="preserve"> hours worked per employee was recorded in the</w:t>
      </w:r>
      <w:r w:rsidR="002B6B93" w:rsidRPr="00270D6B">
        <w:rPr>
          <w:rFonts w:ascii="Arial" w:eastAsia="Times New Roman" w:hAnsi="Arial" w:cs="Arial"/>
          <w:sz w:val="20"/>
          <w:szCs w:val="20"/>
          <w:lang w:val="en-GB"/>
        </w:rPr>
        <w:t xml:space="preserve"> </w:t>
      </w:r>
      <w:r w:rsidRPr="00270D6B">
        <w:rPr>
          <w:rFonts w:ascii="Arial" w:eastAsia="Times New Roman" w:hAnsi="Arial" w:cs="Arial"/>
          <w:sz w:val="20"/>
          <w:szCs w:val="20"/>
          <w:lang w:val="en-GB"/>
        </w:rPr>
        <w:t>sect</w:t>
      </w:r>
      <w:r w:rsidR="002B6B93" w:rsidRPr="00270D6B">
        <w:rPr>
          <w:rFonts w:ascii="Arial" w:eastAsia="Times New Roman" w:hAnsi="Arial" w:cs="Arial"/>
          <w:sz w:val="20"/>
          <w:szCs w:val="20"/>
          <w:lang w:val="en-GB"/>
        </w:rPr>
        <w:t>or of</w:t>
      </w:r>
      <w:r w:rsidRPr="00270D6B">
        <w:rPr>
          <w:rFonts w:ascii="Arial" w:eastAsia="Times New Roman" w:hAnsi="Arial" w:cs="Arial"/>
          <w:sz w:val="20"/>
          <w:szCs w:val="20"/>
          <w:lang w:val="en-GB"/>
        </w:rPr>
        <w:t xml:space="preserve"> Accommodation and </w:t>
      </w:r>
      <w:r w:rsidR="004D7487" w:rsidRPr="00270D6B">
        <w:rPr>
          <w:rFonts w:ascii="Arial" w:eastAsia="Times New Roman" w:hAnsi="Arial" w:cs="Arial"/>
          <w:sz w:val="20"/>
          <w:szCs w:val="20"/>
          <w:lang w:val="en-GB"/>
        </w:rPr>
        <w:t>food service</w:t>
      </w:r>
      <w:r w:rsidRPr="00270D6B">
        <w:rPr>
          <w:rFonts w:ascii="Arial" w:eastAsia="Times New Roman" w:hAnsi="Arial" w:cs="Arial"/>
          <w:sz w:val="20"/>
          <w:szCs w:val="20"/>
          <w:lang w:val="en-GB"/>
        </w:rPr>
        <w:t xml:space="preserve"> </w:t>
      </w:r>
      <w:r w:rsidR="004D7487" w:rsidRPr="00270D6B">
        <w:rPr>
          <w:rFonts w:ascii="Arial" w:eastAsia="Times New Roman" w:hAnsi="Arial" w:cs="Arial"/>
          <w:sz w:val="20"/>
          <w:szCs w:val="20"/>
          <w:lang w:val="en-GB"/>
        </w:rPr>
        <w:t>activities</w:t>
      </w:r>
      <w:r w:rsidR="004859F7" w:rsidRPr="00270D6B">
        <w:rPr>
          <w:rFonts w:ascii="Arial" w:eastAsia="Times New Roman" w:hAnsi="Arial" w:cs="Arial"/>
          <w:sz w:val="20"/>
          <w:szCs w:val="20"/>
          <w:lang w:val="en-GB"/>
        </w:rPr>
        <w:t xml:space="preserve"> </w:t>
      </w:r>
      <w:r w:rsidRPr="00270D6B">
        <w:rPr>
          <w:rFonts w:ascii="Arial" w:eastAsia="Times New Roman" w:hAnsi="Arial" w:cs="Arial"/>
          <w:sz w:val="20"/>
          <w:szCs w:val="20"/>
          <w:lang w:val="en-GB"/>
        </w:rPr>
        <w:t>and Arts, entertainment and recreation, with a</w:t>
      </w:r>
      <w:r w:rsidR="004859F7" w:rsidRPr="00270D6B">
        <w:rPr>
          <w:rFonts w:ascii="Arial" w:eastAsia="Times New Roman" w:hAnsi="Arial" w:cs="Arial"/>
          <w:sz w:val="20"/>
          <w:szCs w:val="20"/>
          <w:lang w:val="en-GB"/>
        </w:rPr>
        <w:t>n inter-annual</w:t>
      </w:r>
      <w:r w:rsidRPr="00270D6B">
        <w:rPr>
          <w:rFonts w:ascii="Arial" w:eastAsia="Times New Roman" w:hAnsi="Arial" w:cs="Arial"/>
          <w:sz w:val="20"/>
          <w:szCs w:val="20"/>
          <w:lang w:val="en-GB"/>
        </w:rPr>
        <w:t xml:space="preserve"> decline of 26.0% and 21.4% and a quarterly </w:t>
      </w:r>
      <w:r w:rsidR="004859F7" w:rsidRPr="00270D6B">
        <w:rPr>
          <w:rFonts w:ascii="Arial" w:eastAsia="Times New Roman" w:hAnsi="Arial" w:cs="Arial"/>
          <w:sz w:val="20"/>
          <w:szCs w:val="20"/>
          <w:lang w:val="en-GB"/>
        </w:rPr>
        <w:t>decrease</w:t>
      </w:r>
      <w:r w:rsidRPr="00270D6B">
        <w:rPr>
          <w:rFonts w:ascii="Arial" w:eastAsia="Times New Roman" w:hAnsi="Arial" w:cs="Arial"/>
          <w:sz w:val="20"/>
          <w:szCs w:val="20"/>
          <w:lang w:val="en-GB"/>
        </w:rPr>
        <w:t xml:space="preserve"> of 17.7% and 20.1% respectively.</w:t>
      </w:r>
    </w:p>
    <w:p w:rsidR="008F53C9" w:rsidRPr="004E711A" w:rsidRDefault="0090288A" w:rsidP="004E711A">
      <w:pPr>
        <w:pStyle w:val="ListParagraph"/>
        <w:spacing w:before="480" w:after="120" w:line="264" w:lineRule="auto"/>
        <w:ind w:left="0" w:firstLine="397"/>
        <w:contextualSpacing w:val="0"/>
        <w:rPr>
          <w:rStyle w:val="Heading1Char"/>
          <w:rFonts w:ascii="Arial" w:eastAsia="Calibri" w:hAnsi="Arial" w:cs="Arial"/>
          <w:b w:val="0"/>
          <w:bCs w:val="0"/>
          <w:color w:val="auto"/>
          <w:sz w:val="24"/>
          <w:szCs w:val="24"/>
          <w:lang w:val="en-GB"/>
        </w:rPr>
      </w:pPr>
      <w:r w:rsidRPr="0023292A">
        <w:rPr>
          <w:rFonts w:ascii="Arial" w:eastAsia="Times New Roman" w:hAnsi="Arial" w:cs="Arial"/>
          <w:color w:val="003399"/>
          <w:sz w:val="20"/>
          <w:szCs w:val="20"/>
          <w:lang w:val="en-GB"/>
        </w:rPr>
        <w:t> </w:t>
      </w:r>
      <w:r w:rsidR="008F53C9" w:rsidRPr="0023292A">
        <w:rPr>
          <w:rStyle w:val="Heading1Char"/>
          <w:rFonts w:ascii="Arial" w:eastAsia="Calibri" w:hAnsi="Arial" w:cs="Arial"/>
          <w:b w:val="0"/>
          <w:iCs/>
          <w:color w:val="003399"/>
          <w:sz w:val="22"/>
          <w:szCs w:val="22"/>
        </w:rPr>
        <w:t xml:space="preserve">Main indicators, </w:t>
      </w:r>
      <w:r w:rsidR="00C137BD" w:rsidRPr="0023292A">
        <w:rPr>
          <w:rStyle w:val="Heading1Char"/>
          <w:rFonts w:ascii="Arial" w:eastAsia="Calibri" w:hAnsi="Arial" w:cs="Arial"/>
          <w:b w:val="0"/>
          <w:iCs/>
          <w:color w:val="003399"/>
          <w:sz w:val="22"/>
          <w:szCs w:val="22"/>
        </w:rPr>
        <w:t>I</w:t>
      </w:r>
      <w:r w:rsidR="008F53C9" w:rsidRPr="0023292A">
        <w:rPr>
          <w:rStyle w:val="Heading1Char"/>
          <w:rFonts w:ascii="Arial" w:eastAsia="Calibri" w:hAnsi="Arial" w:cs="Arial"/>
          <w:b w:val="0"/>
          <w:iCs/>
          <w:color w:val="003399"/>
          <w:sz w:val="22"/>
          <w:szCs w:val="22"/>
        </w:rPr>
        <w:t>I quarter 20</w:t>
      </w:r>
      <w:r w:rsidR="00D0048F" w:rsidRPr="0023292A">
        <w:rPr>
          <w:rStyle w:val="Heading1Char"/>
          <w:rFonts w:ascii="Arial" w:eastAsia="Calibri" w:hAnsi="Arial" w:cs="Arial"/>
          <w:b w:val="0"/>
          <w:iCs/>
          <w:color w:val="003399"/>
          <w:sz w:val="22"/>
          <w:szCs w:val="22"/>
        </w:rPr>
        <w:t>20</w:t>
      </w:r>
    </w:p>
    <w:p w:rsidR="00B05442" w:rsidRPr="0023292A" w:rsidRDefault="008F53C9" w:rsidP="00030DBF">
      <w:pPr>
        <w:spacing w:before="240" w:after="120" w:line="264" w:lineRule="auto"/>
        <w:ind w:firstLine="403"/>
        <w:jc w:val="both"/>
        <w:rPr>
          <w:rFonts w:cs="Arial"/>
        </w:rPr>
      </w:pPr>
      <w:r w:rsidRPr="0023292A">
        <w:rPr>
          <w:rFonts w:cs="Arial"/>
          <w:b/>
        </w:rPr>
        <w:t>A</w:t>
      </w:r>
      <w:r w:rsidR="00930544" w:rsidRPr="0023292A">
        <w:rPr>
          <w:rFonts w:cs="Arial"/>
          <w:b/>
        </w:rPr>
        <w:t>ctivity rate</w:t>
      </w:r>
      <w:r w:rsidR="00930544" w:rsidRPr="0023292A">
        <w:rPr>
          <w:rFonts w:cs="Arial"/>
        </w:rPr>
        <w:t xml:space="preserve"> of population aged 15 and over </w:t>
      </w:r>
      <w:r w:rsidR="00901882" w:rsidRPr="0023292A">
        <w:rPr>
          <w:rFonts w:cs="Arial"/>
        </w:rPr>
        <w:t xml:space="preserve">in the </w:t>
      </w:r>
      <w:r w:rsidR="00A27421" w:rsidRPr="0023292A">
        <w:rPr>
          <w:rFonts w:cs="Arial"/>
        </w:rPr>
        <w:t>second</w:t>
      </w:r>
      <w:r w:rsidR="00901882" w:rsidRPr="0023292A">
        <w:rPr>
          <w:rFonts w:cs="Arial"/>
        </w:rPr>
        <w:t xml:space="preserve"> quarter</w:t>
      </w:r>
      <w:r w:rsidR="001156FD" w:rsidRPr="0023292A">
        <w:rPr>
          <w:rFonts w:cs="Arial"/>
        </w:rPr>
        <w:t xml:space="preserve"> 20</w:t>
      </w:r>
      <w:r w:rsidR="00A27421" w:rsidRPr="0023292A">
        <w:rPr>
          <w:rFonts w:cs="Arial"/>
        </w:rPr>
        <w:t xml:space="preserve">20 </w:t>
      </w:r>
      <w:r w:rsidR="00930544" w:rsidRPr="0023292A">
        <w:rPr>
          <w:rFonts w:cs="Arial"/>
        </w:rPr>
        <w:t xml:space="preserve">amounted to </w:t>
      </w:r>
      <w:r w:rsidR="00A27421" w:rsidRPr="0023292A">
        <w:rPr>
          <w:rFonts w:cs="Arial"/>
        </w:rPr>
        <w:t>52</w:t>
      </w:r>
      <w:r w:rsidR="00930544" w:rsidRPr="0023292A">
        <w:rPr>
          <w:rFonts w:cs="Arial"/>
        </w:rPr>
        <w:t>.</w:t>
      </w:r>
      <w:r w:rsidR="00A27421" w:rsidRPr="0023292A">
        <w:rPr>
          <w:rFonts w:cs="Arial"/>
        </w:rPr>
        <w:t>0</w:t>
      </w:r>
      <w:r w:rsidR="00930544" w:rsidRPr="0023292A">
        <w:rPr>
          <w:rFonts w:cs="Arial"/>
        </w:rPr>
        <w:t xml:space="preserve">%, where the activity rate of males was </w:t>
      </w:r>
      <w:r w:rsidR="00A27421" w:rsidRPr="0023292A">
        <w:rPr>
          <w:rFonts w:cs="Arial"/>
        </w:rPr>
        <w:t>59</w:t>
      </w:r>
      <w:r w:rsidR="00930544" w:rsidRPr="0023292A">
        <w:rPr>
          <w:rFonts w:cs="Arial"/>
        </w:rPr>
        <w:t>.</w:t>
      </w:r>
      <w:r w:rsidR="00A27421" w:rsidRPr="0023292A">
        <w:rPr>
          <w:rFonts w:cs="Arial"/>
        </w:rPr>
        <w:t>8</w:t>
      </w:r>
      <w:r w:rsidR="00930544" w:rsidRPr="0023292A">
        <w:rPr>
          <w:rFonts w:cs="Arial"/>
        </w:rPr>
        <w:t>%, and of females 4</w:t>
      </w:r>
      <w:r w:rsidR="00A27421" w:rsidRPr="0023292A">
        <w:rPr>
          <w:rFonts w:cs="Arial"/>
        </w:rPr>
        <w:t>4.7</w:t>
      </w:r>
      <w:r w:rsidR="00930544" w:rsidRPr="0023292A">
        <w:rPr>
          <w:rFonts w:cs="Arial"/>
        </w:rPr>
        <w:t xml:space="preserve">%. </w:t>
      </w:r>
      <w:r w:rsidR="00391A81" w:rsidRPr="0023292A">
        <w:rPr>
          <w:rFonts w:cs="Arial"/>
        </w:rPr>
        <w:t>The activity rate w</w:t>
      </w:r>
      <w:r w:rsidR="00077879" w:rsidRPr="0023292A">
        <w:rPr>
          <w:rFonts w:cs="Arial"/>
        </w:rPr>
        <w:t>as</w:t>
      </w:r>
      <w:r w:rsidR="00A27421" w:rsidRPr="0023292A">
        <w:rPr>
          <w:rFonts w:cs="Arial"/>
        </w:rPr>
        <w:t xml:space="preserve"> </w:t>
      </w:r>
      <w:r w:rsidR="00077879" w:rsidRPr="0023292A">
        <w:rPr>
          <w:rFonts w:cs="Arial"/>
        </w:rPr>
        <w:t xml:space="preserve">the greatest </w:t>
      </w:r>
      <w:r w:rsidR="001156FD" w:rsidRPr="0023292A">
        <w:rPr>
          <w:rFonts w:cs="Arial"/>
        </w:rPr>
        <w:t xml:space="preserve">in </w:t>
      </w:r>
      <w:r w:rsidR="00030DBF" w:rsidRPr="0023292A">
        <w:rPr>
          <w:rFonts w:cs="Arial"/>
        </w:rPr>
        <w:t>Region Šumadije</w:t>
      </w:r>
      <w:r w:rsidR="00A27421" w:rsidRPr="0023292A">
        <w:rPr>
          <w:rFonts w:cs="Arial"/>
        </w:rPr>
        <w:t xml:space="preserve"> </w:t>
      </w:r>
      <w:r w:rsidR="00E35F94">
        <w:rPr>
          <w:rFonts w:cs="Arial"/>
        </w:rPr>
        <w:t>i</w:t>
      </w:r>
      <w:r w:rsidR="00A27421" w:rsidRPr="0023292A">
        <w:rPr>
          <w:rFonts w:cs="Arial"/>
        </w:rPr>
        <w:t xml:space="preserve"> </w:t>
      </w:r>
      <w:r w:rsidR="00030DBF" w:rsidRPr="0023292A">
        <w:rPr>
          <w:rFonts w:cs="Arial"/>
        </w:rPr>
        <w:t>Zapadne</w:t>
      </w:r>
      <w:r w:rsidR="00A27421" w:rsidRPr="0023292A">
        <w:rPr>
          <w:rFonts w:cs="Arial"/>
        </w:rPr>
        <w:t xml:space="preserve"> </w:t>
      </w:r>
      <w:r w:rsidR="00030DBF" w:rsidRPr="0023292A">
        <w:rPr>
          <w:rFonts w:cs="Arial"/>
        </w:rPr>
        <w:t>Srbije</w:t>
      </w:r>
      <w:r w:rsidR="00A27421" w:rsidRPr="0023292A">
        <w:rPr>
          <w:rFonts w:cs="Arial"/>
        </w:rPr>
        <w:t xml:space="preserve"> and Beogradski Region </w:t>
      </w:r>
      <w:r w:rsidR="00077879" w:rsidRPr="0023292A">
        <w:rPr>
          <w:rFonts w:cs="Arial"/>
        </w:rPr>
        <w:t>(5</w:t>
      </w:r>
      <w:r w:rsidR="00A27421" w:rsidRPr="0023292A">
        <w:rPr>
          <w:rFonts w:cs="Arial"/>
        </w:rPr>
        <w:t>3</w:t>
      </w:r>
      <w:r w:rsidR="00077879" w:rsidRPr="0023292A">
        <w:rPr>
          <w:rFonts w:cs="Arial"/>
        </w:rPr>
        <w:t>.</w:t>
      </w:r>
      <w:r w:rsidR="00A27421" w:rsidRPr="0023292A">
        <w:rPr>
          <w:rFonts w:cs="Arial"/>
        </w:rPr>
        <w:t>5</w:t>
      </w:r>
      <w:r w:rsidR="00077879" w:rsidRPr="0023292A">
        <w:rPr>
          <w:rFonts w:cs="Arial"/>
        </w:rPr>
        <w:t>%), followed by</w:t>
      </w:r>
      <w:r w:rsidR="00A27421" w:rsidRPr="0023292A">
        <w:rPr>
          <w:rFonts w:cs="Arial"/>
        </w:rPr>
        <w:t xml:space="preserve"> Region Juzne </w:t>
      </w:r>
      <w:r w:rsidR="00E35F94">
        <w:rPr>
          <w:rFonts w:cs="Arial"/>
        </w:rPr>
        <w:t>i</w:t>
      </w:r>
      <w:r w:rsidR="00A27421" w:rsidRPr="0023292A">
        <w:rPr>
          <w:rFonts w:cs="Arial"/>
        </w:rPr>
        <w:t xml:space="preserve"> Istocne Srbije (51.0%)</w:t>
      </w:r>
      <w:r w:rsidR="00F07EA5" w:rsidRPr="0023292A">
        <w:rPr>
          <w:rFonts w:cs="Arial"/>
        </w:rPr>
        <w:t xml:space="preserve"> and </w:t>
      </w:r>
      <w:r w:rsidR="00077879" w:rsidRPr="0023292A">
        <w:rPr>
          <w:rFonts w:cs="Arial"/>
        </w:rPr>
        <w:t xml:space="preserve">Region </w:t>
      </w:r>
      <w:r w:rsidR="00030DBF" w:rsidRPr="0023292A">
        <w:rPr>
          <w:rFonts w:cs="Arial"/>
        </w:rPr>
        <w:t>Vojvodine</w:t>
      </w:r>
      <w:r w:rsidR="00F07EA5" w:rsidRPr="0023292A">
        <w:rPr>
          <w:rFonts w:cs="Arial"/>
        </w:rPr>
        <w:t>, with</w:t>
      </w:r>
      <w:r w:rsidR="00030DBF" w:rsidRPr="0023292A">
        <w:rPr>
          <w:rFonts w:cs="Arial"/>
        </w:rPr>
        <w:t xml:space="preserve"> the lowest</w:t>
      </w:r>
      <w:r w:rsidR="00F07EA5" w:rsidRPr="0023292A">
        <w:rPr>
          <w:rFonts w:cs="Arial"/>
        </w:rPr>
        <w:t xml:space="preserve"> activity rate</w:t>
      </w:r>
      <w:r w:rsidR="00030DBF" w:rsidRPr="0023292A">
        <w:rPr>
          <w:rFonts w:cs="Arial"/>
        </w:rPr>
        <w:t>,</w:t>
      </w:r>
      <w:r w:rsidR="00077879" w:rsidRPr="0023292A">
        <w:rPr>
          <w:rFonts w:cs="Arial"/>
        </w:rPr>
        <w:t xml:space="preserve"> </w:t>
      </w:r>
      <w:r w:rsidR="00F07EA5" w:rsidRPr="0023292A">
        <w:rPr>
          <w:rFonts w:cs="Arial"/>
        </w:rPr>
        <w:t>49</w:t>
      </w:r>
      <w:r w:rsidR="00077879" w:rsidRPr="0023292A">
        <w:rPr>
          <w:rFonts w:cs="Arial"/>
        </w:rPr>
        <w:t>.</w:t>
      </w:r>
      <w:r w:rsidR="004D7487" w:rsidRPr="0023292A">
        <w:rPr>
          <w:rFonts w:cs="Arial"/>
        </w:rPr>
        <w:t>9</w:t>
      </w:r>
      <w:r w:rsidR="00077879" w:rsidRPr="0023292A">
        <w:rPr>
          <w:rFonts w:cs="Arial"/>
        </w:rPr>
        <w:t>%</w:t>
      </w:r>
      <w:r w:rsidR="00B05442" w:rsidRPr="0023292A">
        <w:rPr>
          <w:rFonts w:cs="Arial"/>
        </w:rPr>
        <w:t>.</w:t>
      </w:r>
    </w:p>
    <w:p w:rsidR="00391A81" w:rsidRPr="0023292A" w:rsidRDefault="00391A81" w:rsidP="00ED093B">
      <w:pPr>
        <w:spacing w:before="120" w:after="120" w:line="264" w:lineRule="auto"/>
        <w:ind w:firstLine="403"/>
        <w:jc w:val="both"/>
        <w:rPr>
          <w:rFonts w:cs="Arial"/>
        </w:rPr>
      </w:pPr>
      <w:r w:rsidRPr="0023292A">
        <w:rPr>
          <w:rFonts w:cs="Arial"/>
          <w:b/>
        </w:rPr>
        <w:lastRenderedPageBreak/>
        <w:t xml:space="preserve">Employment rate </w:t>
      </w:r>
      <w:r w:rsidRPr="0023292A">
        <w:rPr>
          <w:rFonts w:cs="Arial"/>
        </w:rPr>
        <w:t>of population aged 15 and over amounted to</w:t>
      </w:r>
      <w:r w:rsidR="00077879" w:rsidRPr="0023292A">
        <w:rPr>
          <w:rFonts w:cs="Arial"/>
        </w:rPr>
        <w:t xml:space="preserve"> 4</w:t>
      </w:r>
      <w:r w:rsidR="00F07EA5" w:rsidRPr="0023292A">
        <w:rPr>
          <w:rFonts w:cs="Arial"/>
        </w:rPr>
        <w:t>8</w:t>
      </w:r>
      <w:r w:rsidRPr="0023292A">
        <w:rPr>
          <w:rFonts w:cs="Arial"/>
        </w:rPr>
        <w:t>.</w:t>
      </w:r>
      <w:r w:rsidR="00F07EA5" w:rsidRPr="0023292A">
        <w:rPr>
          <w:rFonts w:cs="Arial"/>
        </w:rPr>
        <w:t>2</w:t>
      </w:r>
      <w:r w:rsidR="00B05442" w:rsidRPr="0023292A">
        <w:rPr>
          <w:rFonts w:cs="Arial"/>
        </w:rPr>
        <w:t xml:space="preserve">%, </w:t>
      </w:r>
      <w:r w:rsidRPr="0023292A">
        <w:rPr>
          <w:rFonts w:cs="Arial"/>
        </w:rPr>
        <w:t>i.e. 5</w:t>
      </w:r>
      <w:r w:rsidR="00F07EA5" w:rsidRPr="0023292A">
        <w:rPr>
          <w:rFonts w:cs="Arial"/>
        </w:rPr>
        <w:t>5</w:t>
      </w:r>
      <w:r w:rsidRPr="0023292A">
        <w:rPr>
          <w:rFonts w:cs="Arial"/>
        </w:rPr>
        <w:t>.</w:t>
      </w:r>
      <w:r w:rsidR="00F07EA5" w:rsidRPr="0023292A">
        <w:rPr>
          <w:rFonts w:cs="Arial"/>
        </w:rPr>
        <w:t>7</w:t>
      </w:r>
      <w:r w:rsidRPr="0023292A">
        <w:rPr>
          <w:rFonts w:cs="Arial"/>
        </w:rPr>
        <w:t xml:space="preserve">% regarding males and </w:t>
      </w:r>
      <w:r w:rsidR="00FB2E36" w:rsidRPr="0023292A">
        <w:rPr>
          <w:rFonts w:cs="Arial"/>
        </w:rPr>
        <w:t>4</w:t>
      </w:r>
      <w:r w:rsidR="00030DBF" w:rsidRPr="0023292A">
        <w:rPr>
          <w:rFonts w:cs="Arial"/>
        </w:rPr>
        <w:t>1</w:t>
      </w:r>
      <w:r w:rsidRPr="0023292A">
        <w:rPr>
          <w:rFonts w:cs="Arial"/>
        </w:rPr>
        <w:t>.</w:t>
      </w:r>
      <w:r w:rsidR="00F07EA5" w:rsidRPr="0023292A">
        <w:rPr>
          <w:rFonts w:cs="Arial"/>
        </w:rPr>
        <w:t>3</w:t>
      </w:r>
      <w:r w:rsidR="00B05442" w:rsidRPr="0023292A">
        <w:rPr>
          <w:rFonts w:cs="Arial"/>
        </w:rPr>
        <w:t>%</w:t>
      </w:r>
      <w:r w:rsidRPr="0023292A">
        <w:rPr>
          <w:rFonts w:cs="Arial"/>
        </w:rPr>
        <w:t xml:space="preserve"> regarding females</w:t>
      </w:r>
      <w:r w:rsidR="00B05442" w:rsidRPr="0023292A">
        <w:rPr>
          <w:rFonts w:cs="Arial"/>
        </w:rPr>
        <w:t xml:space="preserve">. </w:t>
      </w:r>
      <w:r w:rsidRPr="0023292A">
        <w:rPr>
          <w:rFonts w:cs="Arial"/>
        </w:rPr>
        <w:t>The greatest employment rate was noted in</w:t>
      </w:r>
      <w:r w:rsidR="00F07EA5" w:rsidRPr="0023292A">
        <w:rPr>
          <w:rFonts w:cs="Arial"/>
        </w:rPr>
        <w:t xml:space="preserve"> </w:t>
      </w:r>
      <w:r w:rsidR="0051113F" w:rsidRPr="0023292A">
        <w:rPr>
          <w:rFonts w:cs="Arial"/>
        </w:rPr>
        <w:t>Beogradski region (5</w:t>
      </w:r>
      <w:r w:rsidR="00F07EA5" w:rsidRPr="0023292A">
        <w:rPr>
          <w:rFonts w:cs="Arial"/>
        </w:rPr>
        <w:t>0</w:t>
      </w:r>
      <w:r w:rsidR="0051113F" w:rsidRPr="0023292A">
        <w:rPr>
          <w:rFonts w:cs="Arial"/>
        </w:rPr>
        <w:t>.</w:t>
      </w:r>
      <w:r w:rsidR="00F07EA5" w:rsidRPr="0023292A">
        <w:rPr>
          <w:rFonts w:cs="Arial"/>
        </w:rPr>
        <w:t>2</w:t>
      </w:r>
      <w:r w:rsidR="0051113F" w:rsidRPr="0023292A">
        <w:rPr>
          <w:rFonts w:cs="Arial"/>
        </w:rPr>
        <w:t xml:space="preserve">%), followed by </w:t>
      </w:r>
      <w:r w:rsidR="00F03B80" w:rsidRPr="0023292A">
        <w:rPr>
          <w:rFonts w:cs="Arial"/>
        </w:rPr>
        <w:t>Region Šumadije</w:t>
      </w:r>
      <w:r w:rsidR="00F07EA5" w:rsidRPr="0023292A">
        <w:rPr>
          <w:rFonts w:cs="Arial"/>
        </w:rPr>
        <w:t xml:space="preserve"> I </w:t>
      </w:r>
      <w:r w:rsidR="00F03B80" w:rsidRPr="0023292A">
        <w:rPr>
          <w:rFonts w:cs="Arial"/>
        </w:rPr>
        <w:t>Zapadne</w:t>
      </w:r>
      <w:r w:rsidR="00F07EA5" w:rsidRPr="0023292A">
        <w:rPr>
          <w:rFonts w:cs="Arial"/>
        </w:rPr>
        <w:t xml:space="preserve"> </w:t>
      </w:r>
      <w:r w:rsidR="00F03B80" w:rsidRPr="0023292A">
        <w:rPr>
          <w:rFonts w:cs="Arial"/>
        </w:rPr>
        <w:t xml:space="preserve">Srbije and </w:t>
      </w:r>
      <w:r w:rsidR="0051113F" w:rsidRPr="0023292A">
        <w:rPr>
          <w:rFonts w:cs="Arial"/>
        </w:rPr>
        <w:t>Region Vojvodine (</w:t>
      </w:r>
      <w:r w:rsidR="00F07EA5" w:rsidRPr="0023292A">
        <w:rPr>
          <w:rFonts w:cs="Arial"/>
        </w:rPr>
        <w:t>49</w:t>
      </w:r>
      <w:r w:rsidR="0051113F" w:rsidRPr="0023292A">
        <w:rPr>
          <w:rFonts w:cs="Arial"/>
        </w:rPr>
        <w:t>.</w:t>
      </w:r>
      <w:r w:rsidR="00F07EA5" w:rsidRPr="0023292A">
        <w:rPr>
          <w:rFonts w:cs="Arial"/>
        </w:rPr>
        <w:t>3</w:t>
      </w:r>
      <w:r w:rsidR="0051113F" w:rsidRPr="0023292A">
        <w:rPr>
          <w:rFonts w:cs="Arial"/>
        </w:rPr>
        <w:t>% and 4</w:t>
      </w:r>
      <w:r w:rsidR="00F07EA5" w:rsidRPr="0023292A">
        <w:rPr>
          <w:rFonts w:cs="Arial"/>
        </w:rPr>
        <w:t>7</w:t>
      </w:r>
      <w:r w:rsidR="0051113F" w:rsidRPr="0023292A">
        <w:rPr>
          <w:rFonts w:cs="Arial"/>
        </w:rPr>
        <w:t>.</w:t>
      </w:r>
      <w:r w:rsidR="00F07EA5" w:rsidRPr="0023292A">
        <w:rPr>
          <w:rFonts w:cs="Arial"/>
        </w:rPr>
        <w:t>0</w:t>
      </w:r>
      <w:r w:rsidR="0051113F" w:rsidRPr="0023292A">
        <w:rPr>
          <w:rFonts w:cs="Arial"/>
        </w:rPr>
        <w:t>%, respectively).</w:t>
      </w:r>
      <w:r w:rsidR="00F07EA5" w:rsidRPr="0023292A">
        <w:rPr>
          <w:rFonts w:cs="Arial"/>
        </w:rPr>
        <w:t xml:space="preserve"> </w:t>
      </w:r>
      <w:r w:rsidR="0051113F" w:rsidRPr="0023292A">
        <w:rPr>
          <w:rFonts w:cs="Arial"/>
        </w:rPr>
        <w:t>Employment rate was the lowest</w:t>
      </w:r>
      <w:r w:rsidRPr="0023292A">
        <w:rPr>
          <w:rFonts w:cs="Arial"/>
        </w:rPr>
        <w:t xml:space="preserve"> in Region Južne</w:t>
      </w:r>
      <w:r w:rsidR="00F07EA5" w:rsidRPr="0023292A">
        <w:rPr>
          <w:rFonts w:cs="Arial"/>
        </w:rPr>
        <w:t xml:space="preserve"> I </w:t>
      </w:r>
      <w:r w:rsidRPr="0023292A">
        <w:rPr>
          <w:rFonts w:cs="Arial"/>
        </w:rPr>
        <w:t>Istočne</w:t>
      </w:r>
      <w:r w:rsidR="00F07EA5" w:rsidRPr="0023292A">
        <w:rPr>
          <w:rFonts w:cs="Arial"/>
        </w:rPr>
        <w:t xml:space="preserve"> </w:t>
      </w:r>
      <w:r w:rsidRPr="0023292A">
        <w:rPr>
          <w:rFonts w:cs="Arial"/>
        </w:rPr>
        <w:t>Srbije</w:t>
      </w:r>
      <w:r w:rsidR="00F03B80" w:rsidRPr="0023292A">
        <w:rPr>
          <w:rFonts w:cs="Arial"/>
        </w:rPr>
        <w:t xml:space="preserve">, </w:t>
      </w:r>
      <w:r w:rsidRPr="0023292A">
        <w:rPr>
          <w:rFonts w:cs="Arial"/>
        </w:rPr>
        <w:t>4</w:t>
      </w:r>
      <w:r w:rsidR="00F07EA5" w:rsidRPr="0023292A">
        <w:rPr>
          <w:rFonts w:cs="Arial"/>
        </w:rPr>
        <w:t>6</w:t>
      </w:r>
      <w:r w:rsidRPr="0023292A">
        <w:rPr>
          <w:rFonts w:cs="Arial"/>
        </w:rPr>
        <w:t>.</w:t>
      </w:r>
      <w:r w:rsidR="00F07EA5" w:rsidRPr="0023292A">
        <w:rPr>
          <w:rFonts w:cs="Arial"/>
        </w:rPr>
        <w:t>1</w:t>
      </w:r>
      <w:r w:rsidR="00F03B80" w:rsidRPr="0023292A">
        <w:rPr>
          <w:rFonts w:cs="Arial"/>
        </w:rPr>
        <w:t>%</w:t>
      </w:r>
      <w:r w:rsidRPr="0023292A">
        <w:rPr>
          <w:rFonts w:cs="Arial"/>
        </w:rPr>
        <w:t>.</w:t>
      </w:r>
    </w:p>
    <w:p w:rsidR="00B05442" w:rsidRPr="0023292A" w:rsidRDefault="00391A81" w:rsidP="00ED093B">
      <w:pPr>
        <w:spacing w:before="120" w:after="120" w:line="264" w:lineRule="auto"/>
        <w:ind w:firstLine="403"/>
        <w:jc w:val="both"/>
        <w:rPr>
          <w:rFonts w:cs="Arial"/>
          <w:b/>
        </w:rPr>
      </w:pPr>
      <w:r w:rsidRPr="0023292A">
        <w:rPr>
          <w:rFonts w:cs="Arial"/>
          <w:b/>
        </w:rPr>
        <w:t xml:space="preserve">Informal employment rate </w:t>
      </w:r>
      <w:r w:rsidR="00084400" w:rsidRPr="0023292A">
        <w:rPr>
          <w:rFonts w:cs="Arial"/>
        </w:rPr>
        <w:t>in the mentioned quarter, on</w:t>
      </w:r>
      <w:r w:rsidRPr="0023292A">
        <w:rPr>
          <w:rFonts w:cs="Arial"/>
        </w:rPr>
        <w:t xml:space="preserve"> the level of all activities was </w:t>
      </w:r>
      <w:r w:rsidR="00852349" w:rsidRPr="0023292A">
        <w:rPr>
          <w:rFonts w:cs="Arial"/>
        </w:rPr>
        <w:t>1</w:t>
      </w:r>
      <w:r w:rsidR="00F07EA5" w:rsidRPr="0023292A">
        <w:rPr>
          <w:rFonts w:cs="Arial"/>
        </w:rPr>
        <w:t>5</w:t>
      </w:r>
      <w:r w:rsidRPr="0023292A">
        <w:rPr>
          <w:rFonts w:cs="Arial"/>
        </w:rPr>
        <w:t>.</w:t>
      </w:r>
      <w:r w:rsidR="00F07EA5" w:rsidRPr="0023292A">
        <w:rPr>
          <w:rFonts w:cs="Arial"/>
        </w:rPr>
        <w:t>2</w:t>
      </w:r>
      <w:r w:rsidR="00B05442" w:rsidRPr="0023292A">
        <w:rPr>
          <w:rFonts w:cs="Arial"/>
        </w:rPr>
        <w:t xml:space="preserve">%, </w:t>
      </w:r>
      <w:r w:rsidRPr="0023292A">
        <w:rPr>
          <w:rFonts w:cs="Arial"/>
        </w:rPr>
        <w:t>whereof informal sector related to employment in agricultural activities</w:t>
      </w:r>
      <w:r w:rsidR="00F82D1F" w:rsidRPr="0023292A">
        <w:rPr>
          <w:rStyle w:val="FootnoteReference"/>
          <w:rFonts w:cs="Arial"/>
        </w:rPr>
        <w:footnoteReference w:id="1"/>
      </w:r>
      <w:r w:rsidR="00084400" w:rsidRPr="0023292A">
        <w:rPr>
          <w:rFonts w:cs="Arial"/>
        </w:rPr>
        <w:t xml:space="preserve">recorded the rate of </w:t>
      </w:r>
      <w:r w:rsidR="00030DBF" w:rsidRPr="0023292A">
        <w:rPr>
          <w:rFonts w:cs="Arial"/>
        </w:rPr>
        <w:t>5</w:t>
      </w:r>
      <w:r w:rsidR="00F07EA5" w:rsidRPr="0023292A">
        <w:rPr>
          <w:rFonts w:cs="Arial"/>
        </w:rPr>
        <w:t>6</w:t>
      </w:r>
      <w:r w:rsidR="00084400" w:rsidRPr="0023292A">
        <w:rPr>
          <w:rFonts w:cs="Arial"/>
        </w:rPr>
        <w:t>.</w:t>
      </w:r>
      <w:r w:rsidR="00F07EA5" w:rsidRPr="0023292A">
        <w:rPr>
          <w:rFonts w:cs="Arial"/>
        </w:rPr>
        <w:t>9</w:t>
      </w:r>
      <w:r w:rsidR="00084400" w:rsidRPr="0023292A">
        <w:rPr>
          <w:rFonts w:cs="Arial"/>
        </w:rPr>
        <w:t xml:space="preserve">%, and in activities </w:t>
      </w:r>
      <w:r w:rsidR="002A0F49" w:rsidRPr="0023292A">
        <w:rPr>
          <w:rFonts w:cs="Arial"/>
        </w:rPr>
        <w:t>excluding</w:t>
      </w:r>
      <w:r w:rsidR="00084400" w:rsidRPr="0023292A">
        <w:rPr>
          <w:rFonts w:cs="Arial"/>
        </w:rPr>
        <w:t xml:space="preserve"> agriculture, </w:t>
      </w:r>
      <w:r w:rsidR="00F7497D" w:rsidRPr="0023292A">
        <w:rPr>
          <w:rFonts w:cs="Arial"/>
        </w:rPr>
        <w:t xml:space="preserve">the rate had the value of </w:t>
      </w:r>
      <w:r w:rsidR="00F07EA5" w:rsidRPr="0023292A">
        <w:rPr>
          <w:rFonts w:cs="Arial"/>
        </w:rPr>
        <w:t>5</w:t>
      </w:r>
      <w:r w:rsidR="00F7497D" w:rsidRPr="0023292A">
        <w:rPr>
          <w:rFonts w:cs="Arial"/>
        </w:rPr>
        <w:t>.</w:t>
      </w:r>
      <w:r w:rsidR="00F07EA5" w:rsidRPr="0023292A">
        <w:rPr>
          <w:rFonts w:cs="Arial"/>
        </w:rPr>
        <w:t>4</w:t>
      </w:r>
      <w:r w:rsidR="00F7497D" w:rsidRPr="0023292A">
        <w:rPr>
          <w:rFonts w:cs="Arial"/>
        </w:rPr>
        <w:t>%.</w:t>
      </w:r>
    </w:p>
    <w:p w:rsidR="00391A81" w:rsidRPr="00185079" w:rsidRDefault="00391A81" w:rsidP="00ED093B">
      <w:pPr>
        <w:spacing w:before="120" w:after="120" w:line="264" w:lineRule="auto"/>
        <w:ind w:firstLine="403"/>
        <w:jc w:val="both"/>
        <w:rPr>
          <w:rFonts w:cs="Arial"/>
        </w:rPr>
      </w:pPr>
      <w:r w:rsidRPr="00270D6B">
        <w:rPr>
          <w:rFonts w:cs="Arial"/>
          <w:b/>
        </w:rPr>
        <w:t>Unemployment rate</w:t>
      </w:r>
      <w:r w:rsidRPr="00270D6B">
        <w:rPr>
          <w:rFonts w:cs="Arial"/>
        </w:rPr>
        <w:t xml:space="preserve"> of population aged 15 and over amounted to </w:t>
      </w:r>
      <w:r w:rsidR="00F07EA5" w:rsidRPr="00270D6B">
        <w:rPr>
          <w:rFonts w:cs="Arial"/>
        </w:rPr>
        <w:t>7</w:t>
      </w:r>
      <w:r w:rsidRPr="00270D6B">
        <w:rPr>
          <w:rFonts w:cs="Arial"/>
        </w:rPr>
        <w:t>.</w:t>
      </w:r>
      <w:r w:rsidR="00F07EA5" w:rsidRPr="00270D6B">
        <w:rPr>
          <w:rFonts w:cs="Arial"/>
        </w:rPr>
        <w:t>3</w:t>
      </w:r>
      <w:r w:rsidR="00C0716F" w:rsidRPr="00270D6B">
        <w:rPr>
          <w:rFonts w:cs="Arial"/>
        </w:rPr>
        <w:t xml:space="preserve">%, i.e. </w:t>
      </w:r>
      <w:r w:rsidR="00F07EA5" w:rsidRPr="00270D6B">
        <w:rPr>
          <w:rFonts w:cs="Arial"/>
        </w:rPr>
        <w:t>7</w:t>
      </w:r>
      <w:r w:rsidR="00C0716F" w:rsidRPr="00270D6B">
        <w:rPr>
          <w:rFonts w:cs="Arial"/>
        </w:rPr>
        <w:t>.</w:t>
      </w:r>
      <w:r w:rsidR="00F07EA5" w:rsidRPr="00270D6B">
        <w:rPr>
          <w:rFonts w:cs="Arial"/>
        </w:rPr>
        <w:t>0</w:t>
      </w:r>
      <w:r w:rsidRPr="00270D6B">
        <w:rPr>
          <w:rFonts w:cs="Arial"/>
        </w:rPr>
        <w:t xml:space="preserve">% regarding males and </w:t>
      </w:r>
      <w:r w:rsidR="00F07EA5" w:rsidRPr="00270D6B">
        <w:rPr>
          <w:rFonts w:cs="Arial"/>
        </w:rPr>
        <w:t>7</w:t>
      </w:r>
      <w:r w:rsidRPr="00270D6B">
        <w:rPr>
          <w:rFonts w:cs="Arial"/>
        </w:rPr>
        <w:t>.</w:t>
      </w:r>
      <w:r w:rsidR="00F07EA5" w:rsidRPr="00270D6B">
        <w:rPr>
          <w:rFonts w:cs="Arial"/>
        </w:rPr>
        <w:t>6</w:t>
      </w:r>
      <w:r w:rsidRPr="00270D6B">
        <w:rPr>
          <w:rFonts w:cs="Arial"/>
        </w:rPr>
        <w:t xml:space="preserve">% regarding females. Observed by regions, the </w:t>
      </w:r>
      <w:r w:rsidR="00084400" w:rsidRPr="00270D6B">
        <w:rPr>
          <w:rFonts w:cs="Arial"/>
        </w:rPr>
        <w:t>lowest rate was recorded in</w:t>
      </w:r>
      <w:r w:rsidR="00F07EA5" w:rsidRPr="00270D6B">
        <w:rPr>
          <w:rFonts w:cs="Arial"/>
        </w:rPr>
        <w:t xml:space="preserve"> Region Vojvodine (6.0%), followed by </w:t>
      </w:r>
      <w:r w:rsidR="00852349" w:rsidRPr="00270D6B">
        <w:rPr>
          <w:rFonts w:cs="Arial"/>
        </w:rPr>
        <w:t>Beogradski region (</w:t>
      </w:r>
      <w:r w:rsidR="00F07EA5" w:rsidRPr="00270D6B">
        <w:rPr>
          <w:rFonts w:cs="Arial"/>
        </w:rPr>
        <w:t>6</w:t>
      </w:r>
      <w:r w:rsidR="00852349" w:rsidRPr="00270D6B">
        <w:rPr>
          <w:rFonts w:cs="Arial"/>
        </w:rPr>
        <w:t>.</w:t>
      </w:r>
      <w:r w:rsidR="00F07EA5" w:rsidRPr="00270D6B">
        <w:rPr>
          <w:rFonts w:cs="Arial"/>
        </w:rPr>
        <w:t>1</w:t>
      </w:r>
      <w:r w:rsidR="00852349" w:rsidRPr="00270D6B">
        <w:rPr>
          <w:rFonts w:cs="Arial"/>
        </w:rPr>
        <w:t>%</w:t>
      </w:r>
      <w:r w:rsidR="00220476" w:rsidRPr="00270D6B">
        <w:rPr>
          <w:rFonts w:cs="Arial"/>
        </w:rPr>
        <w:t>)</w:t>
      </w:r>
      <w:r w:rsidR="00084400" w:rsidRPr="00270D6B">
        <w:rPr>
          <w:rFonts w:cs="Arial"/>
        </w:rPr>
        <w:t xml:space="preserve"> and Region Šumadije</w:t>
      </w:r>
      <w:r w:rsidR="00F07EA5" w:rsidRPr="00270D6B">
        <w:rPr>
          <w:rFonts w:cs="Arial"/>
        </w:rPr>
        <w:t xml:space="preserve"> I </w:t>
      </w:r>
      <w:r w:rsidR="00084400" w:rsidRPr="00270D6B">
        <w:rPr>
          <w:rFonts w:cs="Arial"/>
        </w:rPr>
        <w:t>Zapadne</w:t>
      </w:r>
      <w:r w:rsidR="00F07EA5" w:rsidRPr="00270D6B">
        <w:rPr>
          <w:rFonts w:cs="Arial"/>
        </w:rPr>
        <w:t xml:space="preserve"> </w:t>
      </w:r>
      <w:r w:rsidR="00084400" w:rsidRPr="00270D6B">
        <w:rPr>
          <w:rFonts w:cs="Arial"/>
        </w:rPr>
        <w:t>Srbije (</w:t>
      </w:r>
      <w:r w:rsidR="00F07EA5" w:rsidRPr="00270D6B">
        <w:rPr>
          <w:rFonts w:cs="Arial"/>
        </w:rPr>
        <w:t>7</w:t>
      </w:r>
      <w:r w:rsidR="00084400" w:rsidRPr="00270D6B">
        <w:rPr>
          <w:rFonts w:cs="Arial"/>
        </w:rPr>
        <w:t>.</w:t>
      </w:r>
      <w:r w:rsidR="00F07EA5" w:rsidRPr="00270D6B">
        <w:rPr>
          <w:rFonts w:cs="Arial"/>
        </w:rPr>
        <w:t>8</w:t>
      </w:r>
      <w:r w:rsidR="00084400" w:rsidRPr="00270D6B">
        <w:rPr>
          <w:rFonts w:cs="Arial"/>
        </w:rPr>
        <w:t xml:space="preserve">%). </w:t>
      </w:r>
      <w:r w:rsidRPr="00270D6B">
        <w:rPr>
          <w:rFonts w:cs="Arial"/>
        </w:rPr>
        <w:t>Region Južne</w:t>
      </w:r>
      <w:r w:rsidR="00F07EA5" w:rsidRPr="00270D6B">
        <w:rPr>
          <w:rFonts w:cs="Arial"/>
        </w:rPr>
        <w:t xml:space="preserve"> </w:t>
      </w:r>
      <w:r w:rsidR="006C463F" w:rsidRPr="00270D6B">
        <w:rPr>
          <w:rFonts w:cs="Arial"/>
        </w:rPr>
        <w:t>i</w:t>
      </w:r>
      <w:r w:rsidR="00F07EA5" w:rsidRPr="00270D6B">
        <w:rPr>
          <w:rFonts w:cs="Arial"/>
        </w:rPr>
        <w:t xml:space="preserve"> </w:t>
      </w:r>
      <w:r w:rsidRPr="00270D6B">
        <w:rPr>
          <w:rFonts w:cs="Arial"/>
        </w:rPr>
        <w:t>Istočne</w:t>
      </w:r>
      <w:r w:rsidR="00F07EA5" w:rsidRPr="00270D6B">
        <w:rPr>
          <w:rFonts w:cs="Arial"/>
        </w:rPr>
        <w:t xml:space="preserve"> </w:t>
      </w:r>
      <w:r w:rsidRPr="00270D6B">
        <w:rPr>
          <w:rFonts w:cs="Arial"/>
        </w:rPr>
        <w:t>Srbije</w:t>
      </w:r>
      <w:r w:rsidR="00F07EA5" w:rsidRPr="00270D6B">
        <w:rPr>
          <w:rFonts w:cs="Arial"/>
        </w:rPr>
        <w:t xml:space="preserve"> </w:t>
      </w:r>
      <w:r w:rsidR="006C463F" w:rsidRPr="00270D6B">
        <w:rPr>
          <w:rFonts w:cs="Arial"/>
        </w:rPr>
        <w:t xml:space="preserve">still </w:t>
      </w:r>
      <w:r w:rsidR="00084400" w:rsidRPr="00270D6B">
        <w:rPr>
          <w:rFonts w:cs="Arial"/>
        </w:rPr>
        <w:t>record</w:t>
      </w:r>
      <w:r w:rsidR="006C463F" w:rsidRPr="00270D6B">
        <w:rPr>
          <w:rFonts w:cs="Arial"/>
        </w:rPr>
        <w:t xml:space="preserve">s </w:t>
      </w:r>
      <w:r w:rsidR="00084400" w:rsidRPr="00270D6B">
        <w:rPr>
          <w:rFonts w:cs="Arial"/>
        </w:rPr>
        <w:t xml:space="preserve">the </w:t>
      </w:r>
      <w:r w:rsidR="00030DBF" w:rsidRPr="00270D6B">
        <w:rPr>
          <w:rFonts w:cs="Arial"/>
        </w:rPr>
        <w:t xml:space="preserve">worst situation regarding </w:t>
      </w:r>
      <w:r w:rsidR="00961739" w:rsidRPr="00270D6B">
        <w:rPr>
          <w:rFonts w:cs="Arial"/>
        </w:rPr>
        <w:t>labour</w:t>
      </w:r>
      <w:r w:rsidR="00030DBF" w:rsidRPr="00270D6B">
        <w:rPr>
          <w:rFonts w:cs="Arial"/>
        </w:rPr>
        <w:t xml:space="preserve"> market, resulting in the greatest</w:t>
      </w:r>
      <w:r w:rsidR="00084400" w:rsidRPr="00270D6B">
        <w:rPr>
          <w:rFonts w:cs="Arial"/>
        </w:rPr>
        <w:t xml:space="preserve"> unemployment rate of </w:t>
      </w:r>
      <w:r w:rsidR="00F07EA5" w:rsidRPr="00270D6B">
        <w:rPr>
          <w:rFonts w:cs="Arial"/>
        </w:rPr>
        <w:t>9</w:t>
      </w:r>
      <w:r w:rsidR="00084400" w:rsidRPr="00270D6B">
        <w:rPr>
          <w:rFonts w:cs="Arial"/>
        </w:rPr>
        <w:t>.</w:t>
      </w:r>
      <w:r w:rsidR="00F07EA5" w:rsidRPr="00270D6B">
        <w:rPr>
          <w:rFonts w:cs="Arial"/>
        </w:rPr>
        <w:t>6</w:t>
      </w:r>
      <w:r w:rsidR="00084400" w:rsidRPr="00270D6B">
        <w:rPr>
          <w:rFonts w:cs="Arial"/>
        </w:rPr>
        <w:t>%</w:t>
      </w:r>
      <w:r w:rsidRPr="00270D6B">
        <w:rPr>
          <w:rFonts w:cs="Arial"/>
        </w:rPr>
        <w:t>.</w:t>
      </w:r>
    </w:p>
    <w:p w:rsidR="009E3604" w:rsidRDefault="009E3604" w:rsidP="00AE1A0C">
      <w:pPr>
        <w:spacing w:before="480" w:after="120" w:line="300" w:lineRule="auto"/>
        <w:ind w:firstLine="403"/>
        <w:jc w:val="center"/>
        <w:rPr>
          <w:rFonts w:cs="Arial"/>
          <w:bCs/>
        </w:rPr>
      </w:pPr>
      <w:r w:rsidRPr="00185079">
        <w:rPr>
          <w:rFonts w:cs="Arial"/>
          <w:b/>
          <w:color w:val="323232"/>
        </w:rPr>
        <w:t>Table 1</w:t>
      </w:r>
      <w:r w:rsidR="004D7487" w:rsidRPr="00185079">
        <w:rPr>
          <w:rFonts w:cs="Arial"/>
          <w:b/>
          <w:color w:val="323232"/>
        </w:rPr>
        <w:t xml:space="preserve"> </w:t>
      </w:r>
      <w:r w:rsidRPr="00185079">
        <w:rPr>
          <w:rFonts w:cs="Arial"/>
          <w:bCs/>
        </w:rPr>
        <w:t>Main indicators of labour market trend, Q</w:t>
      </w:r>
      <w:r w:rsidR="00C137BD" w:rsidRPr="00185079">
        <w:rPr>
          <w:rFonts w:cs="Arial"/>
          <w:bCs/>
        </w:rPr>
        <w:t>2</w:t>
      </w:r>
      <w:r w:rsidRPr="00185079">
        <w:rPr>
          <w:rFonts w:cs="Arial"/>
          <w:bCs/>
        </w:rPr>
        <w:t xml:space="preserve"> 20</w:t>
      </w:r>
      <w:r w:rsidR="00D0048F" w:rsidRPr="00185079">
        <w:rPr>
          <w:rFonts w:cs="Arial"/>
          <w:bCs/>
        </w:rPr>
        <w:t>20</w:t>
      </w:r>
    </w:p>
    <w:tbl>
      <w:tblPr>
        <w:tblW w:w="10206" w:type="dxa"/>
        <w:jc w:val="center"/>
        <w:tblLook w:val="04A0" w:firstRow="1" w:lastRow="0" w:firstColumn="1" w:lastColumn="0" w:noHBand="0" w:noVBand="1"/>
      </w:tblPr>
      <w:tblGrid>
        <w:gridCol w:w="4243"/>
        <w:gridCol w:w="1233"/>
        <w:gridCol w:w="1266"/>
        <w:gridCol w:w="1095"/>
        <w:gridCol w:w="1457"/>
        <w:gridCol w:w="912"/>
      </w:tblGrid>
      <w:tr w:rsidR="0023292A" w:rsidRPr="00B05442" w:rsidTr="0023292A">
        <w:trPr>
          <w:trHeight w:val="587"/>
          <w:jc w:val="center"/>
        </w:trPr>
        <w:tc>
          <w:tcPr>
            <w:tcW w:w="4243" w:type="dxa"/>
            <w:vMerge w:val="restart"/>
            <w:tcBorders>
              <w:top w:val="single" w:sz="4" w:space="0" w:color="003399"/>
              <w:bottom w:val="single" w:sz="8" w:space="0" w:color="0C5498"/>
              <w:right w:val="single" w:sz="4" w:space="0" w:color="003399"/>
            </w:tcBorders>
            <w:shd w:val="clear" w:color="auto" w:fill="F2F2F2" w:themeFill="background1" w:themeFillShade="F2"/>
            <w:noWrap/>
            <w:vAlign w:val="center"/>
            <w:hideMark/>
          </w:tcPr>
          <w:p w:rsidR="0023292A" w:rsidRPr="00276727" w:rsidRDefault="0023292A" w:rsidP="0023292A">
            <w:pPr>
              <w:spacing w:line="264" w:lineRule="auto"/>
              <w:rPr>
                <w:rFonts w:cs="Arial"/>
                <w:color w:val="000000"/>
                <w:sz w:val="18"/>
                <w:szCs w:val="18"/>
              </w:rPr>
            </w:pPr>
            <w:r w:rsidRPr="00B05442">
              <w:rPr>
                <w:rFonts w:cs="Arial"/>
                <w:color w:val="000000"/>
                <w:sz w:val="18"/>
                <w:szCs w:val="18"/>
                <w:lang w:val="sr-Latn-RS"/>
              </w:rPr>
              <w:t> </w:t>
            </w:r>
          </w:p>
        </w:tc>
        <w:tc>
          <w:tcPr>
            <w:tcW w:w="1233" w:type="dxa"/>
            <w:tcBorders>
              <w:top w:val="single" w:sz="4" w:space="0" w:color="003399"/>
              <w:left w:val="single" w:sz="4" w:space="0" w:color="003399"/>
              <w:bottom w:val="single" w:sz="8" w:space="0" w:color="0C5498"/>
              <w:right w:val="single" w:sz="4" w:space="0" w:color="003399"/>
            </w:tcBorders>
            <w:shd w:val="clear" w:color="auto" w:fill="F2F2F2" w:themeFill="background1" w:themeFillShade="F2"/>
            <w:vAlign w:val="center"/>
            <w:hideMark/>
          </w:tcPr>
          <w:p w:rsidR="0023292A" w:rsidRPr="00185079" w:rsidRDefault="0023292A" w:rsidP="0023292A">
            <w:pPr>
              <w:jc w:val="center"/>
              <w:rPr>
                <w:rFonts w:cs="Arial"/>
                <w:color w:val="000000"/>
                <w:sz w:val="18"/>
                <w:szCs w:val="18"/>
              </w:rPr>
            </w:pPr>
            <w:r w:rsidRPr="00185079">
              <w:rPr>
                <w:rFonts w:cs="Arial"/>
                <w:sz w:val="18"/>
                <w:szCs w:val="18"/>
              </w:rPr>
              <w:t>Q2 2020</w:t>
            </w:r>
          </w:p>
        </w:tc>
        <w:tc>
          <w:tcPr>
            <w:tcW w:w="2361" w:type="dxa"/>
            <w:gridSpan w:val="2"/>
            <w:tcBorders>
              <w:top w:val="single" w:sz="4" w:space="0" w:color="003399"/>
              <w:left w:val="single" w:sz="4" w:space="0" w:color="003399"/>
              <w:bottom w:val="single" w:sz="4" w:space="0" w:color="003399"/>
              <w:right w:val="single" w:sz="4" w:space="0" w:color="003399"/>
            </w:tcBorders>
            <w:shd w:val="clear" w:color="auto" w:fill="F2F2F2" w:themeFill="background1" w:themeFillShade="F2"/>
            <w:vAlign w:val="center"/>
            <w:hideMark/>
          </w:tcPr>
          <w:p w:rsidR="0023292A" w:rsidRPr="00185079" w:rsidRDefault="0023292A" w:rsidP="0023292A">
            <w:pPr>
              <w:jc w:val="center"/>
              <w:rPr>
                <w:rFonts w:cs="Arial"/>
                <w:color w:val="000000"/>
                <w:sz w:val="18"/>
                <w:szCs w:val="18"/>
              </w:rPr>
            </w:pPr>
            <w:r w:rsidRPr="00185079">
              <w:rPr>
                <w:rFonts w:cs="Arial"/>
                <w:sz w:val="18"/>
                <w:szCs w:val="18"/>
              </w:rPr>
              <w:t>Changes relative to previous quarter</w:t>
            </w:r>
          </w:p>
        </w:tc>
        <w:tc>
          <w:tcPr>
            <w:tcW w:w="2369" w:type="dxa"/>
            <w:gridSpan w:val="2"/>
            <w:tcBorders>
              <w:top w:val="single" w:sz="4" w:space="0" w:color="003399"/>
              <w:left w:val="single" w:sz="4" w:space="0" w:color="003399"/>
              <w:bottom w:val="single" w:sz="4" w:space="0" w:color="003399"/>
            </w:tcBorders>
            <w:shd w:val="clear" w:color="auto" w:fill="F2F2F2" w:themeFill="background1" w:themeFillShade="F2"/>
            <w:vAlign w:val="center"/>
            <w:hideMark/>
          </w:tcPr>
          <w:p w:rsidR="0023292A" w:rsidRPr="00185079" w:rsidRDefault="0023292A" w:rsidP="0023292A">
            <w:pPr>
              <w:jc w:val="center"/>
              <w:rPr>
                <w:rFonts w:cs="Arial"/>
                <w:color w:val="000000"/>
                <w:sz w:val="18"/>
                <w:szCs w:val="18"/>
              </w:rPr>
            </w:pPr>
            <w:r w:rsidRPr="00185079">
              <w:rPr>
                <w:rFonts w:cs="Arial"/>
                <w:sz w:val="18"/>
                <w:szCs w:val="18"/>
              </w:rPr>
              <w:t>Changes relative to same quarter of 2019</w:t>
            </w:r>
          </w:p>
        </w:tc>
      </w:tr>
      <w:tr w:rsidR="0023292A" w:rsidRPr="00B05442" w:rsidTr="0023292A">
        <w:trPr>
          <w:trHeight w:val="273"/>
          <w:jc w:val="center"/>
        </w:trPr>
        <w:tc>
          <w:tcPr>
            <w:tcW w:w="4243" w:type="dxa"/>
            <w:vMerge/>
            <w:tcBorders>
              <w:top w:val="single" w:sz="8" w:space="0" w:color="0C5498"/>
              <w:bottom w:val="single" w:sz="4" w:space="0" w:color="003399"/>
              <w:right w:val="single" w:sz="4" w:space="0" w:color="003399"/>
            </w:tcBorders>
            <w:shd w:val="clear" w:color="auto" w:fill="F2F2F2" w:themeFill="background1" w:themeFillShade="F2"/>
            <w:vAlign w:val="center"/>
            <w:hideMark/>
          </w:tcPr>
          <w:p w:rsidR="0023292A" w:rsidRPr="00B05442" w:rsidRDefault="0023292A" w:rsidP="0023292A">
            <w:pPr>
              <w:spacing w:line="264" w:lineRule="auto"/>
              <w:rPr>
                <w:rFonts w:cs="Arial"/>
                <w:color w:val="000000"/>
                <w:sz w:val="18"/>
                <w:szCs w:val="18"/>
              </w:rPr>
            </w:pPr>
          </w:p>
        </w:tc>
        <w:tc>
          <w:tcPr>
            <w:tcW w:w="1233" w:type="dxa"/>
            <w:tcBorders>
              <w:top w:val="nil"/>
              <w:left w:val="single" w:sz="4" w:space="0" w:color="003399"/>
              <w:bottom w:val="single" w:sz="4" w:space="0" w:color="003399"/>
              <w:right w:val="single" w:sz="4" w:space="0" w:color="003399"/>
            </w:tcBorders>
            <w:shd w:val="clear" w:color="auto" w:fill="F2F2F2" w:themeFill="background1" w:themeFillShade="F2"/>
            <w:vAlign w:val="center"/>
            <w:hideMark/>
          </w:tcPr>
          <w:p w:rsidR="0023292A" w:rsidRPr="00185079" w:rsidRDefault="0023292A" w:rsidP="0023292A">
            <w:pPr>
              <w:jc w:val="center"/>
              <w:rPr>
                <w:rFonts w:cs="Arial"/>
                <w:color w:val="000000"/>
                <w:sz w:val="18"/>
                <w:szCs w:val="18"/>
              </w:rPr>
            </w:pPr>
            <w:r w:rsidRPr="00185079">
              <w:rPr>
                <w:rFonts w:cs="Arial"/>
                <w:sz w:val="18"/>
                <w:szCs w:val="18"/>
              </w:rPr>
              <w:t>(in thousand)</w:t>
            </w:r>
          </w:p>
        </w:tc>
        <w:tc>
          <w:tcPr>
            <w:tcW w:w="1266" w:type="dxa"/>
            <w:tcBorders>
              <w:top w:val="single" w:sz="4" w:space="0" w:color="003399"/>
              <w:left w:val="single" w:sz="4" w:space="0" w:color="003399"/>
              <w:bottom w:val="single" w:sz="4" w:space="0" w:color="003399"/>
              <w:right w:val="single" w:sz="4" w:space="0" w:color="003399"/>
            </w:tcBorders>
            <w:shd w:val="clear" w:color="auto" w:fill="F2F2F2" w:themeFill="background1" w:themeFillShade="F2"/>
            <w:vAlign w:val="center"/>
            <w:hideMark/>
          </w:tcPr>
          <w:p w:rsidR="0023292A" w:rsidRPr="00185079" w:rsidRDefault="0023292A" w:rsidP="0023292A">
            <w:pPr>
              <w:jc w:val="center"/>
              <w:rPr>
                <w:rFonts w:cs="Arial"/>
                <w:color w:val="000000"/>
                <w:sz w:val="18"/>
                <w:szCs w:val="18"/>
              </w:rPr>
            </w:pPr>
            <w:r w:rsidRPr="00185079">
              <w:rPr>
                <w:rFonts w:cs="Arial"/>
                <w:sz w:val="18"/>
                <w:szCs w:val="18"/>
              </w:rPr>
              <w:t>(in thousand)</w:t>
            </w:r>
          </w:p>
        </w:tc>
        <w:tc>
          <w:tcPr>
            <w:tcW w:w="1095" w:type="dxa"/>
            <w:tcBorders>
              <w:top w:val="single" w:sz="4" w:space="0" w:color="003399"/>
              <w:left w:val="single" w:sz="4" w:space="0" w:color="003399"/>
              <w:bottom w:val="single" w:sz="4" w:space="0" w:color="003399"/>
              <w:right w:val="single" w:sz="8" w:space="0" w:color="0C5498"/>
            </w:tcBorders>
            <w:shd w:val="clear" w:color="auto" w:fill="F2F2F2" w:themeFill="background1" w:themeFillShade="F2"/>
            <w:vAlign w:val="center"/>
            <w:hideMark/>
          </w:tcPr>
          <w:p w:rsidR="0023292A" w:rsidRPr="00185079" w:rsidRDefault="0023292A" w:rsidP="0023292A">
            <w:pPr>
              <w:jc w:val="center"/>
              <w:rPr>
                <w:rFonts w:cs="Arial"/>
                <w:color w:val="000000"/>
                <w:sz w:val="18"/>
                <w:szCs w:val="18"/>
              </w:rPr>
            </w:pPr>
            <w:r w:rsidRPr="00185079">
              <w:rPr>
                <w:rFonts w:cs="Arial"/>
                <w:color w:val="000000"/>
                <w:sz w:val="18"/>
                <w:szCs w:val="18"/>
              </w:rPr>
              <w:t>%</w:t>
            </w:r>
          </w:p>
        </w:tc>
        <w:tc>
          <w:tcPr>
            <w:tcW w:w="1457" w:type="dxa"/>
            <w:tcBorders>
              <w:top w:val="single" w:sz="4" w:space="0" w:color="003399"/>
              <w:left w:val="nil"/>
              <w:bottom w:val="single" w:sz="4" w:space="0" w:color="003399"/>
              <w:right w:val="single" w:sz="8" w:space="0" w:color="003399"/>
            </w:tcBorders>
            <w:shd w:val="clear" w:color="auto" w:fill="F2F2F2" w:themeFill="background1" w:themeFillShade="F2"/>
            <w:vAlign w:val="center"/>
            <w:hideMark/>
          </w:tcPr>
          <w:p w:rsidR="0023292A" w:rsidRPr="00185079" w:rsidRDefault="0023292A" w:rsidP="0023292A">
            <w:pPr>
              <w:jc w:val="center"/>
              <w:rPr>
                <w:rFonts w:cs="Arial"/>
                <w:color w:val="000000"/>
                <w:sz w:val="18"/>
                <w:szCs w:val="18"/>
              </w:rPr>
            </w:pPr>
            <w:r w:rsidRPr="00185079">
              <w:rPr>
                <w:rFonts w:cs="Arial"/>
                <w:sz w:val="18"/>
                <w:szCs w:val="18"/>
              </w:rPr>
              <w:t>(in thousand)</w:t>
            </w:r>
          </w:p>
        </w:tc>
        <w:tc>
          <w:tcPr>
            <w:tcW w:w="912" w:type="dxa"/>
            <w:tcBorders>
              <w:top w:val="single" w:sz="4" w:space="0" w:color="003399"/>
              <w:left w:val="single" w:sz="8" w:space="0" w:color="003399"/>
              <w:bottom w:val="single" w:sz="4" w:space="0" w:color="003399"/>
            </w:tcBorders>
            <w:shd w:val="clear" w:color="auto" w:fill="F2F2F2" w:themeFill="background1" w:themeFillShade="F2"/>
            <w:vAlign w:val="center"/>
            <w:hideMark/>
          </w:tcPr>
          <w:p w:rsidR="0023292A" w:rsidRPr="00185079" w:rsidRDefault="0023292A" w:rsidP="0023292A">
            <w:pPr>
              <w:jc w:val="center"/>
              <w:rPr>
                <w:rFonts w:cs="Arial"/>
                <w:color w:val="000000"/>
                <w:sz w:val="18"/>
                <w:szCs w:val="18"/>
              </w:rPr>
            </w:pPr>
            <w:r w:rsidRPr="00185079">
              <w:rPr>
                <w:rFonts w:cs="Arial"/>
                <w:color w:val="000000"/>
                <w:sz w:val="18"/>
                <w:szCs w:val="18"/>
              </w:rPr>
              <w:t>%</w:t>
            </w:r>
          </w:p>
        </w:tc>
      </w:tr>
      <w:tr w:rsidR="0023292A" w:rsidRPr="00B05442" w:rsidTr="0023292A">
        <w:trPr>
          <w:trHeight w:val="260"/>
          <w:jc w:val="center"/>
        </w:trPr>
        <w:tc>
          <w:tcPr>
            <w:tcW w:w="4243" w:type="dxa"/>
            <w:tcBorders>
              <w:top w:val="single" w:sz="4" w:space="0" w:color="003399"/>
              <w:bottom w:val="single" w:sz="4" w:space="0" w:color="D9D9D9" w:themeColor="background1" w:themeShade="D9"/>
              <w:right w:val="single" w:sz="4" w:space="0" w:color="003399"/>
            </w:tcBorders>
            <w:shd w:val="clear" w:color="auto" w:fill="auto"/>
            <w:vAlign w:val="center"/>
            <w:hideMark/>
          </w:tcPr>
          <w:p w:rsidR="0023292A" w:rsidRPr="00B05442" w:rsidRDefault="0023292A" w:rsidP="0073125F">
            <w:pPr>
              <w:spacing w:line="264" w:lineRule="auto"/>
              <w:rPr>
                <w:rFonts w:cs="Arial"/>
                <w:b/>
                <w:bCs/>
                <w:color w:val="000000"/>
                <w:sz w:val="18"/>
                <w:szCs w:val="18"/>
              </w:rPr>
            </w:pPr>
            <w:r w:rsidRPr="00B05442">
              <w:rPr>
                <w:rFonts w:cs="Arial"/>
                <w:b/>
                <w:bCs/>
                <w:color w:val="000000"/>
                <w:sz w:val="18"/>
                <w:szCs w:val="18"/>
                <w:lang w:val="sr-Latn-RS"/>
              </w:rPr>
              <w:t> </w:t>
            </w:r>
          </w:p>
        </w:tc>
        <w:tc>
          <w:tcPr>
            <w:tcW w:w="1233" w:type="dxa"/>
            <w:tcBorders>
              <w:top w:val="single" w:sz="4" w:space="0" w:color="003399"/>
              <w:left w:val="single" w:sz="4" w:space="0" w:color="003399"/>
              <w:bottom w:val="single" w:sz="4" w:space="0" w:color="D9D9D9" w:themeColor="background1" w:themeShade="D9"/>
              <w:right w:val="single" w:sz="4" w:space="0" w:color="003399"/>
            </w:tcBorders>
            <w:shd w:val="clear" w:color="auto" w:fill="auto"/>
            <w:vAlign w:val="center"/>
            <w:hideMark/>
          </w:tcPr>
          <w:p w:rsidR="0023292A" w:rsidRPr="00B05442" w:rsidRDefault="0023292A" w:rsidP="0073125F">
            <w:pPr>
              <w:spacing w:line="264" w:lineRule="auto"/>
              <w:jc w:val="right"/>
              <w:rPr>
                <w:rFonts w:cs="Arial"/>
                <w:color w:val="000000"/>
                <w:sz w:val="18"/>
                <w:szCs w:val="18"/>
              </w:rPr>
            </w:pPr>
            <w:r w:rsidRPr="00B05442">
              <w:rPr>
                <w:rFonts w:cs="Arial"/>
                <w:color w:val="000000"/>
                <w:sz w:val="18"/>
                <w:szCs w:val="18"/>
                <w:lang w:val="sr-Latn-RS"/>
              </w:rPr>
              <w:t> </w:t>
            </w:r>
          </w:p>
        </w:tc>
        <w:tc>
          <w:tcPr>
            <w:tcW w:w="1266" w:type="dxa"/>
            <w:tcBorders>
              <w:top w:val="single" w:sz="4" w:space="0" w:color="003399"/>
              <w:left w:val="single" w:sz="4" w:space="0" w:color="003399"/>
              <w:bottom w:val="single" w:sz="4" w:space="0" w:color="D9D9D9" w:themeColor="background1" w:themeShade="D9"/>
              <w:right w:val="nil"/>
            </w:tcBorders>
            <w:shd w:val="clear" w:color="auto" w:fill="auto"/>
            <w:vAlign w:val="center"/>
            <w:hideMark/>
          </w:tcPr>
          <w:p w:rsidR="0023292A" w:rsidRPr="00B05442" w:rsidRDefault="0023292A" w:rsidP="0073125F">
            <w:pPr>
              <w:spacing w:line="264" w:lineRule="auto"/>
              <w:jc w:val="right"/>
              <w:rPr>
                <w:rFonts w:cs="Arial"/>
                <w:color w:val="000000"/>
                <w:sz w:val="18"/>
                <w:szCs w:val="18"/>
              </w:rPr>
            </w:pPr>
          </w:p>
        </w:tc>
        <w:tc>
          <w:tcPr>
            <w:tcW w:w="1095" w:type="dxa"/>
            <w:tcBorders>
              <w:top w:val="single" w:sz="4" w:space="0" w:color="003399"/>
              <w:left w:val="nil"/>
              <w:bottom w:val="single" w:sz="4" w:space="0" w:color="D9D9D9" w:themeColor="background1" w:themeShade="D9"/>
              <w:right w:val="single" w:sz="4" w:space="0" w:color="003399"/>
            </w:tcBorders>
            <w:shd w:val="clear" w:color="auto" w:fill="auto"/>
            <w:vAlign w:val="center"/>
            <w:hideMark/>
          </w:tcPr>
          <w:p w:rsidR="0023292A" w:rsidRPr="00B05442" w:rsidRDefault="0023292A" w:rsidP="0073125F">
            <w:pPr>
              <w:spacing w:line="264" w:lineRule="auto"/>
              <w:jc w:val="right"/>
              <w:rPr>
                <w:rFonts w:cs="Arial"/>
                <w:color w:val="000000"/>
                <w:sz w:val="18"/>
                <w:szCs w:val="18"/>
              </w:rPr>
            </w:pPr>
            <w:r w:rsidRPr="00B05442">
              <w:rPr>
                <w:rFonts w:cs="Arial"/>
                <w:color w:val="000000"/>
                <w:sz w:val="18"/>
                <w:szCs w:val="18"/>
                <w:lang w:val="sr-Latn-RS"/>
              </w:rPr>
              <w:t> </w:t>
            </w:r>
          </w:p>
        </w:tc>
        <w:tc>
          <w:tcPr>
            <w:tcW w:w="1457" w:type="dxa"/>
            <w:tcBorders>
              <w:top w:val="single" w:sz="4" w:space="0" w:color="003399"/>
              <w:left w:val="single" w:sz="4" w:space="0" w:color="003399"/>
              <w:bottom w:val="single" w:sz="4" w:space="0" w:color="D9D9D9" w:themeColor="background1" w:themeShade="D9"/>
              <w:right w:val="nil"/>
            </w:tcBorders>
            <w:shd w:val="clear" w:color="auto" w:fill="auto"/>
            <w:vAlign w:val="center"/>
            <w:hideMark/>
          </w:tcPr>
          <w:p w:rsidR="0023292A" w:rsidRPr="00B05442" w:rsidRDefault="0023292A" w:rsidP="0073125F">
            <w:pPr>
              <w:spacing w:line="264" w:lineRule="auto"/>
              <w:jc w:val="right"/>
              <w:rPr>
                <w:rFonts w:cs="Arial"/>
                <w:color w:val="000000"/>
                <w:sz w:val="18"/>
                <w:szCs w:val="18"/>
              </w:rPr>
            </w:pPr>
          </w:p>
        </w:tc>
        <w:tc>
          <w:tcPr>
            <w:tcW w:w="912" w:type="dxa"/>
            <w:tcBorders>
              <w:top w:val="single" w:sz="4" w:space="0" w:color="003399"/>
              <w:left w:val="nil"/>
              <w:bottom w:val="single" w:sz="4" w:space="0" w:color="D9D9D9" w:themeColor="background1" w:themeShade="D9"/>
            </w:tcBorders>
            <w:shd w:val="clear" w:color="auto" w:fill="auto"/>
            <w:vAlign w:val="center"/>
            <w:hideMark/>
          </w:tcPr>
          <w:p w:rsidR="0023292A" w:rsidRPr="00B05442" w:rsidRDefault="0023292A" w:rsidP="0073125F">
            <w:pPr>
              <w:spacing w:line="264" w:lineRule="auto"/>
              <w:jc w:val="right"/>
              <w:rPr>
                <w:rFonts w:cs="Arial"/>
                <w:color w:val="000000"/>
                <w:sz w:val="18"/>
                <w:szCs w:val="18"/>
              </w:rPr>
            </w:pPr>
            <w:r w:rsidRPr="00B05442">
              <w:rPr>
                <w:rFonts w:cs="Arial"/>
                <w:color w:val="000000"/>
                <w:sz w:val="18"/>
                <w:szCs w:val="18"/>
                <w:lang w:val="sr-Latn-RS"/>
              </w:rPr>
              <w:t> </w:t>
            </w:r>
          </w:p>
        </w:tc>
      </w:tr>
      <w:tr w:rsidR="0023292A" w:rsidRPr="00835A07" w:rsidTr="0023292A">
        <w:trPr>
          <w:trHeight w:val="260"/>
          <w:jc w:val="center"/>
        </w:trPr>
        <w:tc>
          <w:tcPr>
            <w:tcW w:w="4243" w:type="dxa"/>
            <w:tcBorders>
              <w:top w:val="single" w:sz="4" w:space="0" w:color="D9D9D9" w:themeColor="background1" w:themeShade="D9"/>
              <w:bottom w:val="single" w:sz="4" w:space="0" w:color="D9D9D9" w:themeColor="background1" w:themeShade="D9"/>
              <w:right w:val="single" w:sz="4" w:space="0" w:color="003399"/>
            </w:tcBorders>
            <w:shd w:val="clear" w:color="auto" w:fill="auto"/>
            <w:vAlign w:val="center"/>
            <w:hideMark/>
          </w:tcPr>
          <w:p w:rsidR="0023292A" w:rsidRPr="00185079" w:rsidRDefault="0023292A" w:rsidP="0023292A">
            <w:pPr>
              <w:rPr>
                <w:rFonts w:cs="Arial"/>
                <w:b/>
                <w:bCs/>
                <w:color w:val="000000"/>
                <w:sz w:val="18"/>
                <w:szCs w:val="18"/>
              </w:rPr>
            </w:pPr>
            <w:r w:rsidRPr="00185079">
              <w:rPr>
                <w:rFonts w:cs="Arial"/>
                <w:b/>
                <w:bCs/>
                <w:color w:val="000000"/>
                <w:sz w:val="18"/>
                <w:szCs w:val="18"/>
              </w:rPr>
              <w:t>Population 15+</w:t>
            </w:r>
          </w:p>
        </w:tc>
        <w:tc>
          <w:tcPr>
            <w:tcW w:w="1233" w:type="dxa"/>
            <w:tcBorders>
              <w:top w:val="single" w:sz="4" w:space="0" w:color="D9D9D9" w:themeColor="background1" w:themeShade="D9"/>
              <w:left w:val="single" w:sz="4" w:space="0" w:color="003399"/>
              <w:bottom w:val="single" w:sz="4" w:space="0" w:color="D9D9D9" w:themeColor="background1" w:themeShade="D9"/>
              <w:right w:val="single" w:sz="4" w:space="0" w:color="003399"/>
            </w:tcBorders>
            <w:shd w:val="clear" w:color="auto" w:fill="auto"/>
            <w:vAlign w:val="center"/>
            <w:hideMark/>
          </w:tcPr>
          <w:p w:rsidR="0023292A" w:rsidRPr="00835A07" w:rsidRDefault="0023292A" w:rsidP="0023292A">
            <w:pPr>
              <w:jc w:val="right"/>
              <w:rPr>
                <w:sz w:val="18"/>
                <w:szCs w:val="18"/>
              </w:rPr>
            </w:pPr>
            <w:r w:rsidRPr="00835A07">
              <w:rPr>
                <w:sz w:val="18"/>
                <w:szCs w:val="18"/>
              </w:rPr>
              <w:t>5898</w:t>
            </w:r>
            <w:r w:rsidR="001C4A4D">
              <w:rPr>
                <w:sz w:val="18"/>
                <w:szCs w:val="18"/>
              </w:rPr>
              <w:t>.</w:t>
            </w:r>
            <w:r w:rsidRPr="00835A07">
              <w:rPr>
                <w:sz w:val="18"/>
                <w:szCs w:val="18"/>
              </w:rPr>
              <w:t>0</w:t>
            </w:r>
          </w:p>
        </w:tc>
        <w:tc>
          <w:tcPr>
            <w:tcW w:w="1266" w:type="dxa"/>
            <w:tcBorders>
              <w:top w:val="single" w:sz="4" w:space="0" w:color="D9D9D9" w:themeColor="background1" w:themeShade="D9"/>
              <w:left w:val="single" w:sz="4" w:space="0" w:color="003399"/>
              <w:bottom w:val="single" w:sz="4" w:space="0" w:color="D9D9D9" w:themeColor="background1" w:themeShade="D9"/>
              <w:right w:val="nil"/>
            </w:tcBorders>
            <w:shd w:val="clear" w:color="auto" w:fill="auto"/>
            <w:vAlign w:val="center"/>
            <w:hideMark/>
          </w:tcPr>
          <w:p w:rsidR="0023292A" w:rsidRPr="00835A07" w:rsidRDefault="0023292A" w:rsidP="0023292A">
            <w:pPr>
              <w:jc w:val="right"/>
              <w:rPr>
                <w:sz w:val="18"/>
                <w:szCs w:val="18"/>
              </w:rPr>
            </w:pPr>
            <w:r w:rsidRPr="00835A07">
              <w:rPr>
                <w:sz w:val="18"/>
                <w:szCs w:val="18"/>
              </w:rPr>
              <w:t>-7</w:t>
            </w:r>
            <w:r w:rsidR="001C4A4D">
              <w:rPr>
                <w:sz w:val="18"/>
                <w:szCs w:val="18"/>
              </w:rPr>
              <w:t>.</w:t>
            </w:r>
            <w:r w:rsidRPr="00835A07">
              <w:rPr>
                <w:sz w:val="18"/>
                <w:szCs w:val="18"/>
              </w:rPr>
              <w:t>6</w:t>
            </w:r>
          </w:p>
        </w:tc>
        <w:tc>
          <w:tcPr>
            <w:tcW w:w="1095" w:type="dxa"/>
            <w:tcBorders>
              <w:top w:val="single" w:sz="4" w:space="0" w:color="D9D9D9" w:themeColor="background1" w:themeShade="D9"/>
              <w:left w:val="nil"/>
              <w:bottom w:val="single" w:sz="4" w:space="0" w:color="D9D9D9" w:themeColor="background1" w:themeShade="D9"/>
              <w:right w:val="single" w:sz="4" w:space="0" w:color="003399"/>
            </w:tcBorders>
            <w:shd w:val="clear" w:color="auto" w:fill="auto"/>
            <w:vAlign w:val="center"/>
            <w:hideMark/>
          </w:tcPr>
          <w:p w:rsidR="0023292A" w:rsidRPr="00835A07" w:rsidRDefault="0023292A" w:rsidP="0023292A">
            <w:pPr>
              <w:jc w:val="right"/>
              <w:rPr>
                <w:sz w:val="18"/>
                <w:szCs w:val="18"/>
              </w:rPr>
            </w:pPr>
            <w:r w:rsidRPr="00835A07">
              <w:rPr>
                <w:sz w:val="18"/>
                <w:szCs w:val="18"/>
              </w:rPr>
              <w:t>-0</w:t>
            </w:r>
            <w:r w:rsidR="001C4A4D">
              <w:rPr>
                <w:sz w:val="18"/>
                <w:szCs w:val="18"/>
              </w:rPr>
              <w:t>.</w:t>
            </w:r>
            <w:r w:rsidRPr="00835A07">
              <w:rPr>
                <w:sz w:val="18"/>
                <w:szCs w:val="18"/>
              </w:rPr>
              <w:t>1</w:t>
            </w:r>
          </w:p>
        </w:tc>
        <w:tc>
          <w:tcPr>
            <w:tcW w:w="1457" w:type="dxa"/>
            <w:tcBorders>
              <w:top w:val="single" w:sz="4" w:space="0" w:color="D9D9D9" w:themeColor="background1" w:themeShade="D9"/>
              <w:left w:val="single" w:sz="4" w:space="0" w:color="003399"/>
              <w:bottom w:val="single" w:sz="4" w:space="0" w:color="D9D9D9" w:themeColor="background1" w:themeShade="D9"/>
              <w:right w:val="nil"/>
            </w:tcBorders>
            <w:shd w:val="clear" w:color="auto" w:fill="auto"/>
            <w:vAlign w:val="center"/>
            <w:hideMark/>
          </w:tcPr>
          <w:p w:rsidR="0023292A" w:rsidRPr="00835A07" w:rsidRDefault="0023292A" w:rsidP="0023292A">
            <w:pPr>
              <w:jc w:val="right"/>
              <w:rPr>
                <w:sz w:val="18"/>
                <w:szCs w:val="18"/>
              </w:rPr>
            </w:pPr>
            <w:r w:rsidRPr="00835A07">
              <w:rPr>
                <w:sz w:val="18"/>
                <w:szCs w:val="18"/>
              </w:rPr>
              <w:t>-29</w:t>
            </w:r>
            <w:r w:rsidR="001C4A4D">
              <w:rPr>
                <w:sz w:val="18"/>
                <w:szCs w:val="18"/>
              </w:rPr>
              <w:t>.</w:t>
            </w:r>
            <w:r w:rsidRPr="00835A07">
              <w:rPr>
                <w:sz w:val="18"/>
                <w:szCs w:val="18"/>
              </w:rPr>
              <w:t>6</w:t>
            </w:r>
          </w:p>
        </w:tc>
        <w:tc>
          <w:tcPr>
            <w:tcW w:w="91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23292A" w:rsidRPr="00835A07" w:rsidRDefault="0023292A" w:rsidP="0023292A">
            <w:pPr>
              <w:jc w:val="right"/>
              <w:rPr>
                <w:sz w:val="18"/>
                <w:szCs w:val="18"/>
              </w:rPr>
            </w:pPr>
            <w:r w:rsidRPr="00835A07">
              <w:rPr>
                <w:sz w:val="18"/>
                <w:szCs w:val="18"/>
              </w:rPr>
              <w:t>-0</w:t>
            </w:r>
            <w:r w:rsidR="001C4A4D">
              <w:rPr>
                <w:sz w:val="18"/>
                <w:szCs w:val="18"/>
              </w:rPr>
              <w:t>.</w:t>
            </w:r>
            <w:r w:rsidRPr="00835A07">
              <w:rPr>
                <w:sz w:val="18"/>
                <w:szCs w:val="18"/>
              </w:rPr>
              <w:t>5</w:t>
            </w:r>
          </w:p>
        </w:tc>
      </w:tr>
      <w:tr w:rsidR="0023292A" w:rsidRPr="00835A07" w:rsidTr="0023292A">
        <w:trPr>
          <w:trHeight w:val="260"/>
          <w:jc w:val="center"/>
        </w:trPr>
        <w:tc>
          <w:tcPr>
            <w:tcW w:w="4243" w:type="dxa"/>
            <w:tcBorders>
              <w:top w:val="single" w:sz="4" w:space="0" w:color="D9D9D9" w:themeColor="background1" w:themeShade="D9"/>
              <w:bottom w:val="single" w:sz="4" w:space="0" w:color="D9D9D9" w:themeColor="background1" w:themeShade="D9"/>
              <w:right w:val="single" w:sz="4" w:space="0" w:color="003399"/>
            </w:tcBorders>
            <w:shd w:val="clear" w:color="auto" w:fill="auto"/>
            <w:vAlign w:val="center"/>
            <w:hideMark/>
          </w:tcPr>
          <w:p w:rsidR="0023292A" w:rsidRPr="00185079" w:rsidRDefault="0023292A" w:rsidP="0023292A">
            <w:pPr>
              <w:rPr>
                <w:rFonts w:cs="Arial"/>
                <w:color w:val="000000"/>
                <w:sz w:val="18"/>
                <w:szCs w:val="18"/>
              </w:rPr>
            </w:pPr>
            <w:r w:rsidRPr="00185079">
              <w:rPr>
                <w:rFonts w:cs="Arial"/>
                <w:color w:val="000000"/>
                <w:sz w:val="18"/>
                <w:szCs w:val="18"/>
              </w:rPr>
              <w:t xml:space="preserve">    Active population </w:t>
            </w:r>
          </w:p>
        </w:tc>
        <w:tc>
          <w:tcPr>
            <w:tcW w:w="1233" w:type="dxa"/>
            <w:tcBorders>
              <w:top w:val="single" w:sz="4" w:space="0" w:color="D9D9D9" w:themeColor="background1" w:themeShade="D9"/>
              <w:left w:val="single" w:sz="4" w:space="0" w:color="003399"/>
              <w:bottom w:val="single" w:sz="4" w:space="0" w:color="D9D9D9" w:themeColor="background1" w:themeShade="D9"/>
              <w:right w:val="single" w:sz="4" w:space="0" w:color="003399"/>
            </w:tcBorders>
            <w:shd w:val="clear" w:color="auto" w:fill="auto"/>
            <w:vAlign w:val="center"/>
            <w:hideMark/>
          </w:tcPr>
          <w:p w:rsidR="0023292A" w:rsidRPr="00835A07" w:rsidRDefault="0023292A" w:rsidP="0023292A">
            <w:pPr>
              <w:jc w:val="right"/>
              <w:rPr>
                <w:sz w:val="18"/>
                <w:szCs w:val="18"/>
              </w:rPr>
            </w:pPr>
            <w:r w:rsidRPr="00835A07">
              <w:rPr>
                <w:sz w:val="18"/>
                <w:szCs w:val="18"/>
              </w:rPr>
              <w:t>3067</w:t>
            </w:r>
            <w:r w:rsidR="001C4A4D">
              <w:rPr>
                <w:sz w:val="18"/>
                <w:szCs w:val="18"/>
              </w:rPr>
              <w:t>.</w:t>
            </w:r>
            <w:r w:rsidRPr="00835A07">
              <w:rPr>
                <w:sz w:val="18"/>
                <w:szCs w:val="18"/>
              </w:rPr>
              <w:t>1</w:t>
            </w:r>
          </w:p>
        </w:tc>
        <w:tc>
          <w:tcPr>
            <w:tcW w:w="1266" w:type="dxa"/>
            <w:tcBorders>
              <w:top w:val="single" w:sz="4" w:space="0" w:color="D9D9D9" w:themeColor="background1" w:themeShade="D9"/>
              <w:left w:val="single" w:sz="4" w:space="0" w:color="003399"/>
              <w:bottom w:val="single" w:sz="4" w:space="0" w:color="D9D9D9" w:themeColor="background1" w:themeShade="D9"/>
              <w:right w:val="nil"/>
            </w:tcBorders>
            <w:shd w:val="clear" w:color="auto" w:fill="auto"/>
            <w:vAlign w:val="center"/>
            <w:hideMark/>
          </w:tcPr>
          <w:p w:rsidR="0023292A" w:rsidRPr="00835A07" w:rsidRDefault="0023292A" w:rsidP="0023292A">
            <w:pPr>
              <w:jc w:val="right"/>
              <w:rPr>
                <w:sz w:val="18"/>
                <w:szCs w:val="18"/>
              </w:rPr>
            </w:pPr>
            <w:r w:rsidRPr="00835A07">
              <w:rPr>
                <w:sz w:val="18"/>
                <w:szCs w:val="18"/>
              </w:rPr>
              <w:t>-120</w:t>
            </w:r>
            <w:r w:rsidR="001C4A4D">
              <w:rPr>
                <w:sz w:val="18"/>
                <w:szCs w:val="18"/>
              </w:rPr>
              <w:t>.</w:t>
            </w:r>
            <w:r w:rsidRPr="00835A07">
              <w:rPr>
                <w:sz w:val="18"/>
                <w:szCs w:val="18"/>
              </w:rPr>
              <w:t>7</w:t>
            </w:r>
          </w:p>
        </w:tc>
        <w:tc>
          <w:tcPr>
            <w:tcW w:w="1095" w:type="dxa"/>
            <w:tcBorders>
              <w:top w:val="single" w:sz="4" w:space="0" w:color="D9D9D9" w:themeColor="background1" w:themeShade="D9"/>
              <w:left w:val="nil"/>
              <w:bottom w:val="single" w:sz="4" w:space="0" w:color="D9D9D9" w:themeColor="background1" w:themeShade="D9"/>
              <w:right w:val="single" w:sz="4" w:space="0" w:color="003399"/>
            </w:tcBorders>
            <w:shd w:val="clear" w:color="auto" w:fill="auto"/>
            <w:vAlign w:val="center"/>
            <w:hideMark/>
          </w:tcPr>
          <w:p w:rsidR="0023292A" w:rsidRPr="00835A07" w:rsidRDefault="0023292A" w:rsidP="0023292A">
            <w:pPr>
              <w:jc w:val="right"/>
              <w:rPr>
                <w:sz w:val="18"/>
                <w:szCs w:val="18"/>
              </w:rPr>
            </w:pPr>
            <w:r w:rsidRPr="00835A07">
              <w:rPr>
                <w:sz w:val="18"/>
                <w:szCs w:val="18"/>
              </w:rPr>
              <w:t>-3</w:t>
            </w:r>
            <w:r w:rsidR="001C4A4D">
              <w:rPr>
                <w:sz w:val="18"/>
                <w:szCs w:val="18"/>
              </w:rPr>
              <w:t>.</w:t>
            </w:r>
            <w:r w:rsidRPr="00835A07">
              <w:rPr>
                <w:sz w:val="18"/>
                <w:szCs w:val="18"/>
              </w:rPr>
              <w:t>8</w:t>
            </w:r>
          </w:p>
        </w:tc>
        <w:tc>
          <w:tcPr>
            <w:tcW w:w="1457" w:type="dxa"/>
            <w:tcBorders>
              <w:top w:val="single" w:sz="4" w:space="0" w:color="D9D9D9" w:themeColor="background1" w:themeShade="D9"/>
              <w:left w:val="single" w:sz="4" w:space="0" w:color="003399"/>
              <w:bottom w:val="single" w:sz="4" w:space="0" w:color="D9D9D9" w:themeColor="background1" w:themeShade="D9"/>
              <w:right w:val="nil"/>
            </w:tcBorders>
            <w:shd w:val="clear" w:color="auto" w:fill="auto"/>
            <w:vAlign w:val="center"/>
            <w:hideMark/>
          </w:tcPr>
          <w:p w:rsidR="0023292A" w:rsidRPr="00835A07" w:rsidRDefault="0023292A" w:rsidP="0023292A">
            <w:pPr>
              <w:jc w:val="right"/>
              <w:rPr>
                <w:sz w:val="18"/>
                <w:szCs w:val="18"/>
              </w:rPr>
            </w:pPr>
            <w:r w:rsidRPr="00835A07">
              <w:rPr>
                <w:sz w:val="18"/>
                <w:szCs w:val="18"/>
              </w:rPr>
              <w:t>-183</w:t>
            </w:r>
            <w:r w:rsidR="001C4A4D">
              <w:rPr>
                <w:sz w:val="18"/>
                <w:szCs w:val="18"/>
              </w:rPr>
              <w:t>.</w:t>
            </w:r>
            <w:r w:rsidRPr="00835A07">
              <w:rPr>
                <w:sz w:val="18"/>
                <w:szCs w:val="18"/>
              </w:rPr>
              <w:t>4</w:t>
            </w:r>
          </w:p>
        </w:tc>
        <w:tc>
          <w:tcPr>
            <w:tcW w:w="91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23292A" w:rsidRPr="00835A07" w:rsidRDefault="0023292A" w:rsidP="0023292A">
            <w:pPr>
              <w:jc w:val="right"/>
              <w:rPr>
                <w:sz w:val="18"/>
                <w:szCs w:val="18"/>
              </w:rPr>
            </w:pPr>
            <w:r w:rsidRPr="00835A07">
              <w:rPr>
                <w:sz w:val="18"/>
                <w:szCs w:val="18"/>
              </w:rPr>
              <w:t>-5</w:t>
            </w:r>
            <w:r w:rsidR="001C4A4D">
              <w:rPr>
                <w:sz w:val="18"/>
                <w:szCs w:val="18"/>
              </w:rPr>
              <w:t>.</w:t>
            </w:r>
            <w:r w:rsidRPr="00835A07">
              <w:rPr>
                <w:sz w:val="18"/>
                <w:szCs w:val="18"/>
              </w:rPr>
              <w:t>6</w:t>
            </w:r>
          </w:p>
        </w:tc>
      </w:tr>
      <w:tr w:rsidR="0023292A" w:rsidRPr="00835A07" w:rsidTr="0023292A">
        <w:trPr>
          <w:trHeight w:val="260"/>
          <w:jc w:val="center"/>
        </w:trPr>
        <w:tc>
          <w:tcPr>
            <w:tcW w:w="4243" w:type="dxa"/>
            <w:tcBorders>
              <w:top w:val="single" w:sz="4" w:space="0" w:color="D9D9D9" w:themeColor="background1" w:themeShade="D9"/>
              <w:bottom w:val="single" w:sz="4" w:space="0" w:color="D9D9D9" w:themeColor="background1" w:themeShade="D9"/>
              <w:right w:val="single" w:sz="4" w:space="0" w:color="003399"/>
            </w:tcBorders>
            <w:shd w:val="clear" w:color="auto" w:fill="auto"/>
            <w:vAlign w:val="center"/>
            <w:hideMark/>
          </w:tcPr>
          <w:p w:rsidR="0023292A" w:rsidRPr="00185079" w:rsidRDefault="0023292A" w:rsidP="0023292A">
            <w:pPr>
              <w:rPr>
                <w:rFonts w:cs="Arial"/>
                <w:color w:val="000000"/>
                <w:sz w:val="18"/>
                <w:szCs w:val="18"/>
              </w:rPr>
            </w:pPr>
            <w:r w:rsidRPr="00185079">
              <w:rPr>
                <w:rFonts w:cs="Arial"/>
                <w:color w:val="000000"/>
                <w:sz w:val="18"/>
                <w:szCs w:val="18"/>
              </w:rPr>
              <w:t xml:space="preserve">        Employed</w:t>
            </w:r>
          </w:p>
        </w:tc>
        <w:tc>
          <w:tcPr>
            <w:tcW w:w="1233" w:type="dxa"/>
            <w:tcBorders>
              <w:top w:val="single" w:sz="4" w:space="0" w:color="D9D9D9" w:themeColor="background1" w:themeShade="D9"/>
              <w:left w:val="single" w:sz="4" w:space="0" w:color="003399"/>
              <w:bottom w:val="single" w:sz="4" w:space="0" w:color="D9D9D9" w:themeColor="background1" w:themeShade="D9"/>
              <w:right w:val="single" w:sz="4" w:space="0" w:color="003399"/>
            </w:tcBorders>
            <w:shd w:val="clear" w:color="auto" w:fill="auto"/>
            <w:vAlign w:val="center"/>
            <w:hideMark/>
          </w:tcPr>
          <w:p w:rsidR="0023292A" w:rsidRPr="00835A07" w:rsidRDefault="0023292A" w:rsidP="0023292A">
            <w:pPr>
              <w:jc w:val="right"/>
              <w:rPr>
                <w:sz w:val="18"/>
                <w:szCs w:val="18"/>
              </w:rPr>
            </w:pPr>
            <w:r w:rsidRPr="00835A07">
              <w:rPr>
                <w:sz w:val="18"/>
                <w:szCs w:val="18"/>
              </w:rPr>
              <w:t>2844</w:t>
            </w:r>
            <w:r w:rsidR="001C4A4D">
              <w:rPr>
                <w:sz w:val="18"/>
                <w:szCs w:val="18"/>
              </w:rPr>
              <w:t>.</w:t>
            </w:r>
            <w:r w:rsidRPr="00835A07">
              <w:rPr>
                <w:sz w:val="18"/>
                <w:szCs w:val="18"/>
              </w:rPr>
              <w:t>2</w:t>
            </w:r>
          </w:p>
        </w:tc>
        <w:tc>
          <w:tcPr>
            <w:tcW w:w="1266" w:type="dxa"/>
            <w:tcBorders>
              <w:top w:val="single" w:sz="4" w:space="0" w:color="D9D9D9" w:themeColor="background1" w:themeShade="D9"/>
              <w:left w:val="single" w:sz="4" w:space="0" w:color="003399"/>
              <w:bottom w:val="single" w:sz="4" w:space="0" w:color="D9D9D9" w:themeColor="background1" w:themeShade="D9"/>
              <w:right w:val="nil"/>
            </w:tcBorders>
            <w:shd w:val="clear" w:color="auto" w:fill="auto"/>
            <w:vAlign w:val="center"/>
            <w:hideMark/>
          </w:tcPr>
          <w:p w:rsidR="0023292A" w:rsidRPr="00835A07" w:rsidRDefault="0023292A" w:rsidP="0023292A">
            <w:pPr>
              <w:jc w:val="right"/>
              <w:rPr>
                <w:sz w:val="18"/>
                <w:szCs w:val="18"/>
              </w:rPr>
            </w:pPr>
            <w:r w:rsidRPr="00835A07">
              <w:rPr>
                <w:sz w:val="18"/>
                <w:szCs w:val="18"/>
              </w:rPr>
              <w:t>-33</w:t>
            </w:r>
            <w:r w:rsidR="001C4A4D">
              <w:rPr>
                <w:sz w:val="18"/>
                <w:szCs w:val="18"/>
              </w:rPr>
              <w:t>.</w:t>
            </w:r>
            <w:r w:rsidRPr="00835A07">
              <w:rPr>
                <w:sz w:val="18"/>
                <w:szCs w:val="18"/>
              </w:rPr>
              <w:t>2</w:t>
            </w:r>
          </w:p>
        </w:tc>
        <w:tc>
          <w:tcPr>
            <w:tcW w:w="1095" w:type="dxa"/>
            <w:tcBorders>
              <w:top w:val="single" w:sz="4" w:space="0" w:color="D9D9D9" w:themeColor="background1" w:themeShade="D9"/>
              <w:left w:val="nil"/>
              <w:bottom w:val="single" w:sz="4" w:space="0" w:color="D9D9D9" w:themeColor="background1" w:themeShade="D9"/>
              <w:right w:val="single" w:sz="4" w:space="0" w:color="003399"/>
            </w:tcBorders>
            <w:shd w:val="clear" w:color="auto" w:fill="auto"/>
            <w:vAlign w:val="center"/>
            <w:hideMark/>
          </w:tcPr>
          <w:p w:rsidR="0023292A" w:rsidRPr="00835A07" w:rsidRDefault="0023292A" w:rsidP="0023292A">
            <w:pPr>
              <w:jc w:val="right"/>
              <w:rPr>
                <w:sz w:val="18"/>
                <w:szCs w:val="18"/>
              </w:rPr>
            </w:pPr>
            <w:r w:rsidRPr="00835A07">
              <w:rPr>
                <w:sz w:val="18"/>
                <w:szCs w:val="18"/>
              </w:rPr>
              <w:t>-1</w:t>
            </w:r>
            <w:r w:rsidR="001C4A4D">
              <w:rPr>
                <w:sz w:val="18"/>
                <w:szCs w:val="18"/>
              </w:rPr>
              <w:t>.</w:t>
            </w:r>
            <w:r w:rsidRPr="00835A07">
              <w:rPr>
                <w:sz w:val="18"/>
                <w:szCs w:val="18"/>
              </w:rPr>
              <w:t>2</w:t>
            </w:r>
          </w:p>
        </w:tc>
        <w:tc>
          <w:tcPr>
            <w:tcW w:w="1457" w:type="dxa"/>
            <w:tcBorders>
              <w:top w:val="single" w:sz="4" w:space="0" w:color="D9D9D9" w:themeColor="background1" w:themeShade="D9"/>
              <w:left w:val="single" w:sz="4" w:space="0" w:color="003399"/>
              <w:bottom w:val="single" w:sz="4" w:space="0" w:color="D9D9D9" w:themeColor="background1" w:themeShade="D9"/>
              <w:right w:val="nil"/>
            </w:tcBorders>
            <w:shd w:val="clear" w:color="auto" w:fill="auto"/>
            <w:vAlign w:val="center"/>
            <w:hideMark/>
          </w:tcPr>
          <w:p w:rsidR="0023292A" w:rsidRPr="00835A07" w:rsidRDefault="0023292A" w:rsidP="0023292A">
            <w:pPr>
              <w:jc w:val="right"/>
              <w:rPr>
                <w:sz w:val="18"/>
                <w:szCs w:val="18"/>
              </w:rPr>
            </w:pPr>
            <w:r w:rsidRPr="00835A07">
              <w:rPr>
                <w:sz w:val="18"/>
                <w:szCs w:val="18"/>
              </w:rPr>
              <w:t>-72</w:t>
            </w:r>
            <w:r w:rsidR="001C4A4D">
              <w:rPr>
                <w:sz w:val="18"/>
                <w:szCs w:val="18"/>
              </w:rPr>
              <w:t>.</w:t>
            </w:r>
            <w:r w:rsidRPr="00835A07">
              <w:rPr>
                <w:sz w:val="18"/>
                <w:szCs w:val="18"/>
              </w:rPr>
              <w:t>3</w:t>
            </w:r>
          </w:p>
        </w:tc>
        <w:tc>
          <w:tcPr>
            <w:tcW w:w="91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23292A" w:rsidRPr="00835A07" w:rsidRDefault="0023292A" w:rsidP="0023292A">
            <w:pPr>
              <w:jc w:val="right"/>
              <w:rPr>
                <w:sz w:val="18"/>
                <w:szCs w:val="18"/>
              </w:rPr>
            </w:pPr>
            <w:r w:rsidRPr="00835A07">
              <w:rPr>
                <w:sz w:val="18"/>
                <w:szCs w:val="18"/>
              </w:rPr>
              <w:t>-2</w:t>
            </w:r>
            <w:r w:rsidR="001C4A4D">
              <w:rPr>
                <w:sz w:val="18"/>
                <w:szCs w:val="18"/>
              </w:rPr>
              <w:t>.</w:t>
            </w:r>
            <w:r w:rsidRPr="00835A07">
              <w:rPr>
                <w:sz w:val="18"/>
                <w:szCs w:val="18"/>
              </w:rPr>
              <w:t>5</w:t>
            </w:r>
          </w:p>
        </w:tc>
      </w:tr>
      <w:tr w:rsidR="0023292A" w:rsidRPr="000248CC" w:rsidTr="0023292A">
        <w:trPr>
          <w:trHeight w:val="260"/>
          <w:jc w:val="center"/>
        </w:trPr>
        <w:tc>
          <w:tcPr>
            <w:tcW w:w="4243" w:type="dxa"/>
            <w:tcBorders>
              <w:top w:val="single" w:sz="4" w:space="0" w:color="D9D9D9" w:themeColor="background1" w:themeShade="D9"/>
              <w:bottom w:val="single" w:sz="4" w:space="0" w:color="D9D9D9" w:themeColor="background1" w:themeShade="D9"/>
              <w:right w:val="single" w:sz="4" w:space="0" w:color="003399"/>
            </w:tcBorders>
            <w:shd w:val="clear" w:color="auto" w:fill="auto"/>
            <w:vAlign w:val="center"/>
            <w:hideMark/>
          </w:tcPr>
          <w:p w:rsidR="0023292A" w:rsidRPr="00185079" w:rsidRDefault="0023292A" w:rsidP="0023292A">
            <w:pPr>
              <w:rPr>
                <w:rFonts w:cs="Arial"/>
                <w:color w:val="000000"/>
                <w:sz w:val="18"/>
                <w:szCs w:val="18"/>
              </w:rPr>
            </w:pPr>
            <w:r w:rsidRPr="00185079">
              <w:rPr>
                <w:rFonts w:cs="Arial"/>
                <w:color w:val="000000"/>
                <w:sz w:val="18"/>
                <w:szCs w:val="18"/>
              </w:rPr>
              <w:t xml:space="preserve">            Formally employed</w:t>
            </w:r>
          </w:p>
        </w:tc>
        <w:tc>
          <w:tcPr>
            <w:tcW w:w="1233" w:type="dxa"/>
            <w:tcBorders>
              <w:top w:val="single" w:sz="4" w:space="0" w:color="D9D9D9" w:themeColor="background1" w:themeShade="D9"/>
              <w:left w:val="single" w:sz="4" w:space="0" w:color="003399"/>
              <w:bottom w:val="single" w:sz="4" w:space="0" w:color="D9D9D9" w:themeColor="background1" w:themeShade="D9"/>
              <w:right w:val="single" w:sz="4" w:space="0" w:color="003399"/>
            </w:tcBorders>
            <w:shd w:val="clear" w:color="auto" w:fill="auto"/>
            <w:noWrap/>
            <w:vAlign w:val="center"/>
            <w:hideMark/>
          </w:tcPr>
          <w:p w:rsidR="0023292A" w:rsidRPr="000248CC" w:rsidRDefault="0023292A" w:rsidP="0023292A">
            <w:pPr>
              <w:jc w:val="right"/>
              <w:rPr>
                <w:sz w:val="18"/>
                <w:szCs w:val="18"/>
                <w:lang w:val="sr-Latn-RS"/>
              </w:rPr>
            </w:pPr>
            <w:r w:rsidRPr="00835A07">
              <w:rPr>
                <w:sz w:val="18"/>
                <w:szCs w:val="18"/>
              </w:rPr>
              <w:t>2</w:t>
            </w:r>
            <w:r>
              <w:rPr>
                <w:sz w:val="18"/>
                <w:szCs w:val="18"/>
                <w:lang w:val="sr-Latn-RS"/>
              </w:rPr>
              <w:t>412</w:t>
            </w:r>
            <w:r w:rsidR="001C4A4D">
              <w:rPr>
                <w:sz w:val="18"/>
                <w:szCs w:val="18"/>
              </w:rPr>
              <w:t>.</w:t>
            </w:r>
            <w:r>
              <w:rPr>
                <w:sz w:val="18"/>
                <w:szCs w:val="18"/>
                <w:lang w:val="sr-Latn-RS"/>
              </w:rPr>
              <w:t>4</w:t>
            </w:r>
          </w:p>
        </w:tc>
        <w:tc>
          <w:tcPr>
            <w:tcW w:w="1266" w:type="dxa"/>
            <w:tcBorders>
              <w:top w:val="single" w:sz="4" w:space="0" w:color="D9D9D9" w:themeColor="background1" w:themeShade="D9"/>
              <w:left w:val="single" w:sz="4" w:space="0" w:color="003399"/>
              <w:bottom w:val="single" w:sz="4" w:space="0" w:color="D9D9D9" w:themeColor="background1" w:themeShade="D9"/>
              <w:right w:val="nil"/>
            </w:tcBorders>
            <w:shd w:val="clear" w:color="auto" w:fill="auto"/>
            <w:noWrap/>
            <w:vAlign w:val="center"/>
            <w:hideMark/>
          </w:tcPr>
          <w:p w:rsidR="0023292A" w:rsidRPr="000248CC" w:rsidRDefault="0023292A" w:rsidP="0023292A">
            <w:pPr>
              <w:jc w:val="right"/>
              <w:rPr>
                <w:sz w:val="18"/>
                <w:szCs w:val="18"/>
                <w:lang w:val="sr-Latn-RS"/>
              </w:rPr>
            </w:pPr>
            <w:r w:rsidRPr="00835A07">
              <w:rPr>
                <w:sz w:val="18"/>
                <w:szCs w:val="18"/>
              </w:rPr>
              <w:t>2</w:t>
            </w:r>
            <w:r w:rsidR="001C4A4D">
              <w:rPr>
                <w:sz w:val="18"/>
                <w:szCs w:val="18"/>
              </w:rPr>
              <w:t>.</w:t>
            </w:r>
            <w:r>
              <w:rPr>
                <w:sz w:val="18"/>
                <w:szCs w:val="18"/>
                <w:lang w:val="sr-Latn-RS"/>
              </w:rPr>
              <w:t>2</w:t>
            </w:r>
          </w:p>
        </w:tc>
        <w:tc>
          <w:tcPr>
            <w:tcW w:w="1095" w:type="dxa"/>
            <w:tcBorders>
              <w:top w:val="single" w:sz="4" w:space="0" w:color="D9D9D9" w:themeColor="background1" w:themeShade="D9"/>
              <w:left w:val="nil"/>
              <w:bottom w:val="single" w:sz="4" w:space="0" w:color="D9D9D9" w:themeColor="background1" w:themeShade="D9"/>
              <w:right w:val="single" w:sz="4" w:space="0" w:color="003399"/>
            </w:tcBorders>
            <w:shd w:val="clear" w:color="auto" w:fill="auto"/>
            <w:noWrap/>
            <w:vAlign w:val="center"/>
            <w:hideMark/>
          </w:tcPr>
          <w:p w:rsidR="0023292A" w:rsidRPr="000248CC" w:rsidRDefault="0023292A" w:rsidP="0023292A">
            <w:pPr>
              <w:jc w:val="right"/>
              <w:rPr>
                <w:sz w:val="18"/>
                <w:szCs w:val="18"/>
                <w:lang w:val="sr-Latn-RS"/>
              </w:rPr>
            </w:pPr>
            <w:r>
              <w:rPr>
                <w:sz w:val="18"/>
                <w:szCs w:val="18"/>
                <w:lang w:val="sr-Latn-RS"/>
              </w:rPr>
              <w:t>0</w:t>
            </w:r>
            <w:r w:rsidR="001C4A4D">
              <w:rPr>
                <w:sz w:val="18"/>
                <w:szCs w:val="18"/>
              </w:rPr>
              <w:t>.</w:t>
            </w:r>
            <w:r>
              <w:rPr>
                <w:sz w:val="18"/>
                <w:szCs w:val="18"/>
                <w:lang w:val="sr-Latn-RS"/>
              </w:rPr>
              <w:t>1</w:t>
            </w:r>
          </w:p>
        </w:tc>
        <w:tc>
          <w:tcPr>
            <w:tcW w:w="1457" w:type="dxa"/>
            <w:tcBorders>
              <w:top w:val="single" w:sz="4" w:space="0" w:color="D9D9D9" w:themeColor="background1" w:themeShade="D9"/>
              <w:left w:val="single" w:sz="4" w:space="0" w:color="003399"/>
              <w:bottom w:val="single" w:sz="4" w:space="0" w:color="D9D9D9" w:themeColor="background1" w:themeShade="D9"/>
              <w:right w:val="nil"/>
            </w:tcBorders>
            <w:shd w:val="clear" w:color="auto" w:fill="auto"/>
            <w:noWrap/>
            <w:vAlign w:val="center"/>
            <w:hideMark/>
          </w:tcPr>
          <w:p w:rsidR="0023292A" w:rsidRPr="000248CC" w:rsidRDefault="0023292A" w:rsidP="0023292A">
            <w:pPr>
              <w:jc w:val="right"/>
              <w:rPr>
                <w:sz w:val="18"/>
                <w:szCs w:val="18"/>
                <w:lang w:val="sr-Latn-RS"/>
              </w:rPr>
            </w:pPr>
            <w:r>
              <w:rPr>
                <w:sz w:val="18"/>
                <w:szCs w:val="18"/>
                <w:lang w:val="sr-Latn-RS"/>
              </w:rPr>
              <w:t>60</w:t>
            </w:r>
            <w:r w:rsidR="001C4A4D">
              <w:rPr>
                <w:sz w:val="18"/>
                <w:szCs w:val="18"/>
              </w:rPr>
              <w:t>.</w:t>
            </w:r>
            <w:r>
              <w:rPr>
                <w:sz w:val="18"/>
                <w:szCs w:val="18"/>
                <w:lang w:val="sr-Latn-RS"/>
              </w:rPr>
              <w:t>1</w:t>
            </w:r>
          </w:p>
        </w:tc>
        <w:tc>
          <w:tcPr>
            <w:tcW w:w="912"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23292A" w:rsidRPr="000248CC" w:rsidRDefault="0023292A" w:rsidP="0023292A">
            <w:pPr>
              <w:jc w:val="right"/>
              <w:rPr>
                <w:sz w:val="18"/>
                <w:szCs w:val="18"/>
                <w:lang w:val="sr-Latn-RS"/>
              </w:rPr>
            </w:pPr>
            <w:r>
              <w:rPr>
                <w:sz w:val="18"/>
                <w:szCs w:val="18"/>
                <w:lang w:val="sr-Latn-RS"/>
              </w:rPr>
              <w:t>2</w:t>
            </w:r>
            <w:r w:rsidR="001C4A4D">
              <w:rPr>
                <w:sz w:val="18"/>
                <w:szCs w:val="18"/>
              </w:rPr>
              <w:t>.</w:t>
            </w:r>
            <w:r>
              <w:rPr>
                <w:sz w:val="18"/>
                <w:szCs w:val="18"/>
                <w:lang w:val="sr-Latn-RS"/>
              </w:rPr>
              <w:t>6</w:t>
            </w:r>
          </w:p>
        </w:tc>
      </w:tr>
      <w:tr w:rsidR="0023292A" w:rsidRPr="000248CC" w:rsidTr="0023292A">
        <w:trPr>
          <w:trHeight w:val="260"/>
          <w:jc w:val="center"/>
        </w:trPr>
        <w:tc>
          <w:tcPr>
            <w:tcW w:w="4243" w:type="dxa"/>
            <w:tcBorders>
              <w:top w:val="single" w:sz="4" w:space="0" w:color="D9D9D9" w:themeColor="background1" w:themeShade="D9"/>
              <w:bottom w:val="single" w:sz="4" w:space="0" w:color="D9D9D9" w:themeColor="background1" w:themeShade="D9"/>
              <w:right w:val="single" w:sz="4" w:space="0" w:color="003399"/>
            </w:tcBorders>
            <w:shd w:val="clear" w:color="auto" w:fill="auto"/>
            <w:vAlign w:val="center"/>
            <w:hideMark/>
          </w:tcPr>
          <w:p w:rsidR="0023292A" w:rsidRPr="00185079" w:rsidRDefault="0023292A" w:rsidP="0023292A">
            <w:pPr>
              <w:rPr>
                <w:rFonts w:cs="Arial"/>
                <w:color w:val="000000"/>
                <w:sz w:val="18"/>
                <w:szCs w:val="18"/>
              </w:rPr>
            </w:pPr>
            <w:r w:rsidRPr="00185079">
              <w:rPr>
                <w:rFonts w:cs="Arial"/>
                <w:color w:val="000000"/>
                <w:sz w:val="18"/>
                <w:szCs w:val="18"/>
              </w:rPr>
              <w:t xml:space="preserve">            Informally employed</w:t>
            </w:r>
          </w:p>
        </w:tc>
        <w:tc>
          <w:tcPr>
            <w:tcW w:w="1233" w:type="dxa"/>
            <w:tcBorders>
              <w:top w:val="single" w:sz="4" w:space="0" w:color="D9D9D9" w:themeColor="background1" w:themeShade="D9"/>
              <w:left w:val="single" w:sz="4" w:space="0" w:color="003399"/>
              <w:bottom w:val="single" w:sz="4" w:space="0" w:color="D9D9D9" w:themeColor="background1" w:themeShade="D9"/>
              <w:right w:val="single" w:sz="4" w:space="0" w:color="003399"/>
            </w:tcBorders>
            <w:shd w:val="clear" w:color="auto" w:fill="auto"/>
            <w:noWrap/>
            <w:vAlign w:val="center"/>
            <w:hideMark/>
          </w:tcPr>
          <w:p w:rsidR="0023292A" w:rsidRPr="000248CC" w:rsidRDefault="0023292A" w:rsidP="0023292A">
            <w:pPr>
              <w:jc w:val="right"/>
              <w:rPr>
                <w:sz w:val="18"/>
                <w:szCs w:val="18"/>
                <w:lang w:val="sr-Latn-RS"/>
              </w:rPr>
            </w:pPr>
            <w:r w:rsidRPr="00835A07">
              <w:rPr>
                <w:sz w:val="18"/>
                <w:szCs w:val="18"/>
              </w:rPr>
              <w:t>4</w:t>
            </w:r>
            <w:r>
              <w:rPr>
                <w:sz w:val="18"/>
                <w:szCs w:val="18"/>
                <w:lang w:val="sr-Latn-RS"/>
              </w:rPr>
              <w:t>31</w:t>
            </w:r>
            <w:r w:rsidR="001C4A4D">
              <w:rPr>
                <w:sz w:val="18"/>
                <w:szCs w:val="18"/>
              </w:rPr>
              <w:t>.</w:t>
            </w:r>
            <w:r>
              <w:rPr>
                <w:sz w:val="18"/>
                <w:szCs w:val="18"/>
                <w:lang w:val="sr-Latn-RS"/>
              </w:rPr>
              <w:t>8</w:t>
            </w:r>
          </w:p>
        </w:tc>
        <w:tc>
          <w:tcPr>
            <w:tcW w:w="1266" w:type="dxa"/>
            <w:tcBorders>
              <w:top w:val="single" w:sz="4" w:space="0" w:color="D9D9D9" w:themeColor="background1" w:themeShade="D9"/>
              <w:left w:val="single" w:sz="4" w:space="0" w:color="003399"/>
              <w:bottom w:val="single" w:sz="4" w:space="0" w:color="D9D9D9" w:themeColor="background1" w:themeShade="D9"/>
              <w:right w:val="nil"/>
            </w:tcBorders>
            <w:shd w:val="clear" w:color="auto" w:fill="auto"/>
            <w:noWrap/>
            <w:vAlign w:val="center"/>
            <w:hideMark/>
          </w:tcPr>
          <w:p w:rsidR="0023292A" w:rsidRPr="000248CC" w:rsidRDefault="0023292A" w:rsidP="0023292A">
            <w:pPr>
              <w:jc w:val="right"/>
              <w:rPr>
                <w:sz w:val="18"/>
                <w:szCs w:val="18"/>
                <w:lang w:val="sr-Latn-RS"/>
              </w:rPr>
            </w:pPr>
            <w:r w:rsidRPr="00835A07">
              <w:rPr>
                <w:sz w:val="18"/>
                <w:szCs w:val="18"/>
              </w:rPr>
              <w:t>-</w:t>
            </w:r>
            <w:r>
              <w:rPr>
                <w:sz w:val="18"/>
                <w:szCs w:val="18"/>
                <w:lang w:val="sr-Latn-RS"/>
              </w:rPr>
              <w:t>35</w:t>
            </w:r>
            <w:r w:rsidR="001C4A4D">
              <w:rPr>
                <w:sz w:val="18"/>
                <w:szCs w:val="18"/>
              </w:rPr>
              <w:t>.</w:t>
            </w:r>
            <w:r>
              <w:rPr>
                <w:sz w:val="18"/>
                <w:szCs w:val="18"/>
                <w:lang w:val="sr-Latn-RS"/>
              </w:rPr>
              <w:t>4</w:t>
            </w:r>
          </w:p>
        </w:tc>
        <w:tc>
          <w:tcPr>
            <w:tcW w:w="1095" w:type="dxa"/>
            <w:tcBorders>
              <w:top w:val="single" w:sz="4" w:space="0" w:color="D9D9D9" w:themeColor="background1" w:themeShade="D9"/>
              <w:left w:val="nil"/>
              <w:bottom w:val="single" w:sz="4" w:space="0" w:color="D9D9D9" w:themeColor="background1" w:themeShade="D9"/>
              <w:right w:val="single" w:sz="4" w:space="0" w:color="003399"/>
            </w:tcBorders>
            <w:shd w:val="clear" w:color="auto" w:fill="auto"/>
            <w:noWrap/>
            <w:vAlign w:val="center"/>
            <w:hideMark/>
          </w:tcPr>
          <w:p w:rsidR="0023292A" w:rsidRPr="000248CC" w:rsidRDefault="0023292A" w:rsidP="0023292A">
            <w:pPr>
              <w:jc w:val="right"/>
              <w:rPr>
                <w:sz w:val="18"/>
                <w:szCs w:val="18"/>
                <w:lang w:val="sr-Latn-RS"/>
              </w:rPr>
            </w:pPr>
            <w:r w:rsidRPr="00835A07">
              <w:rPr>
                <w:sz w:val="18"/>
                <w:szCs w:val="18"/>
              </w:rPr>
              <w:t>-</w:t>
            </w:r>
            <w:r>
              <w:rPr>
                <w:sz w:val="18"/>
                <w:szCs w:val="18"/>
                <w:lang w:val="sr-Latn-RS"/>
              </w:rPr>
              <w:t>7</w:t>
            </w:r>
            <w:r w:rsidR="001C4A4D">
              <w:rPr>
                <w:sz w:val="18"/>
                <w:szCs w:val="18"/>
              </w:rPr>
              <w:t>.</w:t>
            </w:r>
            <w:r>
              <w:rPr>
                <w:sz w:val="18"/>
                <w:szCs w:val="18"/>
                <w:lang w:val="sr-Latn-RS"/>
              </w:rPr>
              <w:t>6</w:t>
            </w:r>
          </w:p>
        </w:tc>
        <w:tc>
          <w:tcPr>
            <w:tcW w:w="1457" w:type="dxa"/>
            <w:tcBorders>
              <w:top w:val="single" w:sz="4" w:space="0" w:color="D9D9D9" w:themeColor="background1" w:themeShade="D9"/>
              <w:left w:val="single" w:sz="4" w:space="0" w:color="003399"/>
              <w:bottom w:val="single" w:sz="4" w:space="0" w:color="D9D9D9" w:themeColor="background1" w:themeShade="D9"/>
              <w:right w:val="nil"/>
            </w:tcBorders>
            <w:shd w:val="clear" w:color="auto" w:fill="auto"/>
            <w:noWrap/>
            <w:vAlign w:val="center"/>
            <w:hideMark/>
          </w:tcPr>
          <w:p w:rsidR="0023292A" w:rsidRPr="000248CC" w:rsidRDefault="0023292A" w:rsidP="0023292A">
            <w:pPr>
              <w:jc w:val="right"/>
              <w:rPr>
                <w:sz w:val="18"/>
                <w:szCs w:val="18"/>
                <w:lang w:val="sr-Latn-RS"/>
              </w:rPr>
            </w:pPr>
            <w:r w:rsidRPr="00835A07">
              <w:rPr>
                <w:sz w:val="18"/>
                <w:szCs w:val="18"/>
              </w:rPr>
              <w:t>-1</w:t>
            </w:r>
            <w:r>
              <w:rPr>
                <w:sz w:val="18"/>
                <w:szCs w:val="18"/>
                <w:lang w:val="sr-Latn-RS"/>
              </w:rPr>
              <w:t>32</w:t>
            </w:r>
            <w:r w:rsidR="001C4A4D">
              <w:rPr>
                <w:sz w:val="18"/>
                <w:szCs w:val="18"/>
              </w:rPr>
              <w:t>.</w:t>
            </w:r>
            <w:r>
              <w:rPr>
                <w:sz w:val="18"/>
                <w:szCs w:val="18"/>
                <w:lang w:val="sr-Latn-RS"/>
              </w:rPr>
              <w:t>4</w:t>
            </w:r>
          </w:p>
        </w:tc>
        <w:tc>
          <w:tcPr>
            <w:tcW w:w="912"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23292A" w:rsidRPr="000248CC" w:rsidRDefault="0023292A" w:rsidP="0023292A">
            <w:pPr>
              <w:jc w:val="right"/>
              <w:rPr>
                <w:sz w:val="18"/>
                <w:szCs w:val="18"/>
                <w:lang w:val="sr-Latn-RS"/>
              </w:rPr>
            </w:pPr>
            <w:r w:rsidRPr="00835A07">
              <w:rPr>
                <w:sz w:val="18"/>
                <w:szCs w:val="18"/>
              </w:rPr>
              <w:t>-</w:t>
            </w:r>
            <w:r>
              <w:rPr>
                <w:sz w:val="18"/>
                <w:szCs w:val="18"/>
                <w:lang w:val="sr-Latn-RS"/>
              </w:rPr>
              <w:t>23</w:t>
            </w:r>
            <w:r w:rsidR="001C4A4D">
              <w:rPr>
                <w:sz w:val="18"/>
                <w:szCs w:val="18"/>
              </w:rPr>
              <w:t>.</w:t>
            </w:r>
            <w:r>
              <w:rPr>
                <w:sz w:val="18"/>
                <w:szCs w:val="18"/>
                <w:lang w:val="sr-Latn-RS"/>
              </w:rPr>
              <w:t>5</w:t>
            </w:r>
          </w:p>
        </w:tc>
      </w:tr>
      <w:tr w:rsidR="0023292A" w:rsidRPr="00835A07" w:rsidTr="0023292A">
        <w:trPr>
          <w:trHeight w:val="259"/>
          <w:jc w:val="center"/>
        </w:trPr>
        <w:tc>
          <w:tcPr>
            <w:tcW w:w="4243" w:type="dxa"/>
            <w:tcBorders>
              <w:top w:val="single" w:sz="4" w:space="0" w:color="D9D9D9" w:themeColor="background1" w:themeShade="D9"/>
              <w:bottom w:val="single" w:sz="4" w:space="0" w:color="D9D9D9" w:themeColor="background1" w:themeShade="D9"/>
              <w:right w:val="single" w:sz="4" w:space="0" w:color="003399"/>
            </w:tcBorders>
            <w:shd w:val="clear" w:color="auto" w:fill="auto"/>
            <w:vAlign w:val="center"/>
            <w:hideMark/>
          </w:tcPr>
          <w:p w:rsidR="0023292A" w:rsidRPr="00185079" w:rsidRDefault="0023292A" w:rsidP="0023292A">
            <w:pPr>
              <w:rPr>
                <w:rFonts w:cs="Arial"/>
                <w:color w:val="000000"/>
                <w:sz w:val="18"/>
                <w:szCs w:val="18"/>
              </w:rPr>
            </w:pPr>
            <w:r w:rsidRPr="00185079">
              <w:rPr>
                <w:rFonts w:cs="Arial"/>
                <w:color w:val="000000"/>
                <w:sz w:val="18"/>
                <w:szCs w:val="18"/>
              </w:rPr>
              <w:t xml:space="preserve">        Unemployed</w:t>
            </w:r>
          </w:p>
        </w:tc>
        <w:tc>
          <w:tcPr>
            <w:tcW w:w="1233" w:type="dxa"/>
            <w:tcBorders>
              <w:top w:val="single" w:sz="4" w:space="0" w:color="D9D9D9" w:themeColor="background1" w:themeShade="D9"/>
              <w:left w:val="single" w:sz="4" w:space="0" w:color="003399"/>
              <w:bottom w:val="single" w:sz="4" w:space="0" w:color="D9D9D9" w:themeColor="background1" w:themeShade="D9"/>
              <w:right w:val="single" w:sz="4" w:space="0" w:color="003399"/>
            </w:tcBorders>
            <w:shd w:val="clear" w:color="auto" w:fill="auto"/>
            <w:vAlign w:val="center"/>
            <w:hideMark/>
          </w:tcPr>
          <w:p w:rsidR="0023292A" w:rsidRPr="00835A07" w:rsidRDefault="0023292A" w:rsidP="0023292A">
            <w:pPr>
              <w:jc w:val="right"/>
              <w:rPr>
                <w:sz w:val="18"/>
                <w:szCs w:val="18"/>
              </w:rPr>
            </w:pPr>
            <w:r w:rsidRPr="00835A07">
              <w:rPr>
                <w:sz w:val="18"/>
                <w:szCs w:val="18"/>
              </w:rPr>
              <w:t>222</w:t>
            </w:r>
            <w:r w:rsidR="001C4A4D">
              <w:rPr>
                <w:sz w:val="18"/>
                <w:szCs w:val="18"/>
              </w:rPr>
              <w:t>.</w:t>
            </w:r>
            <w:r w:rsidRPr="00835A07">
              <w:rPr>
                <w:sz w:val="18"/>
                <w:szCs w:val="18"/>
              </w:rPr>
              <w:t>9</w:t>
            </w:r>
          </w:p>
        </w:tc>
        <w:tc>
          <w:tcPr>
            <w:tcW w:w="1266" w:type="dxa"/>
            <w:tcBorders>
              <w:top w:val="single" w:sz="4" w:space="0" w:color="D9D9D9" w:themeColor="background1" w:themeShade="D9"/>
              <w:left w:val="single" w:sz="4" w:space="0" w:color="003399"/>
              <w:bottom w:val="single" w:sz="4" w:space="0" w:color="D9D9D9" w:themeColor="background1" w:themeShade="D9"/>
              <w:right w:val="nil"/>
            </w:tcBorders>
            <w:shd w:val="clear" w:color="auto" w:fill="auto"/>
            <w:vAlign w:val="center"/>
            <w:hideMark/>
          </w:tcPr>
          <w:p w:rsidR="0023292A" w:rsidRPr="00835A07" w:rsidRDefault="0023292A" w:rsidP="0023292A">
            <w:pPr>
              <w:jc w:val="right"/>
              <w:rPr>
                <w:sz w:val="18"/>
                <w:szCs w:val="18"/>
              </w:rPr>
            </w:pPr>
            <w:r w:rsidRPr="00835A07">
              <w:rPr>
                <w:sz w:val="18"/>
                <w:szCs w:val="18"/>
              </w:rPr>
              <w:t>-87</w:t>
            </w:r>
            <w:r w:rsidR="001C4A4D">
              <w:rPr>
                <w:sz w:val="18"/>
                <w:szCs w:val="18"/>
              </w:rPr>
              <w:t>.</w:t>
            </w:r>
            <w:r w:rsidRPr="00835A07">
              <w:rPr>
                <w:sz w:val="18"/>
                <w:szCs w:val="18"/>
              </w:rPr>
              <w:t>4</w:t>
            </w:r>
          </w:p>
        </w:tc>
        <w:tc>
          <w:tcPr>
            <w:tcW w:w="1095" w:type="dxa"/>
            <w:tcBorders>
              <w:top w:val="single" w:sz="4" w:space="0" w:color="D9D9D9" w:themeColor="background1" w:themeShade="D9"/>
              <w:left w:val="nil"/>
              <w:bottom w:val="single" w:sz="4" w:space="0" w:color="D9D9D9" w:themeColor="background1" w:themeShade="D9"/>
              <w:right w:val="single" w:sz="4" w:space="0" w:color="003399"/>
            </w:tcBorders>
            <w:shd w:val="clear" w:color="auto" w:fill="auto"/>
            <w:vAlign w:val="center"/>
            <w:hideMark/>
          </w:tcPr>
          <w:p w:rsidR="0023292A" w:rsidRPr="00835A07" w:rsidRDefault="0023292A" w:rsidP="0023292A">
            <w:pPr>
              <w:jc w:val="right"/>
              <w:rPr>
                <w:sz w:val="18"/>
                <w:szCs w:val="18"/>
              </w:rPr>
            </w:pPr>
            <w:r w:rsidRPr="00835A07">
              <w:rPr>
                <w:sz w:val="18"/>
                <w:szCs w:val="18"/>
              </w:rPr>
              <w:t>-28</w:t>
            </w:r>
            <w:r w:rsidR="001C4A4D">
              <w:rPr>
                <w:sz w:val="18"/>
                <w:szCs w:val="18"/>
              </w:rPr>
              <w:t>.</w:t>
            </w:r>
            <w:r w:rsidRPr="00835A07">
              <w:rPr>
                <w:sz w:val="18"/>
                <w:szCs w:val="18"/>
              </w:rPr>
              <w:t>2</w:t>
            </w:r>
          </w:p>
        </w:tc>
        <w:tc>
          <w:tcPr>
            <w:tcW w:w="1457" w:type="dxa"/>
            <w:tcBorders>
              <w:top w:val="single" w:sz="4" w:space="0" w:color="D9D9D9" w:themeColor="background1" w:themeShade="D9"/>
              <w:left w:val="single" w:sz="4" w:space="0" w:color="003399"/>
              <w:bottom w:val="single" w:sz="4" w:space="0" w:color="D9D9D9" w:themeColor="background1" w:themeShade="D9"/>
              <w:right w:val="nil"/>
            </w:tcBorders>
            <w:shd w:val="clear" w:color="auto" w:fill="auto"/>
            <w:vAlign w:val="center"/>
            <w:hideMark/>
          </w:tcPr>
          <w:p w:rsidR="0023292A" w:rsidRPr="00835A07" w:rsidRDefault="0023292A" w:rsidP="0023292A">
            <w:pPr>
              <w:jc w:val="right"/>
              <w:rPr>
                <w:sz w:val="18"/>
                <w:szCs w:val="18"/>
              </w:rPr>
            </w:pPr>
            <w:r w:rsidRPr="00835A07">
              <w:rPr>
                <w:sz w:val="18"/>
                <w:szCs w:val="18"/>
              </w:rPr>
              <w:t>-111</w:t>
            </w:r>
            <w:r w:rsidR="001C4A4D">
              <w:rPr>
                <w:sz w:val="18"/>
                <w:szCs w:val="18"/>
              </w:rPr>
              <w:t>.</w:t>
            </w:r>
            <w:r w:rsidRPr="00835A07">
              <w:rPr>
                <w:sz w:val="18"/>
                <w:szCs w:val="18"/>
              </w:rPr>
              <w:t>1</w:t>
            </w:r>
          </w:p>
        </w:tc>
        <w:tc>
          <w:tcPr>
            <w:tcW w:w="91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23292A" w:rsidRPr="00835A07" w:rsidRDefault="0023292A" w:rsidP="0023292A">
            <w:pPr>
              <w:jc w:val="right"/>
              <w:rPr>
                <w:sz w:val="18"/>
                <w:szCs w:val="18"/>
              </w:rPr>
            </w:pPr>
            <w:r w:rsidRPr="00835A07">
              <w:rPr>
                <w:sz w:val="18"/>
                <w:szCs w:val="18"/>
              </w:rPr>
              <w:t>-33</w:t>
            </w:r>
            <w:r w:rsidR="001C4A4D">
              <w:rPr>
                <w:sz w:val="18"/>
                <w:szCs w:val="18"/>
              </w:rPr>
              <w:t>.</w:t>
            </w:r>
            <w:r w:rsidRPr="00835A07">
              <w:rPr>
                <w:sz w:val="18"/>
                <w:szCs w:val="18"/>
              </w:rPr>
              <w:t>3</w:t>
            </w:r>
          </w:p>
        </w:tc>
      </w:tr>
      <w:tr w:rsidR="0023292A" w:rsidRPr="00835A07" w:rsidTr="0023292A">
        <w:trPr>
          <w:trHeight w:val="259"/>
          <w:jc w:val="center"/>
        </w:trPr>
        <w:tc>
          <w:tcPr>
            <w:tcW w:w="4243" w:type="dxa"/>
            <w:tcBorders>
              <w:top w:val="single" w:sz="4" w:space="0" w:color="D9D9D9" w:themeColor="background1" w:themeShade="D9"/>
              <w:bottom w:val="single" w:sz="8" w:space="0" w:color="0C5498"/>
              <w:right w:val="single" w:sz="4" w:space="0" w:color="003399"/>
            </w:tcBorders>
            <w:shd w:val="clear" w:color="auto" w:fill="auto"/>
            <w:vAlign w:val="center"/>
            <w:hideMark/>
          </w:tcPr>
          <w:p w:rsidR="0023292A" w:rsidRPr="00185079" w:rsidRDefault="0023292A" w:rsidP="0023292A">
            <w:pPr>
              <w:rPr>
                <w:rFonts w:cs="Arial"/>
                <w:color w:val="000000"/>
                <w:sz w:val="18"/>
                <w:szCs w:val="18"/>
              </w:rPr>
            </w:pPr>
            <w:r w:rsidRPr="00185079">
              <w:rPr>
                <w:rFonts w:cs="Arial"/>
                <w:color w:val="000000"/>
                <w:sz w:val="18"/>
                <w:szCs w:val="18"/>
              </w:rPr>
              <w:t xml:space="preserve">    Inactive population</w:t>
            </w:r>
          </w:p>
        </w:tc>
        <w:tc>
          <w:tcPr>
            <w:tcW w:w="1233" w:type="dxa"/>
            <w:tcBorders>
              <w:top w:val="single" w:sz="4" w:space="0" w:color="D9D9D9" w:themeColor="background1" w:themeShade="D9"/>
              <w:left w:val="single" w:sz="4" w:space="0" w:color="003399"/>
              <w:bottom w:val="single" w:sz="8" w:space="0" w:color="0C5498"/>
              <w:right w:val="single" w:sz="4" w:space="0" w:color="003399"/>
            </w:tcBorders>
            <w:shd w:val="clear" w:color="auto" w:fill="auto"/>
            <w:vAlign w:val="center"/>
            <w:hideMark/>
          </w:tcPr>
          <w:p w:rsidR="0023292A" w:rsidRPr="00835A07" w:rsidRDefault="0023292A" w:rsidP="0023292A">
            <w:pPr>
              <w:jc w:val="right"/>
              <w:rPr>
                <w:sz w:val="18"/>
                <w:szCs w:val="18"/>
              </w:rPr>
            </w:pPr>
            <w:r w:rsidRPr="00835A07">
              <w:rPr>
                <w:sz w:val="18"/>
                <w:szCs w:val="18"/>
              </w:rPr>
              <w:t>2830</w:t>
            </w:r>
            <w:r w:rsidR="001C4A4D">
              <w:rPr>
                <w:sz w:val="18"/>
                <w:szCs w:val="18"/>
              </w:rPr>
              <w:t>.</w:t>
            </w:r>
            <w:r w:rsidRPr="00835A07">
              <w:rPr>
                <w:sz w:val="18"/>
                <w:szCs w:val="18"/>
              </w:rPr>
              <w:t>9</w:t>
            </w:r>
          </w:p>
        </w:tc>
        <w:tc>
          <w:tcPr>
            <w:tcW w:w="1266" w:type="dxa"/>
            <w:tcBorders>
              <w:top w:val="single" w:sz="4" w:space="0" w:color="D9D9D9" w:themeColor="background1" w:themeShade="D9"/>
              <w:left w:val="single" w:sz="4" w:space="0" w:color="003399"/>
              <w:bottom w:val="single" w:sz="8" w:space="0" w:color="0C5498"/>
              <w:right w:val="nil"/>
            </w:tcBorders>
            <w:shd w:val="clear" w:color="auto" w:fill="auto"/>
            <w:vAlign w:val="center"/>
            <w:hideMark/>
          </w:tcPr>
          <w:p w:rsidR="0023292A" w:rsidRPr="00835A07" w:rsidRDefault="0023292A" w:rsidP="0023292A">
            <w:pPr>
              <w:jc w:val="right"/>
              <w:rPr>
                <w:sz w:val="18"/>
                <w:szCs w:val="18"/>
              </w:rPr>
            </w:pPr>
            <w:r w:rsidRPr="00835A07">
              <w:rPr>
                <w:sz w:val="18"/>
                <w:szCs w:val="18"/>
              </w:rPr>
              <w:t>113</w:t>
            </w:r>
            <w:r w:rsidR="001C4A4D">
              <w:rPr>
                <w:sz w:val="18"/>
                <w:szCs w:val="18"/>
              </w:rPr>
              <w:t>.</w:t>
            </w:r>
            <w:r w:rsidRPr="00835A07">
              <w:rPr>
                <w:sz w:val="18"/>
                <w:szCs w:val="18"/>
              </w:rPr>
              <w:t>1</w:t>
            </w:r>
          </w:p>
        </w:tc>
        <w:tc>
          <w:tcPr>
            <w:tcW w:w="1095" w:type="dxa"/>
            <w:tcBorders>
              <w:top w:val="single" w:sz="4" w:space="0" w:color="D9D9D9" w:themeColor="background1" w:themeShade="D9"/>
              <w:left w:val="nil"/>
              <w:bottom w:val="single" w:sz="8" w:space="0" w:color="0C5498"/>
              <w:right w:val="single" w:sz="4" w:space="0" w:color="003399"/>
            </w:tcBorders>
            <w:shd w:val="clear" w:color="auto" w:fill="auto"/>
            <w:vAlign w:val="center"/>
            <w:hideMark/>
          </w:tcPr>
          <w:p w:rsidR="0023292A" w:rsidRPr="00835A07" w:rsidRDefault="0023292A" w:rsidP="0023292A">
            <w:pPr>
              <w:jc w:val="right"/>
              <w:rPr>
                <w:sz w:val="18"/>
                <w:szCs w:val="18"/>
              </w:rPr>
            </w:pPr>
            <w:r w:rsidRPr="00835A07">
              <w:rPr>
                <w:sz w:val="18"/>
                <w:szCs w:val="18"/>
              </w:rPr>
              <w:t>4</w:t>
            </w:r>
            <w:r w:rsidR="001C4A4D">
              <w:rPr>
                <w:sz w:val="18"/>
                <w:szCs w:val="18"/>
              </w:rPr>
              <w:t>.</w:t>
            </w:r>
            <w:r w:rsidRPr="00835A07">
              <w:rPr>
                <w:sz w:val="18"/>
                <w:szCs w:val="18"/>
              </w:rPr>
              <w:t>2</w:t>
            </w:r>
          </w:p>
        </w:tc>
        <w:tc>
          <w:tcPr>
            <w:tcW w:w="1457" w:type="dxa"/>
            <w:tcBorders>
              <w:top w:val="single" w:sz="4" w:space="0" w:color="D9D9D9" w:themeColor="background1" w:themeShade="D9"/>
              <w:left w:val="single" w:sz="4" w:space="0" w:color="003399"/>
              <w:bottom w:val="single" w:sz="8" w:space="0" w:color="0C5498"/>
              <w:right w:val="nil"/>
            </w:tcBorders>
            <w:shd w:val="clear" w:color="auto" w:fill="auto"/>
            <w:vAlign w:val="center"/>
            <w:hideMark/>
          </w:tcPr>
          <w:p w:rsidR="0023292A" w:rsidRPr="00835A07" w:rsidRDefault="0023292A" w:rsidP="0023292A">
            <w:pPr>
              <w:jc w:val="right"/>
              <w:rPr>
                <w:sz w:val="18"/>
                <w:szCs w:val="18"/>
              </w:rPr>
            </w:pPr>
            <w:r w:rsidRPr="00835A07">
              <w:rPr>
                <w:sz w:val="18"/>
                <w:szCs w:val="18"/>
              </w:rPr>
              <w:t>153</w:t>
            </w:r>
            <w:r w:rsidR="001C4A4D">
              <w:rPr>
                <w:sz w:val="18"/>
                <w:szCs w:val="18"/>
              </w:rPr>
              <w:t>.</w:t>
            </w:r>
            <w:r w:rsidRPr="00835A07">
              <w:rPr>
                <w:sz w:val="18"/>
                <w:szCs w:val="18"/>
              </w:rPr>
              <w:t>8</w:t>
            </w:r>
          </w:p>
        </w:tc>
        <w:tc>
          <w:tcPr>
            <w:tcW w:w="912" w:type="dxa"/>
            <w:tcBorders>
              <w:top w:val="single" w:sz="4" w:space="0" w:color="D9D9D9" w:themeColor="background1" w:themeShade="D9"/>
              <w:left w:val="nil"/>
              <w:bottom w:val="single" w:sz="8" w:space="0" w:color="0C5498"/>
              <w:right w:val="nil"/>
            </w:tcBorders>
            <w:shd w:val="clear" w:color="auto" w:fill="auto"/>
            <w:vAlign w:val="center"/>
            <w:hideMark/>
          </w:tcPr>
          <w:p w:rsidR="0023292A" w:rsidRPr="00835A07" w:rsidRDefault="0023292A" w:rsidP="0023292A">
            <w:pPr>
              <w:jc w:val="right"/>
              <w:rPr>
                <w:sz w:val="18"/>
                <w:szCs w:val="18"/>
              </w:rPr>
            </w:pPr>
            <w:r w:rsidRPr="00835A07">
              <w:rPr>
                <w:sz w:val="18"/>
                <w:szCs w:val="18"/>
              </w:rPr>
              <w:t>5</w:t>
            </w:r>
            <w:r w:rsidR="001C4A4D">
              <w:rPr>
                <w:sz w:val="18"/>
                <w:szCs w:val="18"/>
              </w:rPr>
              <w:t>.</w:t>
            </w:r>
            <w:r w:rsidRPr="00835A07">
              <w:rPr>
                <w:sz w:val="18"/>
                <w:szCs w:val="18"/>
              </w:rPr>
              <w:t>7</w:t>
            </w:r>
          </w:p>
        </w:tc>
      </w:tr>
      <w:tr w:rsidR="0023292A" w:rsidRPr="00D07F45" w:rsidTr="0023292A">
        <w:trPr>
          <w:trHeight w:val="273"/>
          <w:jc w:val="center"/>
        </w:trPr>
        <w:tc>
          <w:tcPr>
            <w:tcW w:w="4243" w:type="dxa"/>
            <w:tcBorders>
              <w:top w:val="single" w:sz="8" w:space="0" w:color="0C5498"/>
              <w:bottom w:val="single" w:sz="8" w:space="0" w:color="003399"/>
              <w:right w:val="single" w:sz="4" w:space="0" w:color="003399"/>
            </w:tcBorders>
            <w:shd w:val="clear" w:color="auto" w:fill="F2F2F2" w:themeFill="background1" w:themeFillShade="F2"/>
            <w:vAlign w:val="center"/>
            <w:hideMark/>
          </w:tcPr>
          <w:p w:rsidR="0023292A" w:rsidRPr="00B05442" w:rsidRDefault="0023292A" w:rsidP="0023292A">
            <w:pPr>
              <w:spacing w:line="264" w:lineRule="auto"/>
              <w:rPr>
                <w:rFonts w:cs="Arial"/>
                <w:color w:val="000000"/>
                <w:sz w:val="18"/>
                <w:szCs w:val="18"/>
              </w:rPr>
            </w:pPr>
            <w:r w:rsidRPr="00B05442">
              <w:rPr>
                <w:rFonts w:cs="Arial"/>
                <w:color w:val="000000"/>
                <w:sz w:val="18"/>
                <w:szCs w:val="18"/>
                <w:lang w:val="sr-Latn-RS"/>
              </w:rPr>
              <w:t> </w:t>
            </w:r>
          </w:p>
        </w:tc>
        <w:tc>
          <w:tcPr>
            <w:tcW w:w="1233" w:type="dxa"/>
            <w:tcBorders>
              <w:top w:val="single" w:sz="8" w:space="0" w:color="0C5498"/>
              <w:left w:val="single" w:sz="4" w:space="0" w:color="003399"/>
              <w:bottom w:val="single" w:sz="8" w:space="0" w:color="003399"/>
              <w:right w:val="single" w:sz="4" w:space="0" w:color="003399"/>
            </w:tcBorders>
            <w:shd w:val="clear" w:color="auto" w:fill="F2F2F2" w:themeFill="background1" w:themeFillShade="F2"/>
            <w:noWrap/>
            <w:vAlign w:val="center"/>
            <w:hideMark/>
          </w:tcPr>
          <w:p w:rsidR="0023292A" w:rsidRPr="00185079" w:rsidRDefault="0023292A" w:rsidP="0023292A">
            <w:pPr>
              <w:jc w:val="center"/>
              <w:rPr>
                <w:rFonts w:cs="Arial"/>
                <w:b/>
                <w:bCs/>
                <w:color w:val="000000"/>
                <w:sz w:val="18"/>
                <w:szCs w:val="18"/>
              </w:rPr>
            </w:pPr>
            <w:r w:rsidRPr="00185079">
              <w:rPr>
                <w:rFonts w:cs="Arial"/>
                <w:b/>
                <w:bCs/>
                <w:color w:val="000000"/>
                <w:sz w:val="18"/>
                <w:szCs w:val="18"/>
              </w:rPr>
              <w:t>%</w:t>
            </w:r>
          </w:p>
        </w:tc>
        <w:tc>
          <w:tcPr>
            <w:tcW w:w="4730" w:type="dxa"/>
            <w:gridSpan w:val="4"/>
            <w:tcBorders>
              <w:top w:val="single" w:sz="8" w:space="0" w:color="0C5498"/>
              <w:left w:val="single" w:sz="4" w:space="0" w:color="003399"/>
              <w:bottom w:val="single" w:sz="8" w:space="0" w:color="003399"/>
            </w:tcBorders>
            <w:shd w:val="clear" w:color="auto" w:fill="F2F2F2" w:themeFill="background1" w:themeFillShade="F2"/>
            <w:noWrap/>
            <w:vAlign w:val="center"/>
            <w:hideMark/>
          </w:tcPr>
          <w:p w:rsidR="0023292A" w:rsidRPr="00185079" w:rsidRDefault="0023292A" w:rsidP="0023292A">
            <w:pPr>
              <w:jc w:val="center"/>
              <w:rPr>
                <w:rFonts w:cs="Arial"/>
                <w:color w:val="000000"/>
                <w:sz w:val="18"/>
                <w:szCs w:val="18"/>
              </w:rPr>
            </w:pPr>
            <w:r w:rsidRPr="00185079">
              <w:rPr>
                <w:rFonts w:cs="Arial"/>
                <w:color w:val="000000"/>
                <w:sz w:val="18"/>
                <w:szCs w:val="18"/>
              </w:rPr>
              <w:t>(p. p.)</w:t>
            </w:r>
          </w:p>
        </w:tc>
      </w:tr>
      <w:tr w:rsidR="0023292A" w:rsidRPr="00835A07" w:rsidTr="0023292A">
        <w:trPr>
          <w:trHeight w:val="260"/>
          <w:jc w:val="center"/>
        </w:trPr>
        <w:tc>
          <w:tcPr>
            <w:tcW w:w="4243" w:type="dxa"/>
            <w:tcBorders>
              <w:top w:val="single" w:sz="8" w:space="0" w:color="003399"/>
              <w:bottom w:val="single" w:sz="4" w:space="0" w:color="D9D9D9" w:themeColor="background1" w:themeShade="D9"/>
              <w:right w:val="single" w:sz="4" w:space="0" w:color="003399"/>
            </w:tcBorders>
            <w:shd w:val="clear" w:color="auto" w:fill="auto"/>
            <w:vAlign w:val="center"/>
            <w:hideMark/>
          </w:tcPr>
          <w:p w:rsidR="0023292A" w:rsidRPr="00185079" w:rsidRDefault="0023292A" w:rsidP="0023292A">
            <w:pPr>
              <w:rPr>
                <w:rFonts w:cs="Arial"/>
                <w:sz w:val="18"/>
                <w:szCs w:val="18"/>
              </w:rPr>
            </w:pPr>
            <w:r w:rsidRPr="00185079">
              <w:rPr>
                <w:rFonts w:cs="Arial"/>
                <w:sz w:val="18"/>
                <w:szCs w:val="18"/>
              </w:rPr>
              <w:t>Activity rate</w:t>
            </w:r>
          </w:p>
        </w:tc>
        <w:tc>
          <w:tcPr>
            <w:tcW w:w="1233" w:type="dxa"/>
            <w:tcBorders>
              <w:top w:val="single" w:sz="8" w:space="0" w:color="003399"/>
              <w:left w:val="single" w:sz="4" w:space="0" w:color="003399"/>
              <w:bottom w:val="single" w:sz="4" w:space="0" w:color="D9D9D9" w:themeColor="background1" w:themeShade="D9"/>
              <w:right w:val="single" w:sz="4" w:space="0" w:color="003399"/>
            </w:tcBorders>
            <w:shd w:val="clear" w:color="auto" w:fill="auto"/>
            <w:vAlign w:val="center"/>
            <w:hideMark/>
          </w:tcPr>
          <w:p w:rsidR="0023292A" w:rsidRPr="00835A07" w:rsidRDefault="0023292A" w:rsidP="0023292A">
            <w:pPr>
              <w:jc w:val="right"/>
              <w:rPr>
                <w:sz w:val="18"/>
                <w:szCs w:val="18"/>
              </w:rPr>
            </w:pPr>
            <w:r w:rsidRPr="00835A07">
              <w:rPr>
                <w:sz w:val="18"/>
                <w:szCs w:val="18"/>
              </w:rPr>
              <w:t>52</w:t>
            </w:r>
            <w:r w:rsidR="001C4A4D">
              <w:rPr>
                <w:sz w:val="18"/>
                <w:szCs w:val="18"/>
              </w:rPr>
              <w:t>.</w:t>
            </w:r>
            <w:r w:rsidRPr="00835A07">
              <w:rPr>
                <w:sz w:val="18"/>
                <w:szCs w:val="18"/>
              </w:rPr>
              <w:t>0</w:t>
            </w:r>
          </w:p>
        </w:tc>
        <w:tc>
          <w:tcPr>
            <w:tcW w:w="1266" w:type="dxa"/>
            <w:tcBorders>
              <w:top w:val="single" w:sz="8" w:space="0" w:color="003399"/>
              <w:left w:val="single" w:sz="4" w:space="0" w:color="003399"/>
              <w:bottom w:val="single" w:sz="4" w:space="0" w:color="D9D9D9" w:themeColor="background1" w:themeShade="D9"/>
              <w:right w:val="nil"/>
            </w:tcBorders>
            <w:shd w:val="clear" w:color="auto" w:fill="auto"/>
            <w:noWrap/>
            <w:vAlign w:val="center"/>
            <w:hideMark/>
          </w:tcPr>
          <w:p w:rsidR="0023292A" w:rsidRPr="00835A07" w:rsidRDefault="0023292A" w:rsidP="0023292A">
            <w:pPr>
              <w:jc w:val="right"/>
              <w:rPr>
                <w:sz w:val="18"/>
                <w:szCs w:val="18"/>
              </w:rPr>
            </w:pPr>
          </w:p>
        </w:tc>
        <w:tc>
          <w:tcPr>
            <w:tcW w:w="1095" w:type="dxa"/>
            <w:tcBorders>
              <w:top w:val="single" w:sz="8" w:space="0" w:color="003399"/>
              <w:left w:val="nil"/>
              <w:bottom w:val="single" w:sz="4" w:space="0" w:color="D9D9D9" w:themeColor="background1" w:themeShade="D9"/>
              <w:right w:val="single" w:sz="8" w:space="0" w:color="003399"/>
            </w:tcBorders>
            <w:shd w:val="clear" w:color="auto" w:fill="auto"/>
            <w:vAlign w:val="center"/>
            <w:hideMark/>
          </w:tcPr>
          <w:p w:rsidR="0023292A" w:rsidRPr="00835A07" w:rsidRDefault="0023292A" w:rsidP="0023292A">
            <w:pPr>
              <w:jc w:val="right"/>
              <w:rPr>
                <w:sz w:val="18"/>
                <w:szCs w:val="18"/>
              </w:rPr>
            </w:pPr>
            <w:r w:rsidRPr="00835A07">
              <w:rPr>
                <w:sz w:val="18"/>
                <w:szCs w:val="18"/>
              </w:rPr>
              <w:t>-2</w:t>
            </w:r>
            <w:r w:rsidR="001C4A4D">
              <w:rPr>
                <w:sz w:val="18"/>
                <w:szCs w:val="18"/>
              </w:rPr>
              <w:t>.</w:t>
            </w:r>
            <w:r w:rsidRPr="00835A07">
              <w:rPr>
                <w:sz w:val="18"/>
                <w:szCs w:val="18"/>
              </w:rPr>
              <w:t>0</w:t>
            </w:r>
          </w:p>
        </w:tc>
        <w:tc>
          <w:tcPr>
            <w:tcW w:w="1457" w:type="dxa"/>
            <w:tcBorders>
              <w:top w:val="single" w:sz="8" w:space="0" w:color="003399"/>
              <w:left w:val="single" w:sz="8" w:space="0" w:color="003399"/>
              <w:bottom w:val="single" w:sz="4" w:space="0" w:color="D9D9D9" w:themeColor="background1" w:themeShade="D9"/>
              <w:right w:val="nil"/>
            </w:tcBorders>
            <w:shd w:val="clear" w:color="auto" w:fill="auto"/>
            <w:noWrap/>
            <w:vAlign w:val="center"/>
            <w:hideMark/>
          </w:tcPr>
          <w:p w:rsidR="0023292A" w:rsidRPr="00835A07" w:rsidRDefault="0023292A" w:rsidP="0023292A">
            <w:pPr>
              <w:jc w:val="right"/>
              <w:rPr>
                <w:sz w:val="18"/>
                <w:szCs w:val="18"/>
              </w:rPr>
            </w:pPr>
          </w:p>
        </w:tc>
        <w:tc>
          <w:tcPr>
            <w:tcW w:w="912" w:type="dxa"/>
            <w:tcBorders>
              <w:top w:val="single" w:sz="8" w:space="0" w:color="003399"/>
              <w:left w:val="nil"/>
              <w:bottom w:val="single" w:sz="4" w:space="0" w:color="D9D9D9" w:themeColor="background1" w:themeShade="D9"/>
              <w:right w:val="nil"/>
            </w:tcBorders>
            <w:shd w:val="clear" w:color="auto" w:fill="auto"/>
            <w:vAlign w:val="center"/>
            <w:hideMark/>
          </w:tcPr>
          <w:p w:rsidR="0023292A" w:rsidRPr="00835A07" w:rsidRDefault="0023292A" w:rsidP="0023292A">
            <w:pPr>
              <w:jc w:val="right"/>
              <w:rPr>
                <w:sz w:val="18"/>
                <w:szCs w:val="18"/>
              </w:rPr>
            </w:pPr>
            <w:r w:rsidRPr="00835A07">
              <w:rPr>
                <w:sz w:val="18"/>
                <w:szCs w:val="18"/>
              </w:rPr>
              <w:t>-2</w:t>
            </w:r>
            <w:r w:rsidR="001C4A4D">
              <w:rPr>
                <w:sz w:val="18"/>
                <w:szCs w:val="18"/>
              </w:rPr>
              <w:t>.</w:t>
            </w:r>
            <w:r w:rsidRPr="00835A07">
              <w:rPr>
                <w:sz w:val="18"/>
                <w:szCs w:val="18"/>
              </w:rPr>
              <w:t>8</w:t>
            </w:r>
          </w:p>
        </w:tc>
      </w:tr>
      <w:tr w:rsidR="0023292A" w:rsidRPr="00835A07" w:rsidTr="0023292A">
        <w:trPr>
          <w:trHeight w:val="260"/>
          <w:jc w:val="center"/>
        </w:trPr>
        <w:tc>
          <w:tcPr>
            <w:tcW w:w="4243" w:type="dxa"/>
            <w:tcBorders>
              <w:top w:val="single" w:sz="4" w:space="0" w:color="D9D9D9" w:themeColor="background1" w:themeShade="D9"/>
              <w:bottom w:val="single" w:sz="4" w:space="0" w:color="D9D9D9" w:themeColor="background1" w:themeShade="D9"/>
              <w:right w:val="single" w:sz="4" w:space="0" w:color="003399"/>
            </w:tcBorders>
            <w:shd w:val="clear" w:color="auto" w:fill="auto"/>
            <w:vAlign w:val="center"/>
            <w:hideMark/>
          </w:tcPr>
          <w:p w:rsidR="0023292A" w:rsidRPr="00185079" w:rsidRDefault="0023292A" w:rsidP="0023292A">
            <w:pPr>
              <w:rPr>
                <w:rFonts w:cs="Arial"/>
                <w:sz w:val="18"/>
                <w:szCs w:val="18"/>
              </w:rPr>
            </w:pPr>
            <w:r w:rsidRPr="00185079">
              <w:rPr>
                <w:rFonts w:cs="Arial"/>
                <w:sz w:val="18"/>
                <w:szCs w:val="18"/>
              </w:rPr>
              <w:t>Employment rate</w:t>
            </w:r>
          </w:p>
        </w:tc>
        <w:tc>
          <w:tcPr>
            <w:tcW w:w="1233" w:type="dxa"/>
            <w:tcBorders>
              <w:top w:val="single" w:sz="4" w:space="0" w:color="D9D9D9" w:themeColor="background1" w:themeShade="D9"/>
              <w:left w:val="single" w:sz="4" w:space="0" w:color="003399"/>
              <w:bottom w:val="single" w:sz="4" w:space="0" w:color="D9D9D9" w:themeColor="background1" w:themeShade="D9"/>
              <w:right w:val="single" w:sz="4" w:space="0" w:color="003399"/>
            </w:tcBorders>
            <w:shd w:val="clear" w:color="auto" w:fill="auto"/>
            <w:vAlign w:val="center"/>
            <w:hideMark/>
          </w:tcPr>
          <w:p w:rsidR="0023292A" w:rsidRPr="00835A07" w:rsidRDefault="0023292A" w:rsidP="0023292A">
            <w:pPr>
              <w:jc w:val="right"/>
              <w:rPr>
                <w:sz w:val="18"/>
                <w:szCs w:val="18"/>
              </w:rPr>
            </w:pPr>
            <w:r w:rsidRPr="00835A07">
              <w:rPr>
                <w:sz w:val="18"/>
                <w:szCs w:val="18"/>
              </w:rPr>
              <w:t>48</w:t>
            </w:r>
            <w:r w:rsidR="001C4A4D">
              <w:rPr>
                <w:sz w:val="18"/>
                <w:szCs w:val="18"/>
              </w:rPr>
              <w:t>.</w:t>
            </w:r>
            <w:r w:rsidRPr="00835A07">
              <w:rPr>
                <w:sz w:val="18"/>
                <w:szCs w:val="18"/>
              </w:rPr>
              <w:t>2</w:t>
            </w:r>
          </w:p>
        </w:tc>
        <w:tc>
          <w:tcPr>
            <w:tcW w:w="1266" w:type="dxa"/>
            <w:tcBorders>
              <w:top w:val="single" w:sz="4" w:space="0" w:color="D9D9D9" w:themeColor="background1" w:themeShade="D9"/>
              <w:left w:val="single" w:sz="4" w:space="0" w:color="003399"/>
              <w:bottom w:val="single" w:sz="4" w:space="0" w:color="D9D9D9" w:themeColor="background1" w:themeShade="D9"/>
              <w:right w:val="nil"/>
            </w:tcBorders>
            <w:shd w:val="clear" w:color="auto" w:fill="auto"/>
            <w:noWrap/>
            <w:vAlign w:val="center"/>
            <w:hideMark/>
          </w:tcPr>
          <w:p w:rsidR="0023292A" w:rsidRPr="00835A07" w:rsidRDefault="0023292A" w:rsidP="0023292A">
            <w:pPr>
              <w:jc w:val="right"/>
              <w:rPr>
                <w:sz w:val="18"/>
                <w:szCs w:val="18"/>
              </w:rPr>
            </w:pPr>
          </w:p>
        </w:tc>
        <w:tc>
          <w:tcPr>
            <w:tcW w:w="1095" w:type="dxa"/>
            <w:tcBorders>
              <w:top w:val="single" w:sz="4" w:space="0" w:color="D9D9D9" w:themeColor="background1" w:themeShade="D9"/>
              <w:left w:val="nil"/>
              <w:bottom w:val="single" w:sz="4" w:space="0" w:color="D9D9D9" w:themeColor="background1" w:themeShade="D9"/>
              <w:right w:val="single" w:sz="8" w:space="0" w:color="003399"/>
            </w:tcBorders>
            <w:shd w:val="clear" w:color="auto" w:fill="auto"/>
            <w:noWrap/>
            <w:vAlign w:val="center"/>
            <w:hideMark/>
          </w:tcPr>
          <w:p w:rsidR="0023292A" w:rsidRPr="00835A07" w:rsidRDefault="0023292A" w:rsidP="0023292A">
            <w:pPr>
              <w:jc w:val="right"/>
              <w:rPr>
                <w:sz w:val="18"/>
                <w:szCs w:val="18"/>
              </w:rPr>
            </w:pPr>
            <w:r w:rsidRPr="00835A07">
              <w:rPr>
                <w:sz w:val="18"/>
                <w:szCs w:val="18"/>
              </w:rPr>
              <w:t>-0</w:t>
            </w:r>
            <w:r w:rsidR="001C4A4D">
              <w:rPr>
                <w:sz w:val="18"/>
                <w:szCs w:val="18"/>
              </w:rPr>
              <w:t>.</w:t>
            </w:r>
            <w:r w:rsidRPr="00835A07">
              <w:rPr>
                <w:sz w:val="18"/>
                <w:szCs w:val="18"/>
              </w:rPr>
              <w:t>5</w:t>
            </w:r>
          </w:p>
        </w:tc>
        <w:tc>
          <w:tcPr>
            <w:tcW w:w="1457" w:type="dxa"/>
            <w:tcBorders>
              <w:top w:val="single" w:sz="4" w:space="0" w:color="D9D9D9" w:themeColor="background1" w:themeShade="D9"/>
              <w:left w:val="single" w:sz="8" w:space="0" w:color="003399"/>
              <w:bottom w:val="single" w:sz="4" w:space="0" w:color="D9D9D9" w:themeColor="background1" w:themeShade="D9"/>
              <w:right w:val="nil"/>
            </w:tcBorders>
            <w:shd w:val="clear" w:color="auto" w:fill="auto"/>
            <w:noWrap/>
            <w:vAlign w:val="center"/>
            <w:hideMark/>
          </w:tcPr>
          <w:p w:rsidR="0023292A" w:rsidRPr="00835A07" w:rsidRDefault="0023292A" w:rsidP="0023292A">
            <w:pPr>
              <w:jc w:val="right"/>
              <w:rPr>
                <w:sz w:val="18"/>
                <w:szCs w:val="18"/>
              </w:rPr>
            </w:pPr>
          </w:p>
        </w:tc>
        <w:tc>
          <w:tcPr>
            <w:tcW w:w="912"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23292A" w:rsidRPr="00835A07" w:rsidRDefault="0023292A" w:rsidP="0023292A">
            <w:pPr>
              <w:jc w:val="right"/>
              <w:rPr>
                <w:sz w:val="18"/>
                <w:szCs w:val="18"/>
              </w:rPr>
            </w:pPr>
            <w:r w:rsidRPr="00835A07">
              <w:rPr>
                <w:sz w:val="18"/>
                <w:szCs w:val="18"/>
              </w:rPr>
              <w:t>-1</w:t>
            </w:r>
            <w:r w:rsidR="001C4A4D">
              <w:rPr>
                <w:sz w:val="18"/>
                <w:szCs w:val="18"/>
              </w:rPr>
              <w:t>.</w:t>
            </w:r>
            <w:r w:rsidRPr="00835A07">
              <w:rPr>
                <w:sz w:val="18"/>
                <w:szCs w:val="18"/>
              </w:rPr>
              <w:t>0</w:t>
            </w:r>
          </w:p>
        </w:tc>
      </w:tr>
      <w:tr w:rsidR="0023292A" w:rsidRPr="00835A07" w:rsidTr="0023292A">
        <w:trPr>
          <w:trHeight w:val="260"/>
          <w:jc w:val="center"/>
        </w:trPr>
        <w:tc>
          <w:tcPr>
            <w:tcW w:w="4243" w:type="dxa"/>
            <w:tcBorders>
              <w:top w:val="single" w:sz="4" w:space="0" w:color="D9D9D9" w:themeColor="background1" w:themeShade="D9"/>
              <w:bottom w:val="single" w:sz="4" w:space="0" w:color="D9D9D9" w:themeColor="background1" w:themeShade="D9"/>
              <w:right w:val="single" w:sz="4" w:space="0" w:color="003399"/>
            </w:tcBorders>
            <w:shd w:val="clear" w:color="auto" w:fill="auto"/>
            <w:vAlign w:val="center"/>
            <w:hideMark/>
          </w:tcPr>
          <w:p w:rsidR="0023292A" w:rsidRPr="00185079" w:rsidRDefault="0023292A" w:rsidP="0023292A">
            <w:pPr>
              <w:rPr>
                <w:rFonts w:cs="Arial"/>
                <w:color w:val="000000"/>
                <w:sz w:val="18"/>
                <w:szCs w:val="18"/>
              </w:rPr>
            </w:pPr>
            <w:r w:rsidRPr="00185079">
              <w:rPr>
                <w:rFonts w:cs="Arial"/>
                <w:color w:val="000000"/>
                <w:sz w:val="18"/>
                <w:szCs w:val="18"/>
              </w:rPr>
              <w:t xml:space="preserve">    Informal employment rate</w:t>
            </w:r>
          </w:p>
        </w:tc>
        <w:tc>
          <w:tcPr>
            <w:tcW w:w="1233" w:type="dxa"/>
            <w:tcBorders>
              <w:top w:val="single" w:sz="4" w:space="0" w:color="D9D9D9" w:themeColor="background1" w:themeShade="D9"/>
              <w:left w:val="single" w:sz="4" w:space="0" w:color="003399"/>
              <w:bottom w:val="single" w:sz="4" w:space="0" w:color="D9D9D9" w:themeColor="background1" w:themeShade="D9"/>
              <w:right w:val="single" w:sz="4" w:space="0" w:color="003399"/>
            </w:tcBorders>
            <w:shd w:val="clear" w:color="auto" w:fill="auto"/>
            <w:noWrap/>
            <w:vAlign w:val="center"/>
            <w:hideMark/>
          </w:tcPr>
          <w:p w:rsidR="0023292A" w:rsidRPr="000248CC" w:rsidRDefault="0023292A" w:rsidP="0023292A">
            <w:pPr>
              <w:jc w:val="right"/>
              <w:rPr>
                <w:sz w:val="18"/>
                <w:szCs w:val="18"/>
                <w:lang w:val="sr-Latn-RS"/>
              </w:rPr>
            </w:pPr>
            <w:r w:rsidRPr="00835A07">
              <w:rPr>
                <w:sz w:val="18"/>
                <w:szCs w:val="18"/>
              </w:rPr>
              <w:t>1</w:t>
            </w:r>
            <w:r>
              <w:rPr>
                <w:sz w:val="18"/>
                <w:szCs w:val="18"/>
                <w:lang w:val="sr-Latn-RS"/>
              </w:rPr>
              <w:t>5</w:t>
            </w:r>
            <w:r w:rsidR="001C4A4D">
              <w:rPr>
                <w:sz w:val="18"/>
                <w:szCs w:val="18"/>
              </w:rPr>
              <w:t>.</w:t>
            </w:r>
            <w:r>
              <w:rPr>
                <w:sz w:val="18"/>
                <w:szCs w:val="18"/>
                <w:lang w:val="sr-Latn-RS"/>
              </w:rPr>
              <w:t>2</w:t>
            </w:r>
          </w:p>
        </w:tc>
        <w:tc>
          <w:tcPr>
            <w:tcW w:w="1266" w:type="dxa"/>
            <w:tcBorders>
              <w:top w:val="single" w:sz="4" w:space="0" w:color="D9D9D9" w:themeColor="background1" w:themeShade="D9"/>
              <w:left w:val="single" w:sz="4" w:space="0" w:color="003399"/>
              <w:bottom w:val="single" w:sz="4" w:space="0" w:color="D9D9D9" w:themeColor="background1" w:themeShade="D9"/>
              <w:right w:val="nil"/>
            </w:tcBorders>
            <w:shd w:val="clear" w:color="auto" w:fill="auto"/>
            <w:noWrap/>
            <w:vAlign w:val="center"/>
            <w:hideMark/>
          </w:tcPr>
          <w:p w:rsidR="0023292A" w:rsidRPr="00835A07" w:rsidRDefault="0023292A" w:rsidP="0023292A">
            <w:pPr>
              <w:jc w:val="right"/>
              <w:rPr>
                <w:sz w:val="18"/>
                <w:szCs w:val="18"/>
              </w:rPr>
            </w:pPr>
          </w:p>
        </w:tc>
        <w:tc>
          <w:tcPr>
            <w:tcW w:w="1095" w:type="dxa"/>
            <w:tcBorders>
              <w:top w:val="single" w:sz="4" w:space="0" w:color="D9D9D9" w:themeColor="background1" w:themeShade="D9"/>
              <w:left w:val="nil"/>
              <w:bottom w:val="single" w:sz="4" w:space="0" w:color="D9D9D9" w:themeColor="background1" w:themeShade="D9"/>
              <w:right w:val="single" w:sz="8" w:space="0" w:color="003399"/>
            </w:tcBorders>
            <w:shd w:val="clear" w:color="auto" w:fill="auto"/>
            <w:noWrap/>
            <w:vAlign w:val="center"/>
            <w:hideMark/>
          </w:tcPr>
          <w:p w:rsidR="0023292A" w:rsidRPr="00835A07" w:rsidRDefault="0023292A" w:rsidP="0023292A">
            <w:pPr>
              <w:jc w:val="right"/>
              <w:rPr>
                <w:sz w:val="18"/>
                <w:szCs w:val="18"/>
              </w:rPr>
            </w:pPr>
            <w:r w:rsidRPr="00835A07">
              <w:rPr>
                <w:sz w:val="18"/>
                <w:szCs w:val="18"/>
              </w:rPr>
              <w:t>-</w:t>
            </w:r>
            <w:r>
              <w:rPr>
                <w:sz w:val="18"/>
                <w:szCs w:val="18"/>
                <w:lang w:val="sr-Latn-RS"/>
              </w:rPr>
              <w:t>1</w:t>
            </w:r>
            <w:r w:rsidR="001C4A4D">
              <w:rPr>
                <w:sz w:val="18"/>
                <w:szCs w:val="18"/>
              </w:rPr>
              <w:t>.</w:t>
            </w:r>
            <w:r w:rsidRPr="00835A07">
              <w:rPr>
                <w:sz w:val="18"/>
                <w:szCs w:val="18"/>
              </w:rPr>
              <w:t>1</w:t>
            </w:r>
          </w:p>
        </w:tc>
        <w:tc>
          <w:tcPr>
            <w:tcW w:w="1457" w:type="dxa"/>
            <w:tcBorders>
              <w:top w:val="single" w:sz="4" w:space="0" w:color="D9D9D9" w:themeColor="background1" w:themeShade="D9"/>
              <w:left w:val="single" w:sz="8" w:space="0" w:color="003399"/>
              <w:bottom w:val="single" w:sz="4" w:space="0" w:color="D9D9D9" w:themeColor="background1" w:themeShade="D9"/>
              <w:right w:val="nil"/>
            </w:tcBorders>
            <w:shd w:val="clear" w:color="auto" w:fill="auto"/>
            <w:noWrap/>
            <w:vAlign w:val="center"/>
            <w:hideMark/>
          </w:tcPr>
          <w:p w:rsidR="0023292A" w:rsidRPr="00835A07" w:rsidRDefault="0023292A" w:rsidP="0023292A">
            <w:pPr>
              <w:jc w:val="right"/>
              <w:rPr>
                <w:sz w:val="18"/>
                <w:szCs w:val="18"/>
              </w:rPr>
            </w:pPr>
          </w:p>
        </w:tc>
        <w:tc>
          <w:tcPr>
            <w:tcW w:w="912"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23292A" w:rsidRPr="00835A07" w:rsidRDefault="0023292A" w:rsidP="0023292A">
            <w:pPr>
              <w:jc w:val="right"/>
              <w:rPr>
                <w:sz w:val="18"/>
                <w:szCs w:val="18"/>
              </w:rPr>
            </w:pPr>
            <w:r w:rsidRPr="00835A07">
              <w:rPr>
                <w:sz w:val="18"/>
                <w:szCs w:val="18"/>
              </w:rPr>
              <w:t>-</w:t>
            </w:r>
            <w:r>
              <w:rPr>
                <w:sz w:val="18"/>
                <w:szCs w:val="18"/>
                <w:lang w:val="sr-Latn-RS"/>
              </w:rPr>
              <w:t>4</w:t>
            </w:r>
            <w:r w:rsidR="001C4A4D">
              <w:rPr>
                <w:sz w:val="18"/>
                <w:szCs w:val="18"/>
              </w:rPr>
              <w:t>.</w:t>
            </w:r>
            <w:r w:rsidRPr="00835A07">
              <w:rPr>
                <w:sz w:val="18"/>
                <w:szCs w:val="18"/>
              </w:rPr>
              <w:t>2</w:t>
            </w:r>
          </w:p>
        </w:tc>
      </w:tr>
      <w:tr w:rsidR="0023292A" w:rsidRPr="00835A07" w:rsidTr="0023292A">
        <w:trPr>
          <w:trHeight w:val="260"/>
          <w:jc w:val="center"/>
        </w:trPr>
        <w:tc>
          <w:tcPr>
            <w:tcW w:w="4243" w:type="dxa"/>
            <w:tcBorders>
              <w:top w:val="single" w:sz="4" w:space="0" w:color="D9D9D9" w:themeColor="background1" w:themeShade="D9"/>
              <w:bottom w:val="single" w:sz="4" w:space="0" w:color="D9D9D9" w:themeColor="background1" w:themeShade="D9"/>
              <w:right w:val="single" w:sz="4" w:space="0" w:color="003399"/>
            </w:tcBorders>
            <w:shd w:val="clear" w:color="auto" w:fill="auto"/>
            <w:vAlign w:val="center"/>
            <w:hideMark/>
          </w:tcPr>
          <w:p w:rsidR="0023292A" w:rsidRPr="00185079" w:rsidRDefault="0023292A" w:rsidP="0023292A">
            <w:pPr>
              <w:rPr>
                <w:rFonts w:cs="Arial"/>
                <w:color w:val="000000"/>
                <w:sz w:val="18"/>
                <w:szCs w:val="18"/>
              </w:rPr>
            </w:pPr>
            <w:r w:rsidRPr="00185079">
              <w:rPr>
                <w:rFonts w:cs="Arial"/>
                <w:color w:val="000000"/>
                <w:sz w:val="18"/>
                <w:szCs w:val="18"/>
              </w:rPr>
              <w:t>Unemployment rate</w:t>
            </w:r>
          </w:p>
        </w:tc>
        <w:tc>
          <w:tcPr>
            <w:tcW w:w="1233" w:type="dxa"/>
            <w:tcBorders>
              <w:top w:val="single" w:sz="4" w:space="0" w:color="D9D9D9" w:themeColor="background1" w:themeShade="D9"/>
              <w:left w:val="single" w:sz="4" w:space="0" w:color="003399"/>
              <w:bottom w:val="single" w:sz="4" w:space="0" w:color="D9D9D9" w:themeColor="background1" w:themeShade="D9"/>
              <w:right w:val="single" w:sz="4" w:space="0" w:color="003399"/>
            </w:tcBorders>
            <w:shd w:val="clear" w:color="auto" w:fill="auto"/>
            <w:vAlign w:val="center"/>
            <w:hideMark/>
          </w:tcPr>
          <w:p w:rsidR="0023292A" w:rsidRPr="00835A07" w:rsidRDefault="0023292A" w:rsidP="0023292A">
            <w:pPr>
              <w:jc w:val="right"/>
              <w:rPr>
                <w:sz w:val="18"/>
                <w:szCs w:val="18"/>
              </w:rPr>
            </w:pPr>
            <w:r w:rsidRPr="00835A07">
              <w:rPr>
                <w:sz w:val="18"/>
                <w:szCs w:val="18"/>
              </w:rPr>
              <w:t>7</w:t>
            </w:r>
            <w:r w:rsidR="001C4A4D">
              <w:rPr>
                <w:sz w:val="18"/>
                <w:szCs w:val="18"/>
              </w:rPr>
              <w:t>.</w:t>
            </w:r>
            <w:r w:rsidRPr="00835A07">
              <w:rPr>
                <w:sz w:val="18"/>
                <w:szCs w:val="18"/>
              </w:rPr>
              <w:t>3</w:t>
            </w:r>
          </w:p>
        </w:tc>
        <w:tc>
          <w:tcPr>
            <w:tcW w:w="1266" w:type="dxa"/>
            <w:tcBorders>
              <w:top w:val="single" w:sz="4" w:space="0" w:color="D9D9D9" w:themeColor="background1" w:themeShade="D9"/>
              <w:left w:val="single" w:sz="4" w:space="0" w:color="003399"/>
              <w:bottom w:val="single" w:sz="4" w:space="0" w:color="D9D9D9" w:themeColor="background1" w:themeShade="D9"/>
              <w:right w:val="nil"/>
            </w:tcBorders>
            <w:shd w:val="clear" w:color="auto" w:fill="auto"/>
            <w:noWrap/>
            <w:vAlign w:val="center"/>
            <w:hideMark/>
          </w:tcPr>
          <w:p w:rsidR="0023292A" w:rsidRPr="00835A07" w:rsidRDefault="0023292A" w:rsidP="0023292A">
            <w:pPr>
              <w:jc w:val="right"/>
              <w:rPr>
                <w:sz w:val="18"/>
                <w:szCs w:val="18"/>
              </w:rPr>
            </w:pPr>
          </w:p>
        </w:tc>
        <w:tc>
          <w:tcPr>
            <w:tcW w:w="1095" w:type="dxa"/>
            <w:tcBorders>
              <w:top w:val="single" w:sz="4" w:space="0" w:color="D9D9D9" w:themeColor="background1" w:themeShade="D9"/>
              <w:left w:val="nil"/>
              <w:bottom w:val="single" w:sz="4" w:space="0" w:color="D9D9D9" w:themeColor="background1" w:themeShade="D9"/>
              <w:right w:val="single" w:sz="8" w:space="0" w:color="003399"/>
            </w:tcBorders>
            <w:shd w:val="clear" w:color="auto" w:fill="auto"/>
            <w:noWrap/>
            <w:vAlign w:val="center"/>
            <w:hideMark/>
          </w:tcPr>
          <w:p w:rsidR="0023292A" w:rsidRPr="00835A07" w:rsidRDefault="0023292A" w:rsidP="0023292A">
            <w:pPr>
              <w:jc w:val="right"/>
              <w:rPr>
                <w:sz w:val="18"/>
                <w:szCs w:val="18"/>
              </w:rPr>
            </w:pPr>
            <w:r w:rsidRPr="00835A07">
              <w:rPr>
                <w:sz w:val="18"/>
                <w:szCs w:val="18"/>
              </w:rPr>
              <w:t>-2</w:t>
            </w:r>
            <w:r w:rsidR="001C4A4D">
              <w:rPr>
                <w:sz w:val="18"/>
                <w:szCs w:val="18"/>
              </w:rPr>
              <w:t>.</w:t>
            </w:r>
            <w:r w:rsidRPr="00835A07">
              <w:rPr>
                <w:sz w:val="18"/>
                <w:szCs w:val="18"/>
              </w:rPr>
              <w:t>5</w:t>
            </w:r>
          </w:p>
        </w:tc>
        <w:tc>
          <w:tcPr>
            <w:tcW w:w="1457" w:type="dxa"/>
            <w:tcBorders>
              <w:top w:val="single" w:sz="4" w:space="0" w:color="D9D9D9" w:themeColor="background1" w:themeShade="D9"/>
              <w:left w:val="single" w:sz="8" w:space="0" w:color="003399"/>
              <w:bottom w:val="single" w:sz="4" w:space="0" w:color="D9D9D9" w:themeColor="background1" w:themeShade="D9"/>
              <w:right w:val="nil"/>
            </w:tcBorders>
            <w:shd w:val="clear" w:color="auto" w:fill="auto"/>
            <w:noWrap/>
            <w:vAlign w:val="center"/>
            <w:hideMark/>
          </w:tcPr>
          <w:p w:rsidR="0023292A" w:rsidRPr="00835A07" w:rsidRDefault="0023292A" w:rsidP="0023292A">
            <w:pPr>
              <w:jc w:val="right"/>
              <w:rPr>
                <w:sz w:val="18"/>
                <w:szCs w:val="18"/>
              </w:rPr>
            </w:pPr>
          </w:p>
        </w:tc>
        <w:tc>
          <w:tcPr>
            <w:tcW w:w="912"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hideMark/>
          </w:tcPr>
          <w:p w:rsidR="0023292A" w:rsidRPr="00835A07" w:rsidRDefault="0023292A" w:rsidP="0023292A">
            <w:pPr>
              <w:jc w:val="right"/>
              <w:rPr>
                <w:sz w:val="18"/>
                <w:szCs w:val="18"/>
              </w:rPr>
            </w:pPr>
            <w:r w:rsidRPr="00835A07">
              <w:rPr>
                <w:sz w:val="18"/>
                <w:szCs w:val="18"/>
              </w:rPr>
              <w:t>-3</w:t>
            </w:r>
            <w:r w:rsidR="001C4A4D">
              <w:rPr>
                <w:sz w:val="18"/>
                <w:szCs w:val="18"/>
              </w:rPr>
              <w:t>.</w:t>
            </w:r>
            <w:r w:rsidRPr="00835A07">
              <w:rPr>
                <w:sz w:val="18"/>
                <w:szCs w:val="18"/>
              </w:rPr>
              <w:t>0</w:t>
            </w:r>
          </w:p>
        </w:tc>
      </w:tr>
      <w:tr w:rsidR="0023292A" w:rsidRPr="00835A07" w:rsidTr="0023292A">
        <w:trPr>
          <w:trHeight w:val="273"/>
          <w:jc w:val="center"/>
        </w:trPr>
        <w:tc>
          <w:tcPr>
            <w:tcW w:w="4243" w:type="dxa"/>
            <w:tcBorders>
              <w:top w:val="single" w:sz="4" w:space="0" w:color="D9D9D9" w:themeColor="background1" w:themeShade="D9"/>
              <w:bottom w:val="single" w:sz="4" w:space="0" w:color="003399"/>
              <w:right w:val="single" w:sz="4" w:space="0" w:color="003399"/>
            </w:tcBorders>
            <w:shd w:val="clear" w:color="auto" w:fill="auto"/>
            <w:vAlign w:val="center"/>
            <w:hideMark/>
          </w:tcPr>
          <w:p w:rsidR="0023292A" w:rsidRPr="00185079" w:rsidRDefault="0023292A" w:rsidP="0023292A">
            <w:pPr>
              <w:rPr>
                <w:rFonts w:cs="Arial"/>
                <w:color w:val="000000"/>
                <w:sz w:val="18"/>
                <w:szCs w:val="18"/>
              </w:rPr>
            </w:pPr>
            <w:r w:rsidRPr="00185079">
              <w:rPr>
                <w:rFonts w:cs="Arial"/>
                <w:color w:val="000000"/>
                <w:sz w:val="18"/>
                <w:szCs w:val="18"/>
              </w:rPr>
              <w:t>Inactivity rate</w:t>
            </w:r>
          </w:p>
        </w:tc>
        <w:tc>
          <w:tcPr>
            <w:tcW w:w="1233" w:type="dxa"/>
            <w:tcBorders>
              <w:top w:val="single" w:sz="4" w:space="0" w:color="D9D9D9" w:themeColor="background1" w:themeShade="D9"/>
              <w:left w:val="single" w:sz="4" w:space="0" w:color="003399"/>
              <w:bottom w:val="single" w:sz="4" w:space="0" w:color="003399"/>
              <w:right w:val="single" w:sz="4" w:space="0" w:color="003399"/>
            </w:tcBorders>
            <w:shd w:val="clear" w:color="auto" w:fill="auto"/>
            <w:vAlign w:val="center"/>
            <w:hideMark/>
          </w:tcPr>
          <w:p w:rsidR="0023292A" w:rsidRPr="00835A07" w:rsidRDefault="0023292A" w:rsidP="0023292A">
            <w:pPr>
              <w:jc w:val="right"/>
              <w:rPr>
                <w:sz w:val="18"/>
                <w:szCs w:val="18"/>
              </w:rPr>
            </w:pPr>
            <w:r w:rsidRPr="00835A07">
              <w:rPr>
                <w:sz w:val="18"/>
                <w:szCs w:val="18"/>
              </w:rPr>
              <w:t>48</w:t>
            </w:r>
            <w:r w:rsidR="001C4A4D">
              <w:rPr>
                <w:sz w:val="18"/>
                <w:szCs w:val="18"/>
              </w:rPr>
              <w:t>.</w:t>
            </w:r>
            <w:r w:rsidRPr="00835A07">
              <w:rPr>
                <w:sz w:val="18"/>
                <w:szCs w:val="18"/>
              </w:rPr>
              <w:t>0</w:t>
            </w:r>
          </w:p>
        </w:tc>
        <w:tc>
          <w:tcPr>
            <w:tcW w:w="1266" w:type="dxa"/>
            <w:tcBorders>
              <w:top w:val="single" w:sz="4" w:space="0" w:color="D9D9D9" w:themeColor="background1" w:themeShade="D9"/>
              <w:left w:val="single" w:sz="4" w:space="0" w:color="003399"/>
              <w:bottom w:val="single" w:sz="4" w:space="0" w:color="003399"/>
              <w:right w:val="nil"/>
            </w:tcBorders>
            <w:shd w:val="clear" w:color="auto" w:fill="auto"/>
            <w:noWrap/>
            <w:vAlign w:val="center"/>
            <w:hideMark/>
          </w:tcPr>
          <w:p w:rsidR="0023292A" w:rsidRPr="00835A07" w:rsidRDefault="0023292A" w:rsidP="0023292A">
            <w:pPr>
              <w:jc w:val="right"/>
              <w:rPr>
                <w:sz w:val="18"/>
                <w:szCs w:val="18"/>
              </w:rPr>
            </w:pPr>
          </w:p>
        </w:tc>
        <w:tc>
          <w:tcPr>
            <w:tcW w:w="1095" w:type="dxa"/>
            <w:tcBorders>
              <w:top w:val="single" w:sz="4" w:space="0" w:color="D9D9D9" w:themeColor="background1" w:themeShade="D9"/>
              <w:left w:val="nil"/>
              <w:bottom w:val="single" w:sz="4" w:space="0" w:color="003399"/>
              <w:right w:val="single" w:sz="8" w:space="0" w:color="003399"/>
            </w:tcBorders>
            <w:shd w:val="clear" w:color="auto" w:fill="auto"/>
            <w:vAlign w:val="center"/>
            <w:hideMark/>
          </w:tcPr>
          <w:p w:rsidR="0023292A" w:rsidRPr="00835A07" w:rsidRDefault="0023292A" w:rsidP="0023292A">
            <w:pPr>
              <w:jc w:val="right"/>
              <w:rPr>
                <w:sz w:val="18"/>
                <w:szCs w:val="18"/>
              </w:rPr>
            </w:pPr>
            <w:r w:rsidRPr="00835A07">
              <w:rPr>
                <w:sz w:val="18"/>
                <w:szCs w:val="18"/>
              </w:rPr>
              <w:t>2</w:t>
            </w:r>
            <w:r w:rsidR="001C4A4D">
              <w:rPr>
                <w:sz w:val="18"/>
                <w:szCs w:val="18"/>
              </w:rPr>
              <w:t>.</w:t>
            </w:r>
            <w:r w:rsidRPr="00835A07">
              <w:rPr>
                <w:sz w:val="18"/>
                <w:szCs w:val="18"/>
              </w:rPr>
              <w:t>0</w:t>
            </w:r>
          </w:p>
        </w:tc>
        <w:tc>
          <w:tcPr>
            <w:tcW w:w="1457" w:type="dxa"/>
            <w:tcBorders>
              <w:top w:val="single" w:sz="4" w:space="0" w:color="D9D9D9" w:themeColor="background1" w:themeShade="D9"/>
              <w:left w:val="single" w:sz="8" w:space="0" w:color="003399"/>
              <w:bottom w:val="single" w:sz="4" w:space="0" w:color="003399"/>
              <w:right w:val="nil"/>
            </w:tcBorders>
            <w:shd w:val="clear" w:color="auto" w:fill="auto"/>
            <w:noWrap/>
            <w:vAlign w:val="center"/>
            <w:hideMark/>
          </w:tcPr>
          <w:p w:rsidR="0023292A" w:rsidRPr="00835A07" w:rsidRDefault="0023292A" w:rsidP="0023292A">
            <w:pPr>
              <w:jc w:val="right"/>
              <w:rPr>
                <w:sz w:val="18"/>
                <w:szCs w:val="18"/>
              </w:rPr>
            </w:pPr>
          </w:p>
        </w:tc>
        <w:tc>
          <w:tcPr>
            <w:tcW w:w="912" w:type="dxa"/>
            <w:tcBorders>
              <w:top w:val="single" w:sz="4" w:space="0" w:color="D9D9D9" w:themeColor="background1" w:themeShade="D9"/>
              <w:left w:val="nil"/>
              <w:bottom w:val="single" w:sz="4" w:space="0" w:color="003399"/>
              <w:right w:val="nil"/>
            </w:tcBorders>
            <w:shd w:val="clear" w:color="auto" w:fill="auto"/>
            <w:vAlign w:val="center"/>
            <w:hideMark/>
          </w:tcPr>
          <w:p w:rsidR="0023292A" w:rsidRPr="00835A07" w:rsidRDefault="0023292A" w:rsidP="0023292A">
            <w:pPr>
              <w:jc w:val="right"/>
              <w:rPr>
                <w:sz w:val="18"/>
                <w:szCs w:val="18"/>
              </w:rPr>
            </w:pPr>
            <w:r w:rsidRPr="00835A07">
              <w:rPr>
                <w:sz w:val="18"/>
                <w:szCs w:val="18"/>
              </w:rPr>
              <w:t>2</w:t>
            </w:r>
            <w:r w:rsidR="001C4A4D">
              <w:rPr>
                <w:sz w:val="18"/>
                <w:szCs w:val="18"/>
              </w:rPr>
              <w:t>.</w:t>
            </w:r>
            <w:r w:rsidRPr="00835A07">
              <w:rPr>
                <w:sz w:val="18"/>
                <w:szCs w:val="18"/>
              </w:rPr>
              <w:t>8</w:t>
            </w:r>
          </w:p>
        </w:tc>
      </w:tr>
    </w:tbl>
    <w:p w:rsidR="009E3604" w:rsidRPr="0023292A" w:rsidRDefault="009E3604" w:rsidP="00ED093B">
      <w:pPr>
        <w:spacing w:before="360" w:after="120" w:line="264" w:lineRule="auto"/>
        <w:ind w:firstLine="403"/>
        <w:jc w:val="both"/>
        <w:rPr>
          <w:rFonts w:cs="Arial"/>
        </w:rPr>
      </w:pPr>
      <w:r w:rsidRPr="0023292A">
        <w:rPr>
          <w:rFonts w:cs="Arial"/>
        </w:rPr>
        <w:t xml:space="preserve">In the </w:t>
      </w:r>
      <w:r w:rsidR="00116E1D" w:rsidRPr="0023292A">
        <w:rPr>
          <w:rFonts w:cs="Arial"/>
        </w:rPr>
        <w:t>second</w:t>
      </w:r>
      <w:r w:rsidRPr="0023292A">
        <w:rPr>
          <w:rFonts w:cs="Arial"/>
        </w:rPr>
        <w:t xml:space="preserve"> quarter 20</w:t>
      </w:r>
      <w:r w:rsidR="00116E1D" w:rsidRPr="0023292A">
        <w:rPr>
          <w:rFonts w:cs="Arial"/>
        </w:rPr>
        <w:t>20</w:t>
      </w:r>
      <w:r w:rsidRPr="0023292A">
        <w:rPr>
          <w:rFonts w:cs="Arial"/>
        </w:rPr>
        <w:t>, the Survey was conducted on the sample of 1</w:t>
      </w:r>
      <w:r w:rsidR="00E625E8" w:rsidRPr="0023292A">
        <w:rPr>
          <w:rFonts w:cs="Arial"/>
        </w:rPr>
        <w:t>5</w:t>
      </w:r>
      <w:r w:rsidRPr="0023292A">
        <w:rPr>
          <w:rFonts w:cs="Arial"/>
        </w:rPr>
        <w:t> </w:t>
      </w:r>
      <w:r w:rsidR="00E625E8" w:rsidRPr="0023292A">
        <w:rPr>
          <w:rFonts w:cs="Arial"/>
        </w:rPr>
        <w:t>8</w:t>
      </w:r>
      <w:r w:rsidR="00116E1D" w:rsidRPr="0023292A">
        <w:rPr>
          <w:rFonts w:cs="Arial"/>
        </w:rPr>
        <w:t>73</w:t>
      </w:r>
      <w:r w:rsidRPr="0023292A">
        <w:rPr>
          <w:rFonts w:cs="Arial"/>
        </w:rPr>
        <w:t xml:space="preserve"> households, out of which 1</w:t>
      </w:r>
      <w:r w:rsidR="00116E1D" w:rsidRPr="0023292A">
        <w:rPr>
          <w:rFonts w:cs="Arial"/>
        </w:rPr>
        <w:t>0</w:t>
      </w:r>
      <w:r w:rsidRPr="0023292A">
        <w:rPr>
          <w:rFonts w:cs="Arial"/>
        </w:rPr>
        <w:t> </w:t>
      </w:r>
      <w:r w:rsidR="00722C7B" w:rsidRPr="0023292A">
        <w:rPr>
          <w:rFonts w:cs="Arial"/>
        </w:rPr>
        <w:t>5</w:t>
      </w:r>
      <w:r w:rsidR="00116E1D" w:rsidRPr="0023292A">
        <w:rPr>
          <w:rFonts w:cs="Arial"/>
        </w:rPr>
        <w:t>36</w:t>
      </w:r>
      <w:r w:rsidRPr="0023292A">
        <w:rPr>
          <w:rFonts w:cs="Arial"/>
        </w:rPr>
        <w:t xml:space="preserve"> households, i.e. 2</w:t>
      </w:r>
      <w:r w:rsidR="00722C7B" w:rsidRPr="0023292A">
        <w:rPr>
          <w:rFonts w:cs="Arial"/>
        </w:rPr>
        <w:t>6</w:t>
      </w:r>
      <w:r w:rsidRPr="0023292A">
        <w:rPr>
          <w:rFonts w:cs="Arial"/>
        </w:rPr>
        <w:t> </w:t>
      </w:r>
      <w:r w:rsidR="00116E1D" w:rsidRPr="0023292A">
        <w:rPr>
          <w:rFonts w:cs="Arial"/>
        </w:rPr>
        <w:t>375</w:t>
      </w:r>
      <w:r w:rsidRPr="0023292A">
        <w:rPr>
          <w:rFonts w:cs="Arial"/>
        </w:rPr>
        <w:t xml:space="preserve"> persons aged 15 and over were interviewed.</w:t>
      </w:r>
    </w:p>
    <w:p w:rsidR="00116E1D" w:rsidRDefault="009E3604" w:rsidP="009D748F">
      <w:pPr>
        <w:spacing w:before="120" w:after="120" w:line="264" w:lineRule="auto"/>
        <w:ind w:firstLine="340"/>
        <w:rPr>
          <w:rFonts w:cs="Arial"/>
          <w:b/>
        </w:rPr>
      </w:pPr>
      <w:r w:rsidRPr="009D748F">
        <w:rPr>
          <w:rFonts w:cs="Arial"/>
        </w:rPr>
        <w:t xml:space="preserve">More detailed data can be obtained in the tables that are part of the Statistical Release on Labour Force Survey for the </w:t>
      </w:r>
      <w:r w:rsidR="00116E1D" w:rsidRPr="009D748F">
        <w:rPr>
          <w:rFonts w:cs="Arial"/>
        </w:rPr>
        <w:t>second</w:t>
      </w:r>
      <w:r w:rsidRPr="009D748F">
        <w:rPr>
          <w:rFonts w:cs="Arial"/>
        </w:rPr>
        <w:t xml:space="preserve"> quarter 20</w:t>
      </w:r>
      <w:r w:rsidR="00D0048F" w:rsidRPr="009D748F">
        <w:rPr>
          <w:rFonts w:cs="Arial"/>
        </w:rPr>
        <w:t>20</w:t>
      </w:r>
      <w:r w:rsidRPr="009D748F">
        <w:rPr>
          <w:rFonts w:cs="Arial"/>
        </w:rPr>
        <w:t xml:space="preserve"> (RS10), on the </w:t>
      </w:r>
      <w:r w:rsidR="00185079" w:rsidRPr="009D748F">
        <w:rPr>
          <w:rFonts w:cs="Arial"/>
        </w:rPr>
        <w:t>address:</w:t>
      </w:r>
      <w:r w:rsidR="00185079" w:rsidRPr="00185079">
        <w:t xml:space="preserve"> </w:t>
      </w:r>
      <w:hyperlink r:id="rId11" w:history="1">
        <w:r w:rsidR="009D748F" w:rsidRPr="00A40E67">
          <w:rPr>
            <w:rStyle w:val="Hyperlink"/>
            <w:rFonts w:cs="Arial"/>
          </w:rPr>
          <w:t>http://publikacije.stat.gov.rs/G2018/Xls/G20191043.xlsx</w:t>
        </w:r>
      </w:hyperlink>
      <w:r w:rsidR="00116E1D" w:rsidRPr="00AE6EED">
        <w:rPr>
          <w:rFonts w:cs="Arial"/>
        </w:rPr>
        <w:t>.</w:t>
      </w:r>
    </w:p>
    <w:p w:rsidR="000F4A7D" w:rsidRPr="00185079" w:rsidRDefault="00A73B1F" w:rsidP="009D748F">
      <w:pPr>
        <w:spacing w:before="720" w:after="120" w:line="264" w:lineRule="auto"/>
        <w:jc w:val="center"/>
        <w:rPr>
          <w:rFonts w:cs="Arial"/>
          <w:b/>
        </w:rPr>
      </w:pPr>
      <w:r w:rsidRPr="00185079">
        <w:rPr>
          <w:rFonts w:cs="Arial"/>
          <w:b/>
        </w:rPr>
        <w:t>Methodological notes</w:t>
      </w:r>
    </w:p>
    <w:p w:rsidR="00331733" w:rsidRPr="00185079" w:rsidRDefault="00C50458" w:rsidP="000721DA">
      <w:pPr>
        <w:pStyle w:val="NormalWeb"/>
        <w:spacing w:beforeLines="0" w:before="120" w:afterLines="0" w:after="120" w:line="264" w:lineRule="auto"/>
        <w:ind w:firstLine="403"/>
        <w:jc w:val="both"/>
        <w:rPr>
          <w:rFonts w:ascii="Arial" w:hAnsi="Arial" w:cs="Arial"/>
          <w:lang w:val="en-GB"/>
        </w:rPr>
      </w:pPr>
      <w:r w:rsidRPr="00185079">
        <w:rPr>
          <w:rFonts w:ascii="Arial" w:hAnsi="Arial" w:cs="Arial"/>
          <w:lang w:val="en-GB"/>
        </w:rPr>
        <w:t xml:space="preserve">Labour Force Survey (LFS) is the most complex and the only internationally comparable instrument for labour trends monitoring, registering demographic and socio–economic characteristics of population aged 15 and over.  </w:t>
      </w:r>
    </w:p>
    <w:p w:rsidR="00331733" w:rsidRPr="00185079" w:rsidRDefault="00C50458" w:rsidP="000721DA">
      <w:pPr>
        <w:pStyle w:val="NormalWeb"/>
        <w:spacing w:beforeLines="0" w:before="120" w:afterLines="0" w:after="120" w:line="264" w:lineRule="auto"/>
        <w:ind w:firstLine="403"/>
        <w:jc w:val="both"/>
        <w:rPr>
          <w:rFonts w:ascii="Arial" w:hAnsi="Arial" w:cs="Arial"/>
          <w:lang w:val="en-GB"/>
        </w:rPr>
      </w:pPr>
      <w:r w:rsidRPr="00185079">
        <w:rPr>
          <w:rFonts w:ascii="Arial" w:hAnsi="Arial" w:cs="Arial"/>
          <w:lang w:val="en-GB"/>
        </w:rPr>
        <w:t xml:space="preserve">The main aim of the survey is estimating the labour force volume, i.e. employed and unemployed population, where employment relates to work in both formal and informal section. </w:t>
      </w:r>
    </w:p>
    <w:p w:rsidR="00C50458" w:rsidRDefault="00C50458" w:rsidP="000721DA">
      <w:pPr>
        <w:pStyle w:val="NormalWeb"/>
        <w:spacing w:beforeLines="0" w:before="120" w:afterLines="0" w:after="120" w:line="264" w:lineRule="auto"/>
        <w:ind w:firstLine="403"/>
        <w:jc w:val="both"/>
        <w:rPr>
          <w:rFonts w:ascii="Arial" w:hAnsi="Arial" w:cs="Arial"/>
          <w:lang w:val="en-GB"/>
        </w:rPr>
      </w:pPr>
      <w:r w:rsidRPr="00185079">
        <w:rPr>
          <w:rFonts w:ascii="Arial" w:hAnsi="Arial" w:cs="Arial"/>
          <w:lang w:val="en-GB"/>
        </w:rPr>
        <w:t>Additionally, LFS deals with characteristics of employment (professional status of the employed persons, their activity, occupation, rights realized at work…) and unemployment (acquired education, duration of job seeking, previous working experience…), as well as characteristics of inactive population – their education, age, income source and readiness for involvement in labour market.</w:t>
      </w:r>
    </w:p>
    <w:p w:rsidR="006F5A95" w:rsidRDefault="00F76510" w:rsidP="00416A59">
      <w:pPr>
        <w:ind w:firstLine="403"/>
        <w:rPr>
          <w:rFonts w:cs="Arial"/>
          <w:i/>
          <w:iCs/>
          <w:lang w:val="en-US"/>
        </w:rPr>
      </w:pPr>
      <w:r w:rsidRPr="00270D6B">
        <w:rPr>
          <w:rFonts w:cs="Arial"/>
          <w:i/>
          <w:iCs/>
          <w:lang w:val="en-US"/>
        </w:rPr>
        <w:lastRenderedPageBreak/>
        <w:t xml:space="preserve">Labor Force Survey </w:t>
      </w:r>
      <w:r w:rsidR="006F5A95" w:rsidRPr="00270D6B">
        <w:rPr>
          <w:rFonts w:cs="Arial"/>
          <w:i/>
          <w:iCs/>
          <w:lang w:val="en-US"/>
        </w:rPr>
        <w:t xml:space="preserve">during the second quarter of 2020, was influenced by a Covid-19 pandemic, and </w:t>
      </w:r>
      <w:r w:rsidRPr="00270D6B">
        <w:rPr>
          <w:rFonts w:cs="Arial"/>
          <w:i/>
          <w:iCs/>
          <w:lang w:val="en-US"/>
        </w:rPr>
        <w:t>mode of</w:t>
      </w:r>
      <w:r w:rsidR="006F5A95" w:rsidRPr="00270D6B">
        <w:rPr>
          <w:rFonts w:cs="Arial"/>
          <w:i/>
          <w:iCs/>
          <w:lang w:val="en-US"/>
        </w:rPr>
        <w:t xml:space="preserve"> data collection was changed. Namely, unlike the usual way of working, where the survey is conducted partially via telephone call</w:t>
      </w:r>
      <w:r w:rsidR="00CE5292" w:rsidRPr="00270D6B">
        <w:rPr>
          <w:rFonts w:cs="Arial"/>
          <w:i/>
          <w:iCs/>
          <w:lang w:val="en-US"/>
        </w:rPr>
        <w:t>s</w:t>
      </w:r>
      <w:r w:rsidR="006F5A95" w:rsidRPr="00270D6B">
        <w:rPr>
          <w:rFonts w:cs="Arial"/>
          <w:i/>
          <w:iCs/>
          <w:lang w:val="en-US"/>
        </w:rPr>
        <w:t xml:space="preserve"> (for households, wh</w:t>
      </w:r>
      <w:r w:rsidR="00086AA0" w:rsidRPr="00270D6B">
        <w:rPr>
          <w:rFonts w:cs="Arial"/>
          <w:i/>
          <w:iCs/>
          <w:lang w:val="en-US"/>
        </w:rPr>
        <w:t>ich</w:t>
      </w:r>
      <w:r w:rsidR="006F5A95" w:rsidRPr="00270D6B">
        <w:rPr>
          <w:rFonts w:cs="Arial"/>
          <w:i/>
          <w:iCs/>
          <w:lang w:val="en-US"/>
        </w:rPr>
        <w:t xml:space="preserve"> were previously surveyed) and partially </w:t>
      </w:r>
      <w:r w:rsidR="00CE5292" w:rsidRPr="00270D6B">
        <w:rPr>
          <w:rFonts w:cs="Arial"/>
          <w:i/>
          <w:iCs/>
          <w:lang w:val="en-US"/>
        </w:rPr>
        <w:t>vi</w:t>
      </w:r>
      <w:r w:rsidR="006F5A95" w:rsidRPr="00270D6B">
        <w:rPr>
          <w:rFonts w:cs="Arial"/>
          <w:i/>
          <w:iCs/>
          <w:lang w:val="en-US"/>
        </w:rPr>
        <w:t>a field visit</w:t>
      </w:r>
      <w:r w:rsidR="00CE5292" w:rsidRPr="00270D6B">
        <w:rPr>
          <w:rFonts w:cs="Arial"/>
          <w:i/>
          <w:iCs/>
          <w:lang w:val="en-US"/>
        </w:rPr>
        <w:t xml:space="preserve">s </w:t>
      </w:r>
      <w:r w:rsidR="006F5A95" w:rsidRPr="00270D6B">
        <w:rPr>
          <w:rFonts w:cs="Arial"/>
          <w:i/>
          <w:iCs/>
          <w:lang w:val="en-US"/>
        </w:rPr>
        <w:t xml:space="preserve">(for households </w:t>
      </w:r>
      <w:r w:rsidRPr="00270D6B">
        <w:rPr>
          <w:rFonts w:cs="Arial"/>
          <w:i/>
          <w:iCs/>
          <w:lang w:val="en-US"/>
        </w:rPr>
        <w:t xml:space="preserve">surveyed for the first time), </w:t>
      </w:r>
      <w:r w:rsidR="006F5A95" w:rsidRPr="00270D6B">
        <w:rPr>
          <w:rFonts w:cs="Arial"/>
          <w:i/>
          <w:iCs/>
          <w:lang w:val="en-US"/>
        </w:rPr>
        <w:t xml:space="preserve">during </w:t>
      </w:r>
      <w:r w:rsidRPr="00270D6B">
        <w:rPr>
          <w:rFonts w:cs="Arial"/>
          <w:i/>
          <w:iCs/>
          <w:lang w:val="en-US"/>
        </w:rPr>
        <w:t>the state of emergency</w:t>
      </w:r>
      <w:r w:rsidR="006F5A95" w:rsidRPr="00270D6B">
        <w:rPr>
          <w:rFonts w:cs="Arial"/>
          <w:i/>
          <w:iCs/>
          <w:lang w:val="en-US"/>
        </w:rPr>
        <w:t xml:space="preserve"> Survey was only conduc</w:t>
      </w:r>
      <w:r w:rsidRPr="00270D6B">
        <w:rPr>
          <w:rFonts w:cs="Arial"/>
          <w:i/>
          <w:iCs/>
          <w:lang w:val="en-US"/>
        </w:rPr>
        <w:t>t</w:t>
      </w:r>
      <w:r w:rsidR="006F5A95" w:rsidRPr="00270D6B">
        <w:rPr>
          <w:rFonts w:cs="Arial"/>
          <w:i/>
          <w:iCs/>
          <w:lang w:val="en-US"/>
        </w:rPr>
        <w:t>ed in a form of telephone call</w:t>
      </w:r>
      <w:r w:rsidR="00CE5292" w:rsidRPr="00270D6B">
        <w:rPr>
          <w:rFonts w:cs="Arial"/>
          <w:i/>
          <w:iCs/>
          <w:lang w:val="en-US"/>
        </w:rPr>
        <w:t>s</w:t>
      </w:r>
      <w:r w:rsidR="006F5A95" w:rsidRPr="00270D6B">
        <w:rPr>
          <w:rFonts w:cs="Arial"/>
          <w:i/>
          <w:iCs/>
          <w:lang w:val="en-US"/>
        </w:rPr>
        <w:t>.</w:t>
      </w:r>
    </w:p>
    <w:p w:rsidR="009D748F" w:rsidRDefault="009D748F">
      <w:pPr>
        <w:spacing w:after="160" w:line="259" w:lineRule="auto"/>
        <w:rPr>
          <w:rFonts w:cs="Arial"/>
          <w:i/>
          <w:iCs/>
          <w:lang w:val="en-US"/>
        </w:rPr>
      </w:pPr>
      <w:r>
        <w:rPr>
          <w:rFonts w:cs="Arial"/>
          <w:i/>
          <w:iCs/>
          <w:lang w:val="en-US"/>
        </w:rPr>
        <w:br w:type="page"/>
      </w:r>
    </w:p>
    <w:p w:rsidR="00C50458" w:rsidRPr="00185079" w:rsidRDefault="00C50458" w:rsidP="000721DA">
      <w:pPr>
        <w:spacing w:before="120" w:after="120" w:line="264" w:lineRule="auto"/>
        <w:ind w:firstLine="403"/>
        <w:jc w:val="both"/>
        <w:rPr>
          <w:rFonts w:cs="Arial"/>
        </w:rPr>
      </w:pPr>
      <w:r w:rsidRPr="00185079">
        <w:rPr>
          <w:rFonts w:cs="Arial"/>
          <w:b/>
          <w:bCs/>
        </w:rPr>
        <w:t>Active population</w:t>
      </w:r>
      <w:r w:rsidRPr="00185079">
        <w:rPr>
          <w:rFonts w:cs="Arial"/>
        </w:rPr>
        <w:t xml:space="preserve"> (</w:t>
      </w:r>
      <w:r w:rsidRPr="00185079">
        <w:rPr>
          <w:rFonts w:cs="Arial"/>
          <w:b/>
          <w:bCs/>
        </w:rPr>
        <w:t>labour force</w:t>
      </w:r>
      <w:r w:rsidRPr="00185079">
        <w:rPr>
          <w:rFonts w:cs="Arial"/>
        </w:rPr>
        <w:t>) includes all employed and unemployed persons</w:t>
      </w:r>
      <w:r w:rsidR="004F0B6D" w:rsidRPr="00185079">
        <w:rPr>
          <w:rFonts w:cs="Arial"/>
        </w:rPr>
        <w:t xml:space="preserve"> aged 15 and over</w:t>
      </w:r>
      <w:r w:rsidRPr="00185079">
        <w:rPr>
          <w:rFonts w:cs="Arial"/>
        </w:rPr>
        <w:t>.</w:t>
      </w:r>
    </w:p>
    <w:p w:rsidR="00185079" w:rsidRPr="0072449C" w:rsidRDefault="00185079" w:rsidP="000721DA">
      <w:pPr>
        <w:spacing w:before="120" w:after="120" w:line="264" w:lineRule="auto"/>
        <w:ind w:firstLine="403"/>
        <w:jc w:val="both"/>
        <w:rPr>
          <w:bCs/>
          <w:color w:val="FF0000"/>
        </w:rPr>
      </w:pPr>
      <w:r w:rsidRPr="0023292A">
        <w:rPr>
          <w:b/>
          <w:bCs/>
        </w:rPr>
        <w:t xml:space="preserve">Potential labour force </w:t>
      </w:r>
      <w:r w:rsidRPr="0023292A">
        <w:rPr>
          <w:bCs/>
        </w:rPr>
        <w:t>includes two groups of inactive population, i.e. 1) persons who can work but do not look for a job and 2) persons who are looking for a job but cannot start working immediately</w:t>
      </w:r>
      <w:r w:rsidR="006C0C10">
        <w:rPr>
          <w:bCs/>
        </w:rPr>
        <w:t>.</w:t>
      </w:r>
    </w:p>
    <w:p w:rsidR="00C50458" w:rsidRPr="00185079" w:rsidRDefault="00C50458" w:rsidP="000721DA">
      <w:pPr>
        <w:pStyle w:val="Heading4"/>
        <w:spacing w:before="120" w:after="120" w:line="264" w:lineRule="auto"/>
        <w:ind w:firstLine="403"/>
        <w:jc w:val="both"/>
        <w:rPr>
          <w:rFonts w:ascii="Arial" w:hAnsi="Arial" w:cs="Arial"/>
          <w:b w:val="0"/>
          <w:bCs w:val="0"/>
          <w:i w:val="0"/>
          <w:color w:val="auto"/>
          <w:spacing w:val="-4"/>
        </w:rPr>
      </w:pPr>
      <w:r w:rsidRPr="00185079">
        <w:rPr>
          <w:rFonts w:ascii="Arial" w:hAnsi="Arial" w:cs="Arial"/>
          <w:i w:val="0"/>
          <w:color w:val="auto"/>
          <w:spacing w:val="-4"/>
        </w:rPr>
        <w:t>Activity rate (share of labour force)</w:t>
      </w:r>
      <w:r w:rsidRPr="00185079">
        <w:rPr>
          <w:rFonts w:ascii="Arial" w:hAnsi="Arial" w:cs="Arial"/>
          <w:b w:val="0"/>
          <w:bCs w:val="0"/>
          <w:i w:val="0"/>
          <w:color w:val="auto"/>
          <w:spacing w:val="-4"/>
        </w:rPr>
        <w:t xml:space="preserve"> presents the percentage share of active population in total population aged 15 and over.</w:t>
      </w:r>
    </w:p>
    <w:p w:rsidR="00C50458" w:rsidRPr="00185079" w:rsidRDefault="00C50458" w:rsidP="000721DA">
      <w:pPr>
        <w:spacing w:before="120" w:after="120" w:line="264" w:lineRule="auto"/>
        <w:ind w:firstLine="403"/>
        <w:jc w:val="both"/>
        <w:rPr>
          <w:rFonts w:cs="Arial"/>
          <w:b/>
        </w:rPr>
      </w:pPr>
      <w:r w:rsidRPr="00185079">
        <w:rPr>
          <w:rFonts w:cs="Arial"/>
          <w:b/>
          <w:bCs/>
        </w:rPr>
        <w:t xml:space="preserve">Employed persons </w:t>
      </w:r>
      <w:r w:rsidRPr="00185079">
        <w:rPr>
          <w:rFonts w:cs="Arial"/>
        </w:rPr>
        <w:t>are persons who performed a paid job (in money or in kind) for at least one hour in the reference week, as well as persons who had an employment, but were absent from work in that week but which have a guaranty to return to it.</w:t>
      </w:r>
    </w:p>
    <w:p w:rsidR="00C50458" w:rsidRPr="00185079" w:rsidRDefault="00C50458" w:rsidP="000721DA">
      <w:pPr>
        <w:spacing w:before="120" w:after="120" w:line="264" w:lineRule="auto"/>
        <w:ind w:firstLine="403"/>
        <w:jc w:val="both"/>
        <w:rPr>
          <w:rFonts w:cs="Arial"/>
        </w:rPr>
      </w:pPr>
      <w:r w:rsidRPr="00185079">
        <w:rPr>
          <w:rFonts w:cs="Arial"/>
          <w:b/>
          <w:bCs/>
        </w:rPr>
        <w:t xml:space="preserve">Employment rate </w:t>
      </w:r>
      <w:r w:rsidRPr="00185079">
        <w:rPr>
          <w:rFonts w:cs="Arial"/>
        </w:rPr>
        <w:t>is the percentage share of employed in the total population aged 15 and over.</w:t>
      </w:r>
    </w:p>
    <w:p w:rsidR="00C50458" w:rsidRPr="00185079" w:rsidRDefault="00C50458" w:rsidP="000721DA">
      <w:pPr>
        <w:spacing w:before="120" w:after="120" w:line="264" w:lineRule="auto"/>
        <w:ind w:firstLine="403"/>
        <w:jc w:val="both"/>
        <w:rPr>
          <w:rFonts w:cs="Arial"/>
        </w:rPr>
      </w:pPr>
      <w:r w:rsidRPr="00185079">
        <w:rPr>
          <w:rFonts w:cs="Arial"/>
          <w:b/>
          <w:bCs/>
        </w:rPr>
        <w:t>Informally employed</w:t>
      </w:r>
      <w:r w:rsidRPr="00185079">
        <w:rPr>
          <w:rFonts w:cs="Arial"/>
        </w:rPr>
        <w:t xml:space="preserve"> are employees without written contract, self-employed in unregistered business, as well as contributing family workers.</w:t>
      </w:r>
    </w:p>
    <w:p w:rsidR="00C50458" w:rsidRPr="00185079" w:rsidRDefault="00C50458" w:rsidP="000721DA">
      <w:pPr>
        <w:spacing w:before="120" w:after="120" w:line="264" w:lineRule="auto"/>
        <w:ind w:firstLine="403"/>
        <w:jc w:val="both"/>
        <w:rPr>
          <w:rFonts w:cs="Arial"/>
          <w:b/>
          <w:bCs/>
          <w:spacing w:val="-4"/>
        </w:rPr>
      </w:pPr>
      <w:r w:rsidRPr="00185079">
        <w:rPr>
          <w:rFonts w:cs="Arial"/>
          <w:b/>
          <w:bCs/>
        </w:rPr>
        <w:t>Informal employment rate</w:t>
      </w:r>
      <w:r w:rsidRPr="00185079">
        <w:rPr>
          <w:rFonts w:cs="Arial"/>
        </w:rPr>
        <w:t xml:space="preserve"> is the percentage share of informally employed in total employment.</w:t>
      </w:r>
    </w:p>
    <w:p w:rsidR="00C50458" w:rsidRPr="00185079" w:rsidRDefault="00C50458" w:rsidP="000721DA">
      <w:pPr>
        <w:spacing w:before="120" w:after="120" w:line="264" w:lineRule="auto"/>
        <w:ind w:firstLine="403"/>
        <w:jc w:val="both"/>
        <w:rPr>
          <w:rFonts w:cs="Arial"/>
        </w:rPr>
      </w:pPr>
      <w:r w:rsidRPr="00185079">
        <w:rPr>
          <w:rFonts w:cs="Arial"/>
          <w:b/>
          <w:bCs/>
        </w:rPr>
        <w:t>Unemployed persons</w:t>
      </w:r>
      <w:r w:rsidRPr="00185079">
        <w:rPr>
          <w:rFonts w:cs="Arial"/>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C50458" w:rsidRPr="00185079" w:rsidRDefault="00C50458" w:rsidP="000721DA">
      <w:pPr>
        <w:pStyle w:val="Heading4"/>
        <w:spacing w:before="120" w:after="120" w:line="264" w:lineRule="auto"/>
        <w:ind w:firstLine="403"/>
        <w:jc w:val="both"/>
        <w:rPr>
          <w:rFonts w:ascii="Arial" w:hAnsi="Arial" w:cs="Arial"/>
          <w:b w:val="0"/>
          <w:bCs w:val="0"/>
          <w:i w:val="0"/>
          <w:color w:val="auto"/>
        </w:rPr>
      </w:pPr>
      <w:r w:rsidRPr="00185079">
        <w:rPr>
          <w:rFonts w:ascii="Arial" w:hAnsi="Arial" w:cs="Arial"/>
          <w:i w:val="0"/>
          <w:color w:val="auto"/>
        </w:rPr>
        <w:t xml:space="preserve">Unemployment rate </w:t>
      </w:r>
      <w:r w:rsidRPr="00185079">
        <w:rPr>
          <w:rFonts w:ascii="Arial" w:hAnsi="Arial" w:cs="Arial"/>
          <w:b w:val="0"/>
          <w:bCs w:val="0"/>
          <w:i w:val="0"/>
          <w:color w:val="auto"/>
        </w:rPr>
        <w:t>presents the percentage share of unemployed population in labour force (employed and unemployed), aged 15 and over.</w:t>
      </w:r>
    </w:p>
    <w:p w:rsidR="00C50458" w:rsidRPr="00185079" w:rsidRDefault="00C50458" w:rsidP="000721DA">
      <w:pPr>
        <w:spacing w:before="120" w:after="120" w:line="264" w:lineRule="auto"/>
        <w:ind w:firstLine="403"/>
        <w:jc w:val="both"/>
        <w:rPr>
          <w:rFonts w:cs="Arial"/>
        </w:rPr>
      </w:pPr>
      <w:r w:rsidRPr="00185079">
        <w:rPr>
          <w:rFonts w:cs="Arial"/>
          <w:b/>
          <w:bCs/>
        </w:rPr>
        <w:t>Long-term unemployment rate</w:t>
      </w:r>
      <w:r w:rsidRPr="00185079">
        <w:rPr>
          <w:rFonts w:cs="Arial"/>
        </w:rPr>
        <w:t xml:space="preserve"> presents the percentage share of the unemployed for one year and more, in the total labour force (employed and unemployed), aged 15 and over.</w:t>
      </w:r>
    </w:p>
    <w:p w:rsidR="00C50458" w:rsidRPr="00185079" w:rsidRDefault="00C50458" w:rsidP="000721DA">
      <w:pPr>
        <w:pStyle w:val="ListParagraph"/>
        <w:spacing w:before="120" w:after="120" w:line="264" w:lineRule="auto"/>
        <w:ind w:left="0" w:firstLine="403"/>
        <w:contextualSpacing w:val="0"/>
        <w:jc w:val="both"/>
        <w:rPr>
          <w:rFonts w:ascii="Arial" w:hAnsi="Arial" w:cs="Arial"/>
          <w:sz w:val="20"/>
          <w:szCs w:val="20"/>
          <w:lang w:val="en-GB"/>
        </w:rPr>
      </w:pPr>
      <w:r w:rsidRPr="00185079">
        <w:rPr>
          <w:rFonts w:ascii="Arial" w:hAnsi="Arial" w:cs="Arial"/>
          <w:b/>
          <w:bCs/>
          <w:sz w:val="20"/>
          <w:szCs w:val="20"/>
          <w:lang w:val="en-GB"/>
        </w:rPr>
        <w:t xml:space="preserve">NEET rate – </w:t>
      </w:r>
      <w:r w:rsidRPr="00185079">
        <w:rPr>
          <w:rFonts w:ascii="Arial" w:hAnsi="Arial" w:cs="Arial"/>
          <w:sz w:val="20"/>
          <w:szCs w:val="20"/>
          <w:lang w:val="en-GB"/>
        </w:rPr>
        <w:t>refers to share of persons aged 15 to 24,neither employed, nor in education, training, in total population of that age.</w:t>
      </w:r>
    </w:p>
    <w:p w:rsidR="00C50458" w:rsidRPr="00185079" w:rsidRDefault="00C50458" w:rsidP="000721DA">
      <w:pPr>
        <w:spacing w:before="120" w:after="120" w:line="264" w:lineRule="auto"/>
        <w:ind w:firstLine="403"/>
        <w:jc w:val="both"/>
        <w:rPr>
          <w:rFonts w:cs="Arial"/>
        </w:rPr>
      </w:pPr>
      <w:r w:rsidRPr="00185079">
        <w:rPr>
          <w:rFonts w:cs="Arial"/>
          <w:b/>
          <w:bCs/>
        </w:rPr>
        <w:t>Inactive population</w:t>
      </w:r>
      <w:r w:rsidRPr="00185079">
        <w:rPr>
          <w:rFonts w:cs="Arial"/>
        </w:rPr>
        <w:t xml:space="preserve"> includes all persons aged 15 and over who are not classified in employed and unemployed population. Inactive population comprises students, pensioners, persons performing household tasks, as well as all other persons who performed no paid job in the observed week, did not actively seek a job and who were not able to start working in two-week time after the observed week.  </w:t>
      </w:r>
    </w:p>
    <w:p w:rsidR="00C50458" w:rsidRPr="00185079" w:rsidRDefault="00C50458" w:rsidP="000721DA">
      <w:pPr>
        <w:pStyle w:val="Heading1"/>
        <w:spacing w:before="120" w:after="120" w:line="264" w:lineRule="auto"/>
        <w:ind w:firstLine="403"/>
        <w:jc w:val="both"/>
        <w:rPr>
          <w:rFonts w:ascii="Arial IS" w:hAnsi="Arial IS" w:cs="Arial IS"/>
          <w:b w:val="0"/>
          <w:bCs w:val="0"/>
          <w:i/>
          <w:iCs/>
          <w:color w:val="auto"/>
          <w:sz w:val="20"/>
          <w:szCs w:val="20"/>
        </w:rPr>
      </w:pPr>
      <w:r w:rsidRPr="00185079">
        <w:rPr>
          <w:rFonts w:ascii="Arial" w:hAnsi="Arial" w:cs="Arial"/>
          <w:color w:val="auto"/>
          <w:sz w:val="20"/>
          <w:szCs w:val="20"/>
        </w:rPr>
        <w:t xml:space="preserve">Inactivity rate </w:t>
      </w:r>
      <w:r w:rsidR="00185079" w:rsidRPr="00185079">
        <w:rPr>
          <w:rFonts w:ascii="Arial" w:hAnsi="Arial" w:cs="Arial"/>
          <w:b w:val="0"/>
          <w:bCs w:val="0"/>
          <w:color w:val="auto"/>
          <w:sz w:val="20"/>
          <w:szCs w:val="20"/>
        </w:rPr>
        <w:t>presents the</w:t>
      </w:r>
      <w:r w:rsidRPr="00185079">
        <w:rPr>
          <w:rFonts w:ascii="Arial" w:hAnsi="Arial" w:cs="Arial"/>
          <w:b w:val="0"/>
          <w:bCs w:val="0"/>
          <w:color w:val="auto"/>
          <w:sz w:val="20"/>
          <w:szCs w:val="20"/>
        </w:rPr>
        <w:t xml:space="preserve"> percentage share of inactive population in total population aged 15 and over.</w:t>
      </w:r>
    </w:p>
    <w:p w:rsidR="00C50458" w:rsidRPr="00185079" w:rsidRDefault="00C50458" w:rsidP="000721DA">
      <w:pPr>
        <w:spacing w:before="120" w:after="120" w:line="264" w:lineRule="auto"/>
        <w:ind w:firstLine="403"/>
        <w:jc w:val="both"/>
        <w:rPr>
          <w:rFonts w:cs="Arial"/>
        </w:rPr>
      </w:pPr>
      <w:r w:rsidRPr="00185079">
        <w:rPr>
          <w:rFonts w:cs="Arial"/>
        </w:rPr>
        <w:t xml:space="preserve">For more detailed description of the Survey and definitions of labour force, see the methodology of Labour Force Survey on </w:t>
      </w:r>
      <w:hyperlink r:id="rId12" w:history="1">
        <w:r w:rsidRPr="00185079">
          <w:rPr>
            <w:rStyle w:val="Hyperlink"/>
            <w:rFonts w:cs="Arial"/>
          </w:rPr>
          <w:t>www.stat.gov.rs</w:t>
        </w:r>
      </w:hyperlink>
      <w:r w:rsidRPr="00185079">
        <w:rPr>
          <w:rFonts w:cs="Arial"/>
        </w:rPr>
        <w:t>.</w:t>
      </w:r>
    </w:p>
    <w:p w:rsidR="00C50458" w:rsidRPr="00185079" w:rsidRDefault="00C50458" w:rsidP="000721DA">
      <w:pPr>
        <w:spacing w:before="120" w:after="120" w:line="264" w:lineRule="auto"/>
        <w:ind w:firstLine="403"/>
        <w:jc w:val="both"/>
        <w:rPr>
          <w:rFonts w:cs="Arial"/>
        </w:rPr>
      </w:pPr>
      <w:r w:rsidRPr="00185079">
        <w:rPr>
          <w:rFonts w:cs="Arial"/>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0721DA" w:rsidRDefault="000721DA" w:rsidP="000F2A19">
      <w:pPr>
        <w:pStyle w:val="FootnoteText"/>
        <w:spacing w:before="100" w:after="100" w:line="300" w:lineRule="auto"/>
        <w:jc w:val="both"/>
        <w:rPr>
          <w:rFonts w:ascii="Arial" w:hAnsi="Arial" w:cs="Arial"/>
        </w:rPr>
      </w:pPr>
    </w:p>
    <w:p w:rsidR="0023292A" w:rsidRDefault="0023292A" w:rsidP="000F2A19">
      <w:pPr>
        <w:pStyle w:val="FootnoteText"/>
        <w:spacing w:before="100" w:after="100" w:line="300" w:lineRule="auto"/>
        <w:jc w:val="both"/>
        <w:rPr>
          <w:rFonts w:ascii="Arial" w:hAnsi="Arial" w:cs="Arial"/>
        </w:rPr>
      </w:pPr>
    </w:p>
    <w:p w:rsidR="0023292A" w:rsidRPr="00185079" w:rsidRDefault="0023292A" w:rsidP="000F2A19">
      <w:pPr>
        <w:pStyle w:val="FootnoteText"/>
        <w:spacing w:before="100" w:after="100" w:line="300" w:lineRule="auto"/>
        <w:jc w:val="both"/>
        <w:rPr>
          <w:rFonts w:ascii="Arial" w:hAnsi="Arial" w:cs="Arial"/>
        </w:rPr>
      </w:pPr>
    </w:p>
    <w:p w:rsidR="007336AE" w:rsidRPr="00185079" w:rsidRDefault="007336AE" w:rsidP="000F2A19">
      <w:pPr>
        <w:pStyle w:val="FootnoteText"/>
        <w:spacing w:before="100" w:after="100" w:line="300" w:lineRule="auto"/>
        <w:jc w:val="both"/>
        <w:rPr>
          <w:rFonts w:ascii="Arial" w:hAnsi="Arial" w:cs="Arial"/>
        </w:rPr>
      </w:pPr>
    </w:p>
    <w:p w:rsidR="00D925E2" w:rsidRDefault="00D925E2" w:rsidP="000F2A19">
      <w:pPr>
        <w:pStyle w:val="FootnoteText"/>
        <w:spacing w:before="100" w:after="100" w:line="300" w:lineRule="auto"/>
        <w:jc w:val="both"/>
        <w:rPr>
          <w:rFonts w:ascii="Arial" w:hAnsi="Arial" w:cs="Arial"/>
        </w:rPr>
      </w:pPr>
    </w:p>
    <w:p w:rsidR="009D748F" w:rsidRDefault="009D748F" w:rsidP="000F2A19">
      <w:pPr>
        <w:pStyle w:val="FootnoteText"/>
        <w:spacing w:before="100" w:after="100" w:line="300" w:lineRule="auto"/>
        <w:jc w:val="both"/>
        <w:rPr>
          <w:rFonts w:ascii="Arial" w:hAnsi="Arial" w:cs="Arial"/>
        </w:rPr>
      </w:pPr>
    </w:p>
    <w:p w:rsidR="009D748F" w:rsidRDefault="009D748F" w:rsidP="000F2A19">
      <w:pPr>
        <w:pStyle w:val="FootnoteText"/>
        <w:spacing w:before="100" w:after="100" w:line="300" w:lineRule="auto"/>
        <w:jc w:val="both"/>
        <w:rPr>
          <w:rFonts w:ascii="Arial" w:hAnsi="Arial" w:cs="Arial"/>
        </w:rPr>
      </w:pPr>
    </w:p>
    <w:p w:rsidR="009D748F" w:rsidRPr="00185079" w:rsidRDefault="009D748F" w:rsidP="000F2A19">
      <w:pPr>
        <w:pStyle w:val="FootnoteText"/>
        <w:spacing w:before="100" w:after="100" w:line="300" w:lineRule="auto"/>
        <w:jc w:val="both"/>
        <w:rPr>
          <w:rFonts w:ascii="Arial" w:hAnsi="Arial" w:cs="Arial"/>
        </w:rPr>
      </w:pPr>
      <w:bookmarkStart w:id="1" w:name="_GoBack"/>
      <w:bookmarkEnd w:id="1"/>
    </w:p>
    <w:p w:rsidR="00D925E2" w:rsidRPr="00185079" w:rsidRDefault="00D925E2" w:rsidP="000F2A19">
      <w:pPr>
        <w:pStyle w:val="FootnoteText"/>
        <w:spacing w:before="100" w:after="100" w:line="300" w:lineRule="auto"/>
        <w:jc w:val="both"/>
        <w:rPr>
          <w:rFonts w:ascii="Arial" w:hAnsi="Arial" w:cs="Arial"/>
        </w:rPr>
      </w:pPr>
    </w:p>
    <w:p w:rsidR="000F2A19" w:rsidRPr="00185079" w:rsidRDefault="000F2A19" w:rsidP="000F2A19">
      <w:pPr>
        <w:pStyle w:val="FootnoteText"/>
        <w:spacing w:before="100" w:after="100" w:line="300" w:lineRule="auto"/>
        <w:jc w:val="both"/>
        <w:rPr>
          <w:rFonts w:cs="Arial"/>
          <w:sz w:val="16"/>
          <w:szCs w:val="16"/>
        </w:rPr>
      </w:pPr>
    </w:p>
    <w:p w:rsidR="008F1FDB" w:rsidRPr="00185079" w:rsidRDefault="009D748F" w:rsidP="008F1FDB">
      <w:pPr>
        <w:ind w:left="1416" w:firstLine="708"/>
        <w:rPr>
          <w:rFonts w:cs="Arial"/>
          <w:sz w:val="16"/>
          <w:szCs w:val="16"/>
        </w:rPr>
      </w:pPr>
      <w:r>
        <w:pict>
          <v:line id="Straight Connector 8" o:spid="_x0000_s1026" style="position:absolute;left:0;text-align:left;z-index:251663360;visibility:visible;mso-wrap-distance-top:-3e-5mm;mso-wrap-distance-bottom:-3e-5mm;mso-width-relative:margin;mso-height-relative:margin" from="74.8pt,2.75pt" to="44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" strokecolor="#7f7f7f" strokeweight="1pt">
            <o:lock v:ext="edit" shapetype="f"/>
          </v:line>
        </w:pict>
      </w:r>
    </w:p>
    <w:p w:rsidR="00C50458" w:rsidRPr="00185079" w:rsidRDefault="00C50458" w:rsidP="00C50458">
      <w:pPr>
        <w:jc w:val="center"/>
        <w:rPr>
          <w:rFonts w:cs="Arial"/>
          <w:sz w:val="18"/>
          <w:szCs w:val="18"/>
        </w:rPr>
      </w:pPr>
      <w:r w:rsidRPr="00185079">
        <w:rPr>
          <w:rFonts w:cs="Arial"/>
          <w:sz w:val="18"/>
          <w:szCs w:val="18"/>
        </w:rPr>
        <w:t xml:space="preserve">Contact: </w:t>
      </w:r>
      <w:hyperlink r:id="rId13" w:history="1">
        <w:r w:rsidRPr="00185079">
          <w:rPr>
            <w:rStyle w:val="Hyperlink"/>
            <w:rFonts w:cs="Arial"/>
            <w:sz w:val="18"/>
            <w:szCs w:val="18"/>
          </w:rPr>
          <w:t>ars@stat.gov.rs</w:t>
        </w:r>
      </w:hyperlink>
      <w:r w:rsidRPr="00185079">
        <w:rPr>
          <w:rStyle w:val="Hyperlink"/>
          <w:rFonts w:cs="Arial"/>
          <w:sz w:val="18"/>
          <w:szCs w:val="18"/>
        </w:rPr>
        <w:t>,</w:t>
      </w:r>
      <w:r w:rsidRPr="00185079">
        <w:rPr>
          <w:rFonts w:cs="Arial"/>
          <w:sz w:val="18"/>
          <w:szCs w:val="18"/>
        </w:rPr>
        <w:t xml:space="preserve"> Phone: +381 11 2412 922, ext. </w:t>
      </w:r>
      <w:r w:rsidR="00F20EB9" w:rsidRPr="00185079">
        <w:rPr>
          <w:rFonts w:cs="Arial"/>
          <w:sz w:val="18"/>
          <w:szCs w:val="18"/>
        </w:rPr>
        <w:t>385</w:t>
      </w:r>
    </w:p>
    <w:p w:rsidR="00C50458" w:rsidRPr="00185079" w:rsidRDefault="00C50458" w:rsidP="00C50458">
      <w:pPr>
        <w:jc w:val="center"/>
        <w:rPr>
          <w:rFonts w:cs="Arial"/>
          <w:iCs/>
          <w:sz w:val="18"/>
          <w:szCs w:val="18"/>
        </w:rPr>
      </w:pPr>
      <w:r w:rsidRPr="00185079">
        <w:rPr>
          <w:rFonts w:cs="Arial"/>
          <w:iCs/>
          <w:sz w:val="18"/>
          <w:szCs w:val="18"/>
        </w:rPr>
        <w:t xml:space="preserve">Published and printed by: Statistical Office of the Republic of Serbia, 11 050 Belgrade, </w:t>
      </w:r>
      <w:r w:rsidRPr="00270D6B">
        <w:rPr>
          <w:rFonts w:cs="Arial"/>
          <w:iCs/>
          <w:sz w:val="18"/>
          <w:szCs w:val="18"/>
        </w:rPr>
        <w:t>Milana</w:t>
      </w:r>
      <w:r w:rsidR="00D77E6C" w:rsidRPr="00270D6B">
        <w:rPr>
          <w:rFonts w:cs="Arial"/>
          <w:iCs/>
          <w:sz w:val="18"/>
          <w:szCs w:val="18"/>
          <w:lang w:val="sr-Cyrl-RS"/>
        </w:rPr>
        <w:t xml:space="preserve"> </w:t>
      </w:r>
      <w:r w:rsidRPr="00270D6B">
        <w:rPr>
          <w:rFonts w:cs="Arial"/>
          <w:iCs/>
          <w:sz w:val="18"/>
          <w:szCs w:val="18"/>
        </w:rPr>
        <w:t>Rakica 5</w:t>
      </w:r>
    </w:p>
    <w:p w:rsidR="00C50458" w:rsidRPr="00185079" w:rsidRDefault="00C50458" w:rsidP="00C50458">
      <w:pPr>
        <w:jc w:val="center"/>
        <w:rPr>
          <w:rFonts w:cs="Arial"/>
          <w:iCs/>
          <w:sz w:val="18"/>
          <w:szCs w:val="18"/>
        </w:rPr>
      </w:pPr>
      <w:r w:rsidRPr="00185079">
        <w:rPr>
          <w:rFonts w:cs="Arial"/>
          <w:iCs/>
          <w:sz w:val="18"/>
          <w:szCs w:val="18"/>
        </w:rPr>
        <w:t xml:space="preserve">Phone: +381 11 2412922 </w:t>
      </w:r>
      <w:r w:rsidRPr="00185079">
        <w:rPr>
          <w:rFonts w:cs="Arial"/>
          <w:sz w:val="18"/>
          <w:szCs w:val="18"/>
        </w:rPr>
        <w:t xml:space="preserve">(telephone exchange) </w:t>
      </w:r>
      <w:r w:rsidRPr="00185079">
        <w:rPr>
          <w:rFonts w:cs="Arial"/>
          <w:iCs/>
          <w:sz w:val="18"/>
          <w:szCs w:val="18"/>
        </w:rPr>
        <w:t xml:space="preserve">● Fax: +381 11 2411260 ● www.stat.gov.rs  </w:t>
      </w:r>
    </w:p>
    <w:p w:rsidR="00C50458" w:rsidRPr="00185079" w:rsidRDefault="00C50458" w:rsidP="00C50458">
      <w:pPr>
        <w:jc w:val="center"/>
        <w:rPr>
          <w:rFonts w:cs="Arial"/>
          <w:iCs/>
          <w:sz w:val="18"/>
          <w:szCs w:val="18"/>
        </w:rPr>
      </w:pPr>
      <w:r w:rsidRPr="00185079">
        <w:rPr>
          <w:rFonts w:cs="Arial"/>
          <w:iCs/>
          <w:sz w:val="18"/>
          <w:szCs w:val="18"/>
        </w:rPr>
        <w:t>Responsible: Dr Miladin Kovačević, Director</w:t>
      </w:r>
    </w:p>
    <w:p w:rsidR="005B2627" w:rsidRPr="00185079" w:rsidRDefault="00C50458" w:rsidP="00166DB3">
      <w:pPr>
        <w:spacing w:after="60"/>
        <w:jc w:val="center"/>
        <w:rPr>
          <w:rFonts w:cs="Arial"/>
          <w:sz w:val="18"/>
          <w:szCs w:val="18"/>
        </w:rPr>
      </w:pPr>
      <w:r w:rsidRPr="00185079">
        <w:rPr>
          <w:rFonts w:cs="Arial"/>
          <w:sz w:val="18"/>
          <w:szCs w:val="18"/>
        </w:rPr>
        <w:t>Circulation: 20 • Periodicity: quarterly</w:t>
      </w:r>
    </w:p>
    <w:sectPr w:rsidR="005B2627" w:rsidRPr="00185079" w:rsidSect="000721DA">
      <w:footerReference w:type="even" r:id="rId14"/>
      <w:footerReference w:type="default" r:id="rId15"/>
      <w:footnotePr>
        <w:numRestart w:val="eachPage"/>
      </w:footnotePr>
      <w:pgSz w:w="11906" w:h="16838" w:code="9"/>
      <w:pgMar w:top="907" w:right="851" w:bottom="90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31F" w:rsidRDefault="00C5631F" w:rsidP="008F1FDB">
      <w:r>
        <w:separator/>
      </w:r>
    </w:p>
  </w:endnote>
  <w:endnote w:type="continuationSeparator" w:id="0">
    <w:p w:rsidR="00C5631F" w:rsidRDefault="00C5631F" w:rsidP="008F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IS">
    <w:altName w:val="Arial"/>
    <w:panose1 w:val="020B060402020209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41" w:rsidRPr="00AE1A0C" w:rsidRDefault="006847DD" w:rsidP="006A1222">
    <w:pPr>
      <w:pStyle w:val="Footer"/>
      <w:pBdr>
        <w:top w:val="single" w:sz="4" w:space="1" w:color="auto"/>
      </w:pBdr>
      <w:rPr>
        <w:rFonts w:ascii="Arial" w:hAnsi="Arial" w:cs="Arial"/>
        <w:sz w:val="16"/>
        <w:szCs w:val="16"/>
      </w:rPr>
    </w:pPr>
    <w:r w:rsidRPr="00D44751">
      <w:rPr>
        <w:rFonts w:ascii="Arial" w:hAnsi="Arial" w:cs="Arial"/>
        <w:sz w:val="16"/>
        <w:szCs w:val="16"/>
      </w:rPr>
      <w:fldChar w:fldCharType="begin"/>
    </w:r>
    <w:r w:rsidR="00624E41" w:rsidRPr="00D44751">
      <w:rPr>
        <w:rFonts w:ascii="Arial" w:hAnsi="Arial" w:cs="Arial"/>
        <w:sz w:val="16"/>
        <w:szCs w:val="16"/>
      </w:rPr>
      <w:instrText xml:space="preserve"> PAGE   \* MERGEFORMAT </w:instrText>
    </w:r>
    <w:r w:rsidRPr="00D44751">
      <w:rPr>
        <w:rFonts w:ascii="Arial" w:hAnsi="Arial" w:cs="Arial"/>
        <w:sz w:val="16"/>
        <w:szCs w:val="16"/>
      </w:rPr>
      <w:fldChar w:fldCharType="separate"/>
    </w:r>
    <w:r w:rsidR="009D748F">
      <w:rPr>
        <w:rFonts w:ascii="Arial" w:hAnsi="Arial" w:cs="Arial"/>
        <w:noProof/>
        <w:sz w:val="16"/>
        <w:szCs w:val="16"/>
      </w:rPr>
      <w:t>2</w:t>
    </w:r>
    <w:r w:rsidRPr="00D44751">
      <w:rPr>
        <w:rFonts w:ascii="Arial" w:hAnsi="Arial" w:cs="Arial"/>
        <w:noProof/>
        <w:sz w:val="16"/>
        <w:szCs w:val="16"/>
      </w:rPr>
      <w:fldChar w:fldCharType="end"/>
    </w:r>
    <w:r w:rsidR="0023292A">
      <w:rPr>
        <w:rFonts w:ascii="Arial" w:hAnsi="Arial" w:cs="Arial"/>
        <w:noProof/>
        <w:sz w:val="16"/>
        <w:szCs w:val="16"/>
      </w:rPr>
      <w:t xml:space="preserve">                                                                                                                                                                                            </w:t>
    </w:r>
    <w:r w:rsidR="00783A4C" w:rsidRPr="00783A4C">
      <w:rPr>
        <w:rFonts w:ascii="Arial" w:eastAsia="Times New Roman" w:hAnsi="Arial" w:cs="Arial"/>
        <w:sz w:val="16"/>
        <w:szCs w:val="16"/>
        <w:lang w:val="en-US"/>
      </w:rPr>
      <w:t>SERB</w:t>
    </w:r>
    <w:r w:rsidR="006F7D2C">
      <w:rPr>
        <w:rFonts w:ascii="Arial" w:eastAsia="Times New Roman" w:hAnsi="Arial" w:cs="Arial"/>
        <w:sz w:val="16"/>
        <w:szCs w:val="16"/>
        <w:lang w:val="en-US"/>
      </w:rPr>
      <w:t>237</w:t>
    </w:r>
    <w:r w:rsidR="0023292A">
      <w:rPr>
        <w:rFonts w:ascii="Arial" w:eastAsia="Times New Roman" w:hAnsi="Arial" w:cs="Arial"/>
        <w:sz w:val="16"/>
        <w:szCs w:val="16"/>
        <w:lang w:val="en-US"/>
      </w:rPr>
      <w:t xml:space="preserve"> </w:t>
    </w:r>
    <w:r w:rsidR="00C137BD" w:rsidRPr="00C137BD">
      <w:rPr>
        <w:rFonts w:ascii="Arial" w:eastAsia="Times New Roman" w:hAnsi="Arial" w:cs="Arial"/>
        <w:sz w:val="16"/>
        <w:szCs w:val="16"/>
        <w:lang w:val="en-US"/>
      </w:rPr>
      <w:t>RS10 310820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41" w:rsidRPr="00D44751" w:rsidRDefault="00783A4C" w:rsidP="006A1222">
    <w:pPr>
      <w:pStyle w:val="Footer"/>
      <w:pBdr>
        <w:top w:val="single" w:sz="4" w:space="1" w:color="auto"/>
      </w:pBdr>
      <w:rPr>
        <w:rFonts w:ascii="Arial" w:hAnsi="Arial" w:cs="Arial"/>
        <w:sz w:val="16"/>
        <w:szCs w:val="16"/>
      </w:rPr>
    </w:pPr>
    <w:r w:rsidRPr="00783A4C">
      <w:rPr>
        <w:rFonts w:ascii="Arial" w:eastAsia="Times New Roman" w:hAnsi="Arial" w:cs="Arial"/>
        <w:sz w:val="16"/>
        <w:szCs w:val="16"/>
      </w:rPr>
      <w:t>SERB</w:t>
    </w:r>
    <w:r w:rsidR="006F7D2C">
      <w:rPr>
        <w:rFonts w:ascii="Arial" w:eastAsia="Times New Roman" w:hAnsi="Arial" w:cs="Arial"/>
        <w:sz w:val="16"/>
        <w:szCs w:val="16"/>
      </w:rPr>
      <w:t>237</w:t>
    </w:r>
    <w:r w:rsidR="0023292A">
      <w:rPr>
        <w:rFonts w:ascii="Arial" w:eastAsia="Times New Roman" w:hAnsi="Arial" w:cs="Arial"/>
        <w:sz w:val="16"/>
        <w:szCs w:val="16"/>
      </w:rPr>
      <w:t xml:space="preserve"> </w:t>
    </w:r>
    <w:r w:rsidR="00C137BD" w:rsidRPr="00C137BD">
      <w:rPr>
        <w:rFonts w:ascii="Arial" w:eastAsia="Times New Roman" w:hAnsi="Arial" w:cs="Arial"/>
        <w:sz w:val="16"/>
        <w:szCs w:val="16"/>
      </w:rPr>
      <w:t>RS10 310820</w:t>
    </w:r>
    <w:r w:rsidR="0023292A">
      <w:rPr>
        <w:rFonts w:ascii="Arial" w:eastAsia="Times New Roman" w:hAnsi="Arial" w:cs="Arial"/>
        <w:sz w:val="16"/>
        <w:szCs w:val="16"/>
      </w:rPr>
      <w:t xml:space="preserve">                                                                                                                                                                                            </w:t>
    </w:r>
    <w:r w:rsidR="006847DD" w:rsidRPr="00D44751">
      <w:rPr>
        <w:rFonts w:ascii="Arial" w:hAnsi="Arial" w:cs="Arial"/>
        <w:sz w:val="16"/>
        <w:szCs w:val="16"/>
      </w:rPr>
      <w:fldChar w:fldCharType="begin"/>
    </w:r>
    <w:r w:rsidR="00624E41" w:rsidRPr="00D44751">
      <w:rPr>
        <w:rFonts w:ascii="Arial" w:hAnsi="Arial" w:cs="Arial"/>
        <w:sz w:val="16"/>
        <w:szCs w:val="16"/>
      </w:rPr>
      <w:instrText xml:space="preserve"> PAGE   \* MERGEFORMAT </w:instrText>
    </w:r>
    <w:r w:rsidR="006847DD" w:rsidRPr="00D44751">
      <w:rPr>
        <w:rFonts w:ascii="Arial" w:hAnsi="Arial" w:cs="Arial"/>
        <w:sz w:val="16"/>
        <w:szCs w:val="16"/>
      </w:rPr>
      <w:fldChar w:fldCharType="separate"/>
    </w:r>
    <w:r w:rsidR="009D748F">
      <w:rPr>
        <w:rFonts w:ascii="Arial" w:hAnsi="Arial" w:cs="Arial"/>
        <w:noProof/>
        <w:sz w:val="16"/>
        <w:szCs w:val="16"/>
      </w:rPr>
      <w:t>5</w:t>
    </w:r>
    <w:r w:rsidR="006847DD" w:rsidRPr="00D4475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31F" w:rsidRDefault="00C5631F" w:rsidP="008F1FDB">
      <w:r>
        <w:separator/>
      </w:r>
    </w:p>
  </w:footnote>
  <w:footnote w:type="continuationSeparator" w:id="0">
    <w:p w:rsidR="00C5631F" w:rsidRDefault="00C5631F" w:rsidP="008F1FDB">
      <w:r>
        <w:continuationSeparator/>
      </w:r>
    </w:p>
  </w:footnote>
  <w:footnote w:id="1">
    <w:p w:rsidR="00F82D1F" w:rsidRPr="00F82D1F" w:rsidRDefault="00F82D1F" w:rsidP="00F82D1F">
      <w:pPr>
        <w:ind w:left="142" w:hanging="142"/>
        <w:rPr>
          <w:rFonts w:ascii="Calibri" w:hAnsi="Calibri"/>
          <w:sz w:val="16"/>
          <w:szCs w:val="16"/>
        </w:rPr>
      </w:pPr>
      <w:r w:rsidRPr="00F82D1F">
        <w:rPr>
          <w:rStyle w:val="FootnoteReference"/>
          <w:sz w:val="16"/>
          <w:szCs w:val="16"/>
        </w:rPr>
        <w:footnoteRef/>
      </w:r>
      <w:r w:rsidRPr="00F82D1F">
        <w:rPr>
          <w:sz w:val="16"/>
          <w:szCs w:val="16"/>
        </w:rPr>
        <w:t xml:space="preserve"> The activity of Agriculture covers the whole section of Agriculture, forestry and fishery, as well as a part of the section Activities of households as employers referring to agriculture.</w:t>
      </w:r>
    </w:p>
    <w:p w:rsidR="00F82D1F" w:rsidRPr="00F82D1F" w:rsidRDefault="00F82D1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269"/>
    <w:multiLevelType w:val="hybridMultilevel"/>
    <w:tmpl w:val="302A30AE"/>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C6793"/>
    <w:multiLevelType w:val="hybridMultilevel"/>
    <w:tmpl w:val="B088FFE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15:restartNumberingAfterBreak="0">
    <w:nsid w:val="0F223D8A"/>
    <w:multiLevelType w:val="hybridMultilevel"/>
    <w:tmpl w:val="1FEA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538CE"/>
    <w:multiLevelType w:val="hybridMultilevel"/>
    <w:tmpl w:val="58E84AC0"/>
    <w:lvl w:ilvl="0" w:tplc="2A7655DC">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148707D"/>
    <w:multiLevelType w:val="hybridMultilevel"/>
    <w:tmpl w:val="3502D5DA"/>
    <w:lvl w:ilvl="0" w:tplc="04090003">
      <w:start w:val="1"/>
      <w:numFmt w:val="bullet"/>
      <w:lvlText w:val="o"/>
      <w:lvlJc w:val="left"/>
      <w:pPr>
        <w:ind w:left="1117" w:hanging="360"/>
      </w:pPr>
      <w:rPr>
        <w:rFonts w:ascii="Courier New" w:hAnsi="Courier New" w:cs="Courier New"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15:restartNumberingAfterBreak="0">
    <w:nsid w:val="24626CBD"/>
    <w:multiLevelType w:val="hybridMultilevel"/>
    <w:tmpl w:val="85047E42"/>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703B1"/>
    <w:multiLevelType w:val="hybridMultilevel"/>
    <w:tmpl w:val="72189026"/>
    <w:lvl w:ilvl="0" w:tplc="975055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882484"/>
    <w:multiLevelType w:val="hybridMultilevel"/>
    <w:tmpl w:val="4A0E49A6"/>
    <w:lvl w:ilvl="0" w:tplc="E390CF06">
      <w:start w:val="1"/>
      <w:numFmt w:val="bullet"/>
      <w:lvlText w:val="-"/>
      <w:lvlJc w:val="left"/>
      <w:pPr>
        <w:ind w:left="720" w:hanging="360"/>
      </w:pPr>
      <w:rPr>
        <w:rFonts w:ascii="Calibri" w:hAnsi="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356B0DB9"/>
    <w:multiLevelType w:val="multilevel"/>
    <w:tmpl w:val="14D6C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4301EA"/>
    <w:multiLevelType w:val="hybridMultilevel"/>
    <w:tmpl w:val="8048BD9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39FC2EA2"/>
    <w:multiLevelType w:val="hybridMultilevel"/>
    <w:tmpl w:val="B5703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72694C"/>
    <w:multiLevelType w:val="hybridMultilevel"/>
    <w:tmpl w:val="FD1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667B3"/>
    <w:multiLevelType w:val="hybridMultilevel"/>
    <w:tmpl w:val="418C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F49AA"/>
    <w:multiLevelType w:val="hybridMultilevel"/>
    <w:tmpl w:val="D07CD6A4"/>
    <w:lvl w:ilvl="0" w:tplc="E620E0AC">
      <w:start w:val="1"/>
      <w:numFmt w:val="bullet"/>
      <w:lvlText w:val=""/>
      <w:lvlJc w:val="left"/>
      <w:pPr>
        <w:ind w:left="1495" w:hanging="360"/>
      </w:pPr>
      <w:rPr>
        <w:rFonts w:ascii="Wingdings" w:hAnsi="Wingdings"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15:restartNumberingAfterBreak="0">
    <w:nsid w:val="598C14ED"/>
    <w:multiLevelType w:val="hybridMultilevel"/>
    <w:tmpl w:val="FE68AA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5B407F59"/>
    <w:multiLevelType w:val="hybridMultilevel"/>
    <w:tmpl w:val="5C2C88DA"/>
    <w:lvl w:ilvl="0" w:tplc="23921F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D00CC"/>
    <w:multiLevelType w:val="hybridMultilevel"/>
    <w:tmpl w:val="813A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33332"/>
    <w:multiLevelType w:val="hybridMultilevel"/>
    <w:tmpl w:val="6262D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51D3A"/>
    <w:multiLevelType w:val="hybridMultilevel"/>
    <w:tmpl w:val="84D8F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7018A0"/>
    <w:multiLevelType w:val="hybridMultilevel"/>
    <w:tmpl w:val="BF909BE8"/>
    <w:lvl w:ilvl="0" w:tplc="EB34B6E8">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250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CD0FDA"/>
    <w:multiLevelType w:val="hybridMultilevel"/>
    <w:tmpl w:val="98B85448"/>
    <w:lvl w:ilvl="0" w:tplc="CD861C7C">
      <w:start w:val="15"/>
      <w:numFmt w:val="bullet"/>
      <w:lvlText w:val="-"/>
      <w:lvlJc w:val="left"/>
      <w:pPr>
        <w:ind w:left="1773" w:hanging="360"/>
      </w:pPr>
      <w:rPr>
        <w:rFonts w:ascii="Times New Roman" w:eastAsia="Calibri" w:hAnsi="Times New Roman" w:cs="Times New Roman"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22" w15:restartNumberingAfterBreak="0">
    <w:nsid w:val="7D8E0550"/>
    <w:multiLevelType w:val="hybridMultilevel"/>
    <w:tmpl w:val="05108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4"/>
  </w:num>
  <w:num w:numId="5">
    <w:abstractNumId w:val="5"/>
  </w:num>
  <w:num w:numId="6">
    <w:abstractNumId w:val="19"/>
  </w:num>
  <w:num w:numId="7">
    <w:abstractNumId w:val="0"/>
  </w:num>
  <w:num w:numId="8">
    <w:abstractNumId w:val="7"/>
  </w:num>
  <w:num w:numId="9">
    <w:abstractNumId w:val="1"/>
  </w:num>
  <w:num w:numId="10">
    <w:abstractNumId w:val="16"/>
  </w:num>
  <w:num w:numId="11">
    <w:abstractNumId w:val="13"/>
  </w:num>
  <w:num w:numId="12">
    <w:abstractNumId w:val="4"/>
  </w:num>
  <w:num w:numId="13">
    <w:abstractNumId w:val="17"/>
  </w:num>
  <w:num w:numId="14">
    <w:abstractNumId w:val="3"/>
  </w:num>
  <w:num w:numId="15">
    <w:abstractNumId w:val="20"/>
  </w:num>
  <w:num w:numId="16">
    <w:abstractNumId w:val="8"/>
  </w:num>
  <w:num w:numId="17">
    <w:abstractNumId w:val="21"/>
  </w:num>
  <w:num w:numId="18">
    <w:abstractNumId w:val="11"/>
  </w:num>
  <w:num w:numId="19">
    <w:abstractNumId w:val="6"/>
  </w:num>
  <w:num w:numId="20">
    <w:abstractNumId w:val="9"/>
  </w:num>
  <w:num w:numId="21">
    <w:abstractNumId w:val="15"/>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2"/>
  </w:compat>
  <w:rsids>
    <w:rsidRoot w:val="008F1FDB"/>
    <w:rsid w:val="00000065"/>
    <w:rsid w:val="00003304"/>
    <w:rsid w:val="00006538"/>
    <w:rsid w:val="00010B08"/>
    <w:rsid w:val="00013093"/>
    <w:rsid w:val="0003096B"/>
    <w:rsid w:val="00030DBF"/>
    <w:rsid w:val="00030E76"/>
    <w:rsid w:val="000348CE"/>
    <w:rsid w:val="00046DB9"/>
    <w:rsid w:val="0005304E"/>
    <w:rsid w:val="0005439C"/>
    <w:rsid w:val="00056CE9"/>
    <w:rsid w:val="000665DE"/>
    <w:rsid w:val="00066CE2"/>
    <w:rsid w:val="000721DA"/>
    <w:rsid w:val="000738EC"/>
    <w:rsid w:val="00073C85"/>
    <w:rsid w:val="000764C1"/>
    <w:rsid w:val="00077879"/>
    <w:rsid w:val="00084400"/>
    <w:rsid w:val="00086AA0"/>
    <w:rsid w:val="000904D4"/>
    <w:rsid w:val="000979D8"/>
    <w:rsid w:val="000A395C"/>
    <w:rsid w:val="000B556F"/>
    <w:rsid w:val="000C0B64"/>
    <w:rsid w:val="000C43A8"/>
    <w:rsid w:val="000C6D73"/>
    <w:rsid w:val="000D69BB"/>
    <w:rsid w:val="000E0B53"/>
    <w:rsid w:val="000E70B3"/>
    <w:rsid w:val="000F046C"/>
    <w:rsid w:val="000F1049"/>
    <w:rsid w:val="000F2A19"/>
    <w:rsid w:val="000F44C5"/>
    <w:rsid w:val="000F4A7D"/>
    <w:rsid w:val="00100214"/>
    <w:rsid w:val="00100800"/>
    <w:rsid w:val="00103A54"/>
    <w:rsid w:val="00106668"/>
    <w:rsid w:val="00106751"/>
    <w:rsid w:val="001156FD"/>
    <w:rsid w:val="0011686A"/>
    <w:rsid w:val="00116E1D"/>
    <w:rsid w:val="001223AC"/>
    <w:rsid w:val="001244A2"/>
    <w:rsid w:val="00126219"/>
    <w:rsid w:val="00130513"/>
    <w:rsid w:val="0013162E"/>
    <w:rsid w:val="00134023"/>
    <w:rsid w:val="00134175"/>
    <w:rsid w:val="0013616A"/>
    <w:rsid w:val="0015173D"/>
    <w:rsid w:val="00151995"/>
    <w:rsid w:val="00160E27"/>
    <w:rsid w:val="001622FF"/>
    <w:rsid w:val="001643B8"/>
    <w:rsid w:val="00166DB3"/>
    <w:rsid w:val="00184AFD"/>
    <w:rsid w:val="00185079"/>
    <w:rsid w:val="001952A5"/>
    <w:rsid w:val="00196487"/>
    <w:rsid w:val="001A2E37"/>
    <w:rsid w:val="001A5267"/>
    <w:rsid w:val="001A634D"/>
    <w:rsid w:val="001C0F9C"/>
    <w:rsid w:val="001C2865"/>
    <w:rsid w:val="001C2A83"/>
    <w:rsid w:val="001C4A4D"/>
    <w:rsid w:val="001E6C37"/>
    <w:rsid w:val="001F19B7"/>
    <w:rsid w:val="001F3AB9"/>
    <w:rsid w:val="0020430D"/>
    <w:rsid w:val="002058FC"/>
    <w:rsid w:val="00206E07"/>
    <w:rsid w:val="00210C1C"/>
    <w:rsid w:val="0021176C"/>
    <w:rsid w:val="00213C8C"/>
    <w:rsid w:val="00220476"/>
    <w:rsid w:val="002230F8"/>
    <w:rsid w:val="00225892"/>
    <w:rsid w:val="00227336"/>
    <w:rsid w:val="0023292A"/>
    <w:rsid w:val="00232FA1"/>
    <w:rsid w:val="002338AB"/>
    <w:rsid w:val="00243170"/>
    <w:rsid w:val="00251661"/>
    <w:rsid w:val="002518BC"/>
    <w:rsid w:val="00264FED"/>
    <w:rsid w:val="00270968"/>
    <w:rsid w:val="00270D6B"/>
    <w:rsid w:val="0027467B"/>
    <w:rsid w:val="0027499B"/>
    <w:rsid w:val="00274B5E"/>
    <w:rsid w:val="00275560"/>
    <w:rsid w:val="00277FE4"/>
    <w:rsid w:val="00287615"/>
    <w:rsid w:val="0028792B"/>
    <w:rsid w:val="00296794"/>
    <w:rsid w:val="002A0F49"/>
    <w:rsid w:val="002A2CC7"/>
    <w:rsid w:val="002A5206"/>
    <w:rsid w:val="002A5578"/>
    <w:rsid w:val="002A7F09"/>
    <w:rsid w:val="002B6AEA"/>
    <w:rsid w:val="002B6B93"/>
    <w:rsid w:val="002B7CF1"/>
    <w:rsid w:val="002D3DE0"/>
    <w:rsid w:val="002E1F9F"/>
    <w:rsid w:val="002E5232"/>
    <w:rsid w:val="002E68C6"/>
    <w:rsid w:val="002F2021"/>
    <w:rsid w:val="002F7531"/>
    <w:rsid w:val="00301CB4"/>
    <w:rsid w:val="0030252E"/>
    <w:rsid w:val="00313667"/>
    <w:rsid w:val="003138BC"/>
    <w:rsid w:val="0032019D"/>
    <w:rsid w:val="00320FEB"/>
    <w:rsid w:val="0032539F"/>
    <w:rsid w:val="00331733"/>
    <w:rsid w:val="00335F51"/>
    <w:rsid w:val="0033607C"/>
    <w:rsid w:val="00357281"/>
    <w:rsid w:val="003648F3"/>
    <w:rsid w:val="0036735D"/>
    <w:rsid w:val="003728FD"/>
    <w:rsid w:val="003816CF"/>
    <w:rsid w:val="003840A6"/>
    <w:rsid w:val="00391A81"/>
    <w:rsid w:val="00395833"/>
    <w:rsid w:val="0039649B"/>
    <w:rsid w:val="003973F1"/>
    <w:rsid w:val="003A38E3"/>
    <w:rsid w:val="003B1B89"/>
    <w:rsid w:val="003B4E77"/>
    <w:rsid w:val="003C436C"/>
    <w:rsid w:val="003C784C"/>
    <w:rsid w:val="003D1BAD"/>
    <w:rsid w:val="003D4780"/>
    <w:rsid w:val="003D6E3B"/>
    <w:rsid w:val="003D6FB6"/>
    <w:rsid w:val="003E08CB"/>
    <w:rsid w:val="003E6A11"/>
    <w:rsid w:val="003F1840"/>
    <w:rsid w:val="003F229B"/>
    <w:rsid w:val="00407AEC"/>
    <w:rsid w:val="00412661"/>
    <w:rsid w:val="00415AE4"/>
    <w:rsid w:val="004161FD"/>
    <w:rsid w:val="00416A59"/>
    <w:rsid w:val="00421F08"/>
    <w:rsid w:val="00422F43"/>
    <w:rsid w:val="00424EB5"/>
    <w:rsid w:val="004253AF"/>
    <w:rsid w:val="004306C2"/>
    <w:rsid w:val="00436AE2"/>
    <w:rsid w:val="00440D47"/>
    <w:rsid w:val="004439E5"/>
    <w:rsid w:val="00451739"/>
    <w:rsid w:val="00451F6D"/>
    <w:rsid w:val="004568F6"/>
    <w:rsid w:val="0045721A"/>
    <w:rsid w:val="00460D42"/>
    <w:rsid w:val="004625B5"/>
    <w:rsid w:val="00466052"/>
    <w:rsid w:val="00475D8E"/>
    <w:rsid w:val="00476EBC"/>
    <w:rsid w:val="00480A96"/>
    <w:rsid w:val="004859F7"/>
    <w:rsid w:val="0049196E"/>
    <w:rsid w:val="004933F8"/>
    <w:rsid w:val="004A2B81"/>
    <w:rsid w:val="004A5C1A"/>
    <w:rsid w:val="004B0BEC"/>
    <w:rsid w:val="004C40C6"/>
    <w:rsid w:val="004C4804"/>
    <w:rsid w:val="004D5448"/>
    <w:rsid w:val="004D5559"/>
    <w:rsid w:val="004D7487"/>
    <w:rsid w:val="004E4177"/>
    <w:rsid w:val="004E711A"/>
    <w:rsid w:val="004F0B6D"/>
    <w:rsid w:val="004F268A"/>
    <w:rsid w:val="004F449F"/>
    <w:rsid w:val="004F6E59"/>
    <w:rsid w:val="004F7798"/>
    <w:rsid w:val="0051113F"/>
    <w:rsid w:val="005141A7"/>
    <w:rsid w:val="005149E9"/>
    <w:rsid w:val="00517932"/>
    <w:rsid w:val="00520D82"/>
    <w:rsid w:val="00523F0F"/>
    <w:rsid w:val="005270CA"/>
    <w:rsid w:val="00530ADD"/>
    <w:rsid w:val="00535184"/>
    <w:rsid w:val="005417F2"/>
    <w:rsid w:val="00541CEF"/>
    <w:rsid w:val="0054237A"/>
    <w:rsid w:val="00545B7A"/>
    <w:rsid w:val="005513C8"/>
    <w:rsid w:val="005603EE"/>
    <w:rsid w:val="0056288F"/>
    <w:rsid w:val="00563A0D"/>
    <w:rsid w:val="00565286"/>
    <w:rsid w:val="00576503"/>
    <w:rsid w:val="00586E90"/>
    <w:rsid w:val="0059160F"/>
    <w:rsid w:val="005A4D4C"/>
    <w:rsid w:val="005A6D04"/>
    <w:rsid w:val="005A78F5"/>
    <w:rsid w:val="005B2627"/>
    <w:rsid w:val="005D0BFA"/>
    <w:rsid w:val="005D3F8D"/>
    <w:rsid w:val="005E1A17"/>
    <w:rsid w:val="005E3666"/>
    <w:rsid w:val="005E65AF"/>
    <w:rsid w:val="005E696F"/>
    <w:rsid w:val="0060303E"/>
    <w:rsid w:val="00605676"/>
    <w:rsid w:val="00612AE0"/>
    <w:rsid w:val="006148C7"/>
    <w:rsid w:val="00624E41"/>
    <w:rsid w:val="00625934"/>
    <w:rsid w:val="006264D2"/>
    <w:rsid w:val="00633F41"/>
    <w:rsid w:val="00667CA0"/>
    <w:rsid w:val="00670DFD"/>
    <w:rsid w:val="006830B4"/>
    <w:rsid w:val="006847DD"/>
    <w:rsid w:val="00686AAB"/>
    <w:rsid w:val="00687560"/>
    <w:rsid w:val="00690346"/>
    <w:rsid w:val="0069569B"/>
    <w:rsid w:val="006A064E"/>
    <w:rsid w:val="006A1222"/>
    <w:rsid w:val="006A1C70"/>
    <w:rsid w:val="006A5DF8"/>
    <w:rsid w:val="006A6E25"/>
    <w:rsid w:val="006B1341"/>
    <w:rsid w:val="006C0C10"/>
    <w:rsid w:val="006C463F"/>
    <w:rsid w:val="006C5E33"/>
    <w:rsid w:val="006D0ED9"/>
    <w:rsid w:val="006D7E24"/>
    <w:rsid w:val="006F0BB2"/>
    <w:rsid w:val="006F3615"/>
    <w:rsid w:val="006F5A95"/>
    <w:rsid w:val="006F7D2C"/>
    <w:rsid w:val="00705354"/>
    <w:rsid w:val="00707B40"/>
    <w:rsid w:val="00716137"/>
    <w:rsid w:val="007179D8"/>
    <w:rsid w:val="00722224"/>
    <w:rsid w:val="00722C7B"/>
    <w:rsid w:val="0072449C"/>
    <w:rsid w:val="00725519"/>
    <w:rsid w:val="007258A5"/>
    <w:rsid w:val="0072715E"/>
    <w:rsid w:val="00727EAB"/>
    <w:rsid w:val="007316F4"/>
    <w:rsid w:val="007336AE"/>
    <w:rsid w:val="00737EA5"/>
    <w:rsid w:val="00746DD9"/>
    <w:rsid w:val="007568FD"/>
    <w:rsid w:val="00761651"/>
    <w:rsid w:val="00766691"/>
    <w:rsid w:val="00767198"/>
    <w:rsid w:val="00780DB5"/>
    <w:rsid w:val="0078202D"/>
    <w:rsid w:val="0078275A"/>
    <w:rsid w:val="007838B6"/>
    <w:rsid w:val="00783A4C"/>
    <w:rsid w:val="0078778C"/>
    <w:rsid w:val="007972AA"/>
    <w:rsid w:val="007973C9"/>
    <w:rsid w:val="007A710F"/>
    <w:rsid w:val="007A7B1D"/>
    <w:rsid w:val="007A7D95"/>
    <w:rsid w:val="007C233B"/>
    <w:rsid w:val="007C4AA3"/>
    <w:rsid w:val="007D513C"/>
    <w:rsid w:val="007E2FC1"/>
    <w:rsid w:val="007E6487"/>
    <w:rsid w:val="007F00DA"/>
    <w:rsid w:val="007F04AF"/>
    <w:rsid w:val="007F04C4"/>
    <w:rsid w:val="007F2030"/>
    <w:rsid w:val="007F58F3"/>
    <w:rsid w:val="007F69D5"/>
    <w:rsid w:val="007F79D5"/>
    <w:rsid w:val="0080057C"/>
    <w:rsid w:val="00800AAE"/>
    <w:rsid w:val="00810978"/>
    <w:rsid w:val="0081154A"/>
    <w:rsid w:val="00814F67"/>
    <w:rsid w:val="00820CF7"/>
    <w:rsid w:val="008220FF"/>
    <w:rsid w:val="008253D5"/>
    <w:rsid w:val="00826CD4"/>
    <w:rsid w:val="00830131"/>
    <w:rsid w:val="008316F0"/>
    <w:rsid w:val="00837FE1"/>
    <w:rsid w:val="00852349"/>
    <w:rsid w:val="008560F4"/>
    <w:rsid w:val="0085728F"/>
    <w:rsid w:val="00863855"/>
    <w:rsid w:val="00864F8D"/>
    <w:rsid w:val="0086505B"/>
    <w:rsid w:val="00880A8B"/>
    <w:rsid w:val="00882574"/>
    <w:rsid w:val="00882BB3"/>
    <w:rsid w:val="0088400B"/>
    <w:rsid w:val="00885C9E"/>
    <w:rsid w:val="00895C7F"/>
    <w:rsid w:val="008A347F"/>
    <w:rsid w:val="008A6A1E"/>
    <w:rsid w:val="008B4880"/>
    <w:rsid w:val="008B4DF4"/>
    <w:rsid w:val="008B6571"/>
    <w:rsid w:val="008C0465"/>
    <w:rsid w:val="008C52BC"/>
    <w:rsid w:val="008C52F9"/>
    <w:rsid w:val="008D1A70"/>
    <w:rsid w:val="008E1872"/>
    <w:rsid w:val="008E20A0"/>
    <w:rsid w:val="008E72AB"/>
    <w:rsid w:val="008F1FDB"/>
    <w:rsid w:val="008F53C9"/>
    <w:rsid w:val="008F5D88"/>
    <w:rsid w:val="00901882"/>
    <w:rsid w:val="0090288A"/>
    <w:rsid w:val="00903C4C"/>
    <w:rsid w:val="00911976"/>
    <w:rsid w:val="00923E9B"/>
    <w:rsid w:val="00924511"/>
    <w:rsid w:val="009246B8"/>
    <w:rsid w:val="00930544"/>
    <w:rsid w:val="00936402"/>
    <w:rsid w:val="00942052"/>
    <w:rsid w:val="00944E1D"/>
    <w:rsid w:val="00952FB3"/>
    <w:rsid w:val="00953DCE"/>
    <w:rsid w:val="00961739"/>
    <w:rsid w:val="00964DF0"/>
    <w:rsid w:val="00964EA6"/>
    <w:rsid w:val="00970E19"/>
    <w:rsid w:val="009773BD"/>
    <w:rsid w:val="009927E5"/>
    <w:rsid w:val="009A1BA2"/>
    <w:rsid w:val="009B1EAA"/>
    <w:rsid w:val="009B2524"/>
    <w:rsid w:val="009B7E85"/>
    <w:rsid w:val="009C2D41"/>
    <w:rsid w:val="009D13A2"/>
    <w:rsid w:val="009D748F"/>
    <w:rsid w:val="009E27F4"/>
    <w:rsid w:val="009E3604"/>
    <w:rsid w:val="009E479C"/>
    <w:rsid w:val="009F56BA"/>
    <w:rsid w:val="009F5D7D"/>
    <w:rsid w:val="00A01539"/>
    <w:rsid w:val="00A03B79"/>
    <w:rsid w:val="00A16667"/>
    <w:rsid w:val="00A17D42"/>
    <w:rsid w:val="00A21645"/>
    <w:rsid w:val="00A27421"/>
    <w:rsid w:val="00A27BB4"/>
    <w:rsid w:val="00A51001"/>
    <w:rsid w:val="00A5363E"/>
    <w:rsid w:val="00A575CF"/>
    <w:rsid w:val="00A611EF"/>
    <w:rsid w:val="00A640BF"/>
    <w:rsid w:val="00A70C18"/>
    <w:rsid w:val="00A73B1F"/>
    <w:rsid w:val="00A76B48"/>
    <w:rsid w:val="00A772E8"/>
    <w:rsid w:val="00A7749A"/>
    <w:rsid w:val="00A838BF"/>
    <w:rsid w:val="00A92DE7"/>
    <w:rsid w:val="00A936D8"/>
    <w:rsid w:val="00A93D57"/>
    <w:rsid w:val="00AB4EA8"/>
    <w:rsid w:val="00AB7A3B"/>
    <w:rsid w:val="00AC0305"/>
    <w:rsid w:val="00AC22D0"/>
    <w:rsid w:val="00AC2B56"/>
    <w:rsid w:val="00AD5AB1"/>
    <w:rsid w:val="00AE1999"/>
    <w:rsid w:val="00AE1A0C"/>
    <w:rsid w:val="00AE2B74"/>
    <w:rsid w:val="00AE31DC"/>
    <w:rsid w:val="00AE37FB"/>
    <w:rsid w:val="00B001B9"/>
    <w:rsid w:val="00B01D93"/>
    <w:rsid w:val="00B05442"/>
    <w:rsid w:val="00B20DC7"/>
    <w:rsid w:val="00B2296A"/>
    <w:rsid w:val="00B30441"/>
    <w:rsid w:val="00B336CD"/>
    <w:rsid w:val="00B377AD"/>
    <w:rsid w:val="00B47D12"/>
    <w:rsid w:val="00B50D83"/>
    <w:rsid w:val="00B52C1F"/>
    <w:rsid w:val="00B547F5"/>
    <w:rsid w:val="00B57A70"/>
    <w:rsid w:val="00B83F1B"/>
    <w:rsid w:val="00B84327"/>
    <w:rsid w:val="00B90D92"/>
    <w:rsid w:val="00B91C74"/>
    <w:rsid w:val="00B938DE"/>
    <w:rsid w:val="00B939E3"/>
    <w:rsid w:val="00BA1826"/>
    <w:rsid w:val="00BA28CA"/>
    <w:rsid w:val="00BA3A71"/>
    <w:rsid w:val="00BA3FF9"/>
    <w:rsid w:val="00BA4AF7"/>
    <w:rsid w:val="00BB018E"/>
    <w:rsid w:val="00BC5415"/>
    <w:rsid w:val="00BD08A0"/>
    <w:rsid w:val="00BD4B17"/>
    <w:rsid w:val="00BD6BE5"/>
    <w:rsid w:val="00BE1D56"/>
    <w:rsid w:val="00BE4FEB"/>
    <w:rsid w:val="00BF092A"/>
    <w:rsid w:val="00C01122"/>
    <w:rsid w:val="00C0716F"/>
    <w:rsid w:val="00C079BC"/>
    <w:rsid w:val="00C137BD"/>
    <w:rsid w:val="00C20CF6"/>
    <w:rsid w:val="00C239BA"/>
    <w:rsid w:val="00C25484"/>
    <w:rsid w:val="00C3339D"/>
    <w:rsid w:val="00C40150"/>
    <w:rsid w:val="00C40BF3"/>
    <w:rsid w:val="00C44C23"/>
    <w:rsid w:val="00C465AE"/>
    <w:rsid w:val="00C47384"/>
    <w:rsid w:val="00C50458"/>
    <w:rsid w:val="00C510BB"/>
    <w:rsid w:val="00C535DF"/>
    <w:rsid w:val="00C5631F"/>
    <w:rsid w:val="00C57274"/>
    <w:rsid w:val="00C63CDF"/>
    <w:rsid w:val="00C64868"/>
    <w:rsid w:val="00C67681"/>
    <w:rsid w:val="00C73815"/>
    <w:rsid w:val="00C764D4"/>
    <w:rsid w:val="00C7661B"/>
    <w:rsid w:val="00C83F19"/>
    <w:rsid w:val="00C87C57"/>
    <w:rsid w:val="00C93537"/>
    <w:rsid w:val="00C94716"/>
    <w:rsid w:val="00C9494C"/>
    <w:rsid w:val="00CA3880"/>
    <w:rsid w:val="00CA60E8"/>
    <w:rsid w:val="00CA6360"/>
    <w:rsid w:val="00CA7CF5"/>
    <w:rsid w:val="00CB0869"/>
    <w:rsid w:val="00CD1661"/>
    <w:rsid w:val="00CD3C9E"/>
    <w:rsid w:val="00CE4FF6"/>
    <w:rsid w:val="00CE5292"/>
    <w:rsid w:val="00CE52BA"/>
    <w:rsid w:val="00CE7B57"/>
    <w:rsid w:val="00CF2807"/>
    <w:rsid w:val="00CF7145"/>
    <w:rsid w:val="00D0048F"/>
    <w:rsid w:val="00D03039"/>
    <w:rsid w:val="00D11296"/>
    <w:rsid w:val="00D12954"/>
    <w:rsid w:val="00D24E06"/>
    <w:rsid w:val="00D3111B"/>
    <w:rsid w:val="00D31124"/>
    <w:rsid w:val="00D31C3E"/>
    <w:rsid w:val="00D34336"/>
    <w:rsid w:val="00D36BF2"/>
    <w:rsid w:val="00D4357B"/>
    <w:rsid w:val="00D44D7D"/>
    <w:rsid w:val="00D465E1"/>
    <w:rsid w:val="00D5113B"/>
    <w:rsid w:val="00D53A35"/>
    <w:rsid w:val="00D556F2"/>
    <w:rsid w:val="00D566B8"/>
    <w:rsid w:val="00D655A4"/>
    <w:rsid w:val="00D65A50"/>
    <w:rsid w:val="00D73CA4"/>
    <w:rsid w:val="00D77E6C"/>
    <w:rsid w:val="00D8352F"/>
    <w:rsid w:val="00D925E2"/>
    <w:rsid w:val="00DA0EF7"/>
    <w:rsid w:val="00DA0F9F"/>
    <w:rsid w:val="00DA2A7C"/>
    <w:rsid w:val="00DB03FC"/>
    <w:rsid w:val="00DC19DA"/>
    <w:rsid w:val="00DC35AC"/>
    <w:rsid w:val="00DD30B9"/>
    <w:rsid w:val="00DD3A6A"/>
    <w:rsid w:val="00DE3C95"/>
    <w:rsid w:val="00DE4F1D"/>
    <w:rsid w:val="00DE662A"/>
    <w:rsid w:val="00DF002F"/>
    <w:rsid w:val="00E01A97"/>
    <w:rsid w:val="00E03C68"/>
    <w:rsid w:val="00E068AF"/>
    <w:rsid w:val="00E079E5"/>
    <w:rsid w:val="00E15E0B"/>
    <w:rsid w:val="00E22119"/>
    <w:rsid w:val="00E263C3"/>
    <w:rsid w:val="00E323C1"/>
    <w:rsid w:val="00E330AD"/>
    <w:rsid w:val="00E34BDD"/>
    <w:rsid w:val="00E35F94"/>
    <w:rsid w:val="00E54662"/>
    <w:rsid w:val="00E57461"/>
    <w:rsid w:val="00E60984"/>
    <w:rsid w:val="00E61511"/>
    <w:rsid w:val="00E625E8"/>
    <w:rsid w:val="00E62C2D"/>
    <w:rsid w:val="00E711A9"/>
    <w:rsid w:val="00E75AED"/>
    <w:rsid w:val="00E80409"/>
    <w:rsid w:val="00E834F8"/>
    <w:rsid w:val="00E86E35"/>
    <w:rsid w:val="00E91E47"/>
    <w:rsid w:val="00E93EDA"/>
    <w:rsid w:val="00EA0458"/>
    <w:rsid w:val="00EA3CC1"/>
    <w:rsid w:val="00EA57A8"/>
    <w:rsid w:val="00EA58CE"/>
    <w:rsid w:val="00EA7144"/>
    <w:rsid w:val="00EB0467"/>
    <w:rsid w:val="00EB3111"/>
    <w:rsid w:val="00EB660E"/>
    <w:rsid w:val="00EB69D8"/>
    <w:rsid w:val="00EB77D3"/>
    <w:rsid w:val="00EC0C85"/>
    <w:rsid w:val="00EC17DB"/>
    <w:rsid w:val="00EC413F"/>
    <w:rsid w:val="00EC5131"/>
    <w:rsid w:val="00EC62B5"/>
    <w:rsid w:val="00ED093B"/>
    <w:rsid w:val="00ED4B9F"/>
    <w:rsid w:val="00EE000E"/>
    <w:rsid w:val="00EE2BAA"/>
    <w:rsid w:val="00EE3555"/>
    <w:rsid w:val="00EF25FA"/>
    <w:rsid w:val="00F03B80"/>
    <w:rsid w:val="00F05C5F"/>
    <w:rsid w:val="00F07EA5"/>
    <w:rsid w:val="00F1064B"/>
    <w:rsid w:val="00F200F5"/>
    <w:rsid w:val="00F20E80"/>
    <w:rsid w:val="00F20EB9"/>
    <w:rsid w:val="00F33C75"/>
    <w:rsid w:val="00F37082"/>
    <w:rsid w:val="00F416AF"/>
    <w:rsid w:val="00F44424"/>
    <w:rsid w:val="00F445CF"/>
    <w:rsid w:val="00F54219"/>
    <w:rsid w:val="00F575CD"/>
    <w:rsid w:val="00F74925"/>
    <w:rsid w:val="00F7497D"/>
    <w:rsid w:val="00F76510"/>
    <w:rsid w:val="00F82D1F"/>
    <w:rsid w:val="00F9046D"/>
    <w:rsid w:val="00F9185A"/>
    <w:rsid w:val="00F94E14"/>
    <w:rsid w:val="00FA2B2F"/>
    <w:rsid w:val="00FA316C"/>
    <w:rsid w:val="00FA5207"/>
    <w:rsid w:val="00FA7812"/>
    <w:rsid w:val="00FB1802"/>
    <w:rsid w:val="00FB2E36"/>
    <w:rsid w:val="00FB4735"/>
    <w:rsid w:val="00FC4FD8"/>
    <w:rsid w:val="00FD3EB5"/>
    <w:rsid w:val="00FE3115"/>
    <w:rsid w:val="00FE415C"/>
    <w:rsid w:val="00FE417F"/>
    <w:rsid w:val="00FE450F"/>
    <w:rsid w:val="00FE67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D1617"/>
  <w15:docId w15:val="{FF47247E-D339-4DE1-B213-751583DF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FDB"/>
    <w:pPr>
      <w:spacing w:after="0" w:line="240" w:lineRule="auto"/>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8F1FDB"/>
    <w:pPr>
      <w:keepNext/>
      <w:keepLines/>
      <w:spacing w:before="480" w:line="276" w:lineRule="auto"/>
      <w:outlineLvl w:val="0"/>
    </w:pPr>
    <w:rPr>
      <w:rFonts w:ascii="Cambria" w:hAnsi="Cambria"/>
      <w:b/>
      <w:bCs/>
      <w:color w:val="365F91"/>
      <w:sz w:val="28"/>
      <w:szCs w:val="28"/>
    </w:rPr>
  </w:style>
  <w:style w:type="paragraph" w:styleId="Heading4">
    <w:name w:val="heading 4"/>
    <w:basedOn w:val="Normal"/>
    <w:next w:val="Normal"/>
    <w:link w:val="Heading4Char"/>
    <w:uiPriority w:val="9"/>
    <w:semiHidden/>
    <w:unhideWhenUsed/>
    <w:qFormat/>
    <w:rsid w:val="00C504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FDB"/>
    <w:rPr>
      <w:rFonts w:ascii="Cambria" w:eastAsia="Times New Roman" w:hAnsi="Cambria" w:cs="Times New Roman"/>
      <w:b/>
      <w:bCs/>
      <w:color w:val="365F91"/>
      <w:sz w:val="28"/>
      <w:szCs w:val="28"/>
    </w:rPr>
  </w:style>
  <w:style w:type="paragraph" w:styleId="PlainText">
    <w:name w:val="Plain Text"/>
    <w:basedOn w:val="Normal"/>
    <w:link w:val="PlainTextChar"/>
    <w:uiPriority w:val="99"/>
    <w:unhideWhenUsed/>
    <w:rsid w:val="008F1FDB"/>
    <w:rPr>
      <w:rFonts w:ascii="Calibri" w:eastAsia="Calibri" w:hAnsi="Calibri"/>
      <w:sz w:val="22"/>
      <w:szCs w:val="22"/>
    </w:rPr>
  </w:style>
  <w:style w:type="character" w:customStyle="1" w:styleId="PlainTextChar">
    <w:name w:val="Plain Text Char"/>
    <w:basedOn w:val="DefaultParagraphFont"/>
    <w:link w:val="PlainText"/>
    <w:uiPriority w:val="99"/>
    <w:rsid w:val="008F1FDB"/>
    <w:rPr>
      <w:rFonts w:ascii="Calibri" w:eastAsia="Calibri" w:hAnsi="Calibri" w:cs="Times New Roman"/>
    </w:rPr>
  </w:style>
  <w:style w:type="paragraph" w:styleId="ListParagraph">
    <w:name w:val="List Paragraph"/>
    <w:basedOn w:val="Normal"/>
    <w:uiPriority w:val="34"/>
    <w:qFormat/>
    <w:rsid w:val="008F1FDB"/>
    <w:pPr>
      <w:ind w:left="720"/>
      <w:contextualSpacing/>
    </w:pPr>
    <w:rPr>
      <w:rFonts w:ascii="Calibri" w:eastAsia="Calibri" w:hAnsi="Calibri"/>
      <w:sz w:val="24"/>
      <w:szCs w:val="24"/>
      <w:lang w:val="en-US"/>
    </w:rPr>
  </w:style>
  <w:style w:type="paragraph" w:customStyle="1" w:styleId="Default">
    <w:name w:val="Default"/>
    <w:rsid w:val="008F1FDB"/>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8F1FDB"/>
    <w:pPr>
      <w:spacing w:beforeLines="1" w:afterLines="1"/>
    </w:pPr>
    <w:rPr>
      <w:rFonts w:ascii="Times" w:eastAsia="Calibri" w:hAnsi="Times"/>
      <w:lang w:val="en-US"/>
    </w:rPr>
  </w:style>
  <w:style w:type="paragraph" w:styleId="FootnoteText">
    <w:name w:val="footnote text"/>
    <w:basedOn w:val="Normal"/>
    <w:link w:val="FootnoteTextChar"/>
    <w:uiPriority w:val="99"/>
    <w:unhideWhenUsed/>
    <w:rsid w:val="008F1FDB"/>
    <w:rPr>
      <w:rFonts w:ascii="Calibri" w:eastAsia="Calibri" w:hAnsi="Calibri"/>
    </w:rPr>
  </w:style>
  <w:style w:type="character" w:customStyle="1" w:styleId="FootnoteTextChar">
    <w:name w:val="Footnote Text Char"/>
    <w:basedOn w:val="DefaultParagraphFont"/>
    <w:link w:val="FootnoteText"/>
    <w:uiPriority w:val="99"/>
    <w:rsid w:val="008F1FDB"/>
    <w:rPr>
      <w:rFonts w:ascii="Calibri" w:eastAsia="Calibri" w:hAnsi="Calibri" w:cs="Times New Roman"/>
      <w:sz w:val="20"/>
      <w:szCs w:val="20"/>
    </w:rPr>
  </w:style>
  <w:style w:type="character" w:styleId="FootnoteReference">
    <w:name w:val="footnote reference"/>
    <w:uiPriority w:val="99"/>
    <w:unhideWhenUsed/>
    <w:rsid w:val="008F1FDB"/>
    <w:rPr>
      <w:vertAlign w:val="superscript"/>
    </w:rPr>
  </w:style>
  <w:style w:type="paragraph" w:styleId="BalloonText">
    <w:name w:val="Balloon Text"/>
    <w:basedOn w:val="Normal"/>
    <w:link w:val="BalloonTextChar"/>
    <w:uiPriority w:val="99"/>
    <w:semiHidden/>
    <w:unhideWhenUsed/>
    <w:rsid w:val="008F1FD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F1FDB"/>
    <w:rPr>
      <w:rFonts w:ascii="Tahoma" w:eastAsia="Calibri" w:hAnsi="Tahoma" w:cs="Tahoma"/>
      <w:sz w:val="16"/>
      <w:szCs w:val="16"/>
    </w:rPr>
  </w:style>
  <w:style w:type="paragraph" w:styleId="Header">
    <w:name w:val="header"/>
    <w:basedOn w:val="Normal"/>
    <w:link w:val="HeaderChar"/>
    <w:uiPriority w:val="99"/>
    <w:unhideWhenUsed/>
    <w:rsid w:val="008F1FD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F1FDB"/>
    <w:rPr>
      <w:rFonts w:ascii="Calibri" w:eastAsia="Calibri" w:hAnsi="Calibri" w:cs="Times New Roman"/>
    </w:rPr>
  </w:style>
  <w:style w:type="paragraph" w:styleId="Footer">
    <w:name w:val="footer"/>
    <w:basedOn w:val="Normal"/>
    <w:link w:val="FooterChar"/>
    <w:uiPriority w:val="99"/>
    <w:unhideWhenUsed/>
    <w:rsid w:val="008F1FDB"/>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8F1FDB"/>
    <w:rPr>
      <w:rFonts w:ascii="Calibri" w:eastAsia="Calibri" w:hAnsi="Calibri" w:cs="Times New Roman"/>
    </w:rPr>
  </w:style>
  <w:style w:type="table" w:styleId="TableGrid">
    <w:name w:val="Table Grid"/>
    <w:basedOn w:val="TableNormal"/>
    <w:uiPriority w:val="59"/>
    <w:rsid w:val="008F1F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1FDB"/>
    <w:rPr>
      <w:color w:val="0000FF"/>
      <w:u w:val="single"/>
    </w:rPr>
  </w:style>
  <w:style w:type="paragraph" w:styleId="EndnoteText">
    <w:name w:val="endnote text"/>
    <w:basedOn w:val="Normal"/>
    <w:link w:val="EndnoteTextChar"/>
    <w:uiPriority w:val="99"/>
    <w:semiHidden/>
    <w:unhideWhenUsed/>
    <w:rsid w:val="008F1FDB"/>
    <w:rPr>
      <w:rFonts w:ascii="Calibri" w:eastAsia="Calibri" w:hAnsi="Calibri"/>
    </w:rPr>
  </w:style>
  <w:style w:type="character" w:customStyle="1" w:styleId="EndnoteTextChar">
    <w:name w:val="Endnote Text Char"/>
    <w:basedOn w:val="DefaultParagraphFont"/>
    <w:link w:val="EndnoteText"/>
    <w:uiPriority w:val="99"/>
    <w:semiHidden/>
    <w:rsid w:val="008F1FDB"/>
    <w:rPr>
      <w:rFonts w:ascii="Calibri" w:eastAsia="Calibri" w:hAnsi="Calibri" w:cs="Times New Roman"/>
      <w:sz w:val="20"/>
      <w:szCs w:val="20"/>
    </w:rPr>
  </w:style>
  <w:style w:type="character" w:styleId="EndnoteReference">
    <w:name w:val="endnote reference"/>
    <w:uiPriority w:val="99"/>
    <w:semiHidden/>
    <w:unhideWhenUsed/>
    <w:rsid w:val="008F1FDB"/>
    <w:rPr>
      <w:vertAlign w:val="superscript"/>
    </w:rPr>
  </w:style>
  <w:style w:type="paragraph" w:customStyle="1" w:styleId="CharCharCharChar">
    <w:name w:val="Char Char Char Char"/>
    <w:basedOn w:val="Normal"/>
    <w:rsid w:val="008F1FDB"/>
    <w:pPr>
      <w:spacing w:after="160" w:line="240" w:lineRule="exact"/>
    </w:pPr>
    <w:rPr>
      <w:rFonts w:ascii="Verdana" w:hAnsi="Verdana"/>
      <w:i/>
      <w:lang w:val="en-US"/>
    </w:rPr>
  </w:style>
  <w:style w:type="character" w:styleId="CommentReference">
    <w:name w:val="annotation reference"/>
    <w:unhideWhenUsed/>
    <w:rsid w:val="008F1FDB"/>
    <w:rPr>
      <w:sz w:val="16"/>
      <w:szCs w:val="16"/>
    </w:rPr>
  </w:style>
  <w:style w:type="paragraph" w:styleId="CommentText">
    <w:name w:val="annotation text"/>
    <w:basedOn w:val="Normal"/>
    <w:link w:val="CommentTextChar"/>
    <w:unhideWhenUsed/>
    <w:rsid w:val="008F1FDB"/>
    <w:pPr>
      <w:spacing w:after="200"/>
    </w:pPr>
    <w:rPr>
      <w:rFonts w:ascii="Calibri" w:eastAsia="Calibri" w:hAnsi="Calibri"/>
    </w:rPr>
  </w:style>
  <w:style w:type="character" w:customStyle="1" w:styleId="CommentTextChar">
    <w:name w:val="Comment Text Char"/>
    <w:basedOn w:val="DefaultParagraphFont"/>
    <w:link w:val="CommentText"/>
    <w:rsid w:val="008F1F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1FDB"/>
    <w:rPr>
      <w:b/>
      <w:bCs/>
    </w:rPr>
  </w:style>
  <w:style w:type="character" w:customStyle="1" w:styleId="CommentSubjectChar">
    <w:name w:val="Comment Subject Char"/>
    <w:basedOn w:val="CommentTextChar"/>
    <w:link w:val="CommentSubject"/>
    <w:uiPriority w:val="99"/>
    <w:semiHidden/>
    <w:rsid w:val="008F1FDB"/>
    <w:rPr>
      <w:rFonts w:ascii="Calibri" w:eastAsia="Calibri" w:hAnsi="Calibri" w:cs="Times New Roman"/>
      <w:b/>
      <w:bCs/>
      <w:sz w:val="20"/>
      <w:szCs w:val="20"/>
    </w:rPr>
  </w:style>
  <w:style w:type="character" w:styleId="IntenseEmphasis">
    <w:name w:val="Intense Emphasis"/>
    <w:uiPriority w:val="21"/>
    <w:qFormat/>
    <w:rsid w:val="00DD30B9"/>
    <w:rPr>
      <w:i/>
      <w:iCs/>
      <w:color w:val="5B9BD5"/>
    </w:rPr>
  </w:style>
  <w:style w:type="paragraph" w:customStyle="1" w:styleId="CharCharCharChar0">
    <w:name w:val="Char Char Char Char"/>
    <w:basedOn w:val="Normal"/>
    <w:rsid w:val="00E263C3"/>
    <w:pPr>
      <w:spacing w:after="160" w:line="240" w:lineRule="exact"/>
    </w:pPr>
    <w:rPr>
      <w:rFonts w:ascii="Verdana" w:hAnsi="Verdana"/>
      <w:i/>
    </w:rPr>
  </w:style>
  <w:style w:type="character" w:styleId="IntenseReference">
    <w:name w:val="Intense Reference"/>
    <w:uiPriority w:val="32"/>
    <w:qFormat/>
    <w:rsid w:val="00E263C3"/>
    <w:rPr>
      <w:b/>
      <w:bCs/>
      <w:smallCaps/>
      <w:color w:val="5B9BD5"/>
      <w:spacing w:val="5"/>
    </w:rPr>
  </w:style>
  <w:style w:type="paragraph" w:customStyle="1" w:styleId="CharCharCharChar1">
    <w:name w:val="Char Char Char Char"/>
    <w:basedOn w:val="Normal"/>
    <w:rsid w:val="00B05442"/>
    <w:pPr>
      <w:spacing w:after="160" w:line="240" w:lineRule="exact"/>
    </w:pPr>
    <w:rPr>
      <w:rFonts w:ascii="Verdana" w:hAnsi="Verdana"/>
      <w:i/>
    </w:rPr>
  </w:style>
  <w:style w:type="paragraph" w:customStyle="1" w:styleId="CharCharCharChar2">
    <w:name w:val="Char Char Char Char"/>
    <w:basedOn w:val="Normal"/>
    <w:rsid w:val="008C52F9"/>
    <w:pPr>
      <w:spacing w:after="160" w:line="240" w:lineRule="exact"/>
    </w:pPr>
    <w:rPr>
      <w:rFonts w:ascii="Verdana" w:hAnsi="Verdana"/>
      <w:i/>
    </w:rPr>
  </w:style>
  <w:style w:type="character" w:styleId="FollowedHyperlink">
    <w:name w:val="FollowedHyperlink"/>
    <w:basedOn w:val="DefaultParagraphFont"/>
    <w:uiPriority w:val="99"/>
    <w:semiHidden/>
    <w:unhideWhenUsed/>
    <w:rsid w:val="00227336"/>
    <w:rPr>
      <w:color w:val="954F72" w:themeColor="followedHyperlink"/>
      <w:u w:val="single"/>
    </w:rPr>
  </w:style>
  <w:style w:type="character" w:customStyle="1" w:styleId="Heading4Char">
    <w:name w:val="Heading 4 Char"/>
    <w:basedOn w:val="DefaultParagraphFont"/>
    <w:link w:val="Heading4"/>
    <w:uiPriority w:val="9"/>
    <w:semiHidden/>
    <w:rsid w:val="00C50458"/>
    <w:rPr>
      <w:rFonts w:asciiTheme="majorHAnsi" w:eastAsiaTheme="majorEastAsia" w:hAnsiTheme="majorHAnsi" w:cstheme="majorBidi"/>
      <w:b/>
      <w:bCs/>
      <w:i/>
      <w:iCs/>
      <w:color w:val="5B9BD5" w:themeColor="accent1"/>
      <w:sz w:val="20"/>
      <w:szCs w:val="20"/>
    </w:rPr>
  </w:style>
  <w:style w:type="paragraph" w:styleId="Caption">
    <w:name w:val="caption"/>
    <w:basedOn w:val="Normal"/>
    <w:next w:val="Normal"/>
    <w:uiPriority w:val="35"/>
    <w:unhideWhenUsed/>
    <w:qFormat/>
    <w:rsid w:val="00F445CF"/>
    <w:pPr>
      <w:spacing w:after="200"/>
    </w:pPr>
    <w:rPr>
      <w:rFonts w:asciiTheme="minorHAnsi" w:eastAsiaTheme="minorHAnsi" w:hAnsiTheme="minorHAnsi" w:cstheme="minorBidi"/>
      <w:i/>
      <w:iCs/>
      <w:color w:val="44546A" w:themeColor="text2"/>
      <w:sz w:val="18"/>
      <w:szCs w:val="18"/>
      <w:lang w:val="en-US"/>
    </w:rPr>
  </w:style>
  <w:style w:type="character" w:styleId="Emphasis">
    <w:name w:val="Emphasis"/>
    <w:basedOn w:val="DefaultParagraphFont"/>
    <w:uiPriority w:val="20"/>
    <w:qFormat/>
    <w:rsid w:val="001305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12">
      <w:bodyDiv w:val="1"/>
      <w:marLeft w:val="0"/>
      <w:marRight w:val="0"/>
      <w:marTop w:val="0"/>
      <w:marBottom w:val="0"/>
      <w:divBdr>
        <w:top w:val="none" w:sz="0" w:space="0" w:color="auto"/>
        <w:left w:val="none" w:sz="0" w:space="0" w:color="auto"/>
        <w:bottom w:val="none" w:sz="0" w:space="0" w:color="auto"/>
        <w:right w:val="none" w:sz="0" w:space="0" w:color="auto"/>
      </w:divBdr>
    </w:div>
    <w:div w:id="585920677">
      <w:bodyDiv w:val="1"/>
      <w:marLeft w:val="0"/>
      <w:marRight w:val="0"/>
      <w:marTop w:val="0"/>
      <w:marBottom w:val="0"/>
      <w:divBdr>
        <w:top w:val="none" w:sz="0" w:space="0" w:color="auto"/>
        <w:left w:val="none" w:sz="0" w:space="0" w:color="auto"/>
        <w:bottom w:val="none" w:sz="0" w:space="0" w:color="auto"/>
        <w:right w:val="none" w:sz="0" w:space="0" w:color="auto"/>
      </w:divBdr>
    </w:div>
    <w:div w:id="1175920966">
      <w:bodyDiv w:val="1"/>
      <w:marLeft w:val="0"/>
      <w:marRight w:val="0"/>
      <w:marTop w:val="0"/>
      <w:marBottom w:val="0"/>
      <w:divBdr>
        <w:top w:val="none" w:sz="0" w:space="0" w:color="auto"/>
        <w:left w:val="none" w:sz="0" w:space="0" w:color="auto"/>
        <w:bottom w:val="none" w:sz="0" w:space="0" w:color="auto"/>
        <w:right w:val="none" w:sz="0" w:space="0" w:color="auto"/>
      </w:divBdr>
      <w:divsChild>
        <w:div w:id="1876850882">
          <w:marLeft w:val="0"/>
          <w:marRight w:val="0"/>
          <w:marTop w:val="0"/>
          <w:marBottom w:val="0"/>
          <w:divBdr>
            <w:top w:val="none" w:sz="0" w:space="0" w:color="auto"/>
            <w:left w:val="none" w:sz="0" w:space="0" w:color="auto"/>
            <w:bottom w:val="none" w:sz="0" w:space="0" w:color="auto"/>
            <w:right w:val="none" w:sz="0" w:space="0" w:color="auto"/>
          </w:divBdr>
        </w:div>
      </w:divsChild>
    </w:div>
    <w:div w:id="1416168741">
      <w:bodyDiv w:val="1"/>
      <w:marLeft w:val="0"/>
      <w:marRight w:val="0"/>
      <w:marTop w:val="0"/>
      <w:marBottom w:val="0"/>
      <w:divBdr>
        <w:top w:val="none" w:sz="0" w:space="0" w:color="auto"/>
        <w:left w:val="none" w:sz="0" w:space="0" w:color="auto"/>
        <w:bottom w:val="none" w:sz="0" w:space="0" w:color="auto"/>
        <w:right w:val="none" w:sz="0" w:space="0" w:color="auto"/>
      </w:divBdr>
      <w:divsChild>
        <w:div w:id="964893640">
          <w:marLeft w:val="0"/>
          <w:marRight w:val="0"/>
          <w:marTop w:val="0"/>
          <w:marBottom w:val="0"/>
          <w:divBdr>
            <w:top w:val="none" w:sz="0" w:space="0" w:color="auto"/>
            <w:left w:val="none" w:sz="0" w:space="0" w:color="auto"/>
            <w:bottom w:val="none" w:sz="0" w:space="0" w:color="auto"/>
            <w:right w:val="none" w:sz="0" w:space="0" w:color="auto"/>
          </w:divBdr>
        </w:div>
      </w:divsChild>
    </w:div>
    <w:div w:id="1658145439">
      <w:bodyDiv w:val="1"/>
      <w:marLeft w:val="0"/>
      <w:marRight w:val="0"/>
      <w:marTop w:val="0"/>
      <w:marBottom w:val="0"/>
      <w:divBdr>
        <w:top w:val="none" w:sz="0" w:space="0" w:color="auto"/>
        <w:left w:val="none" w:sz="0" w:space="0" w:color="auto"/>
        <w:bottom w:val="none" w:sz="0" w:space="0" w:color="auto"/>
        <w:right w:val="none" w:sz="0" w:space="0" w:color="auto"/>
      </w:divBdr>
    </w:div>
    <w:div w:id="1758556006">
      <w:bodyDiv w:val="1"/>
      <w:marLeft w:val="0"/>
      <w:marRight w:val="0"/>
      <w:marTop w:val="0"/>
      <w:marBottom w:val="0"/>
      <w:divBdr>
        <w:top w:val="none" w:sz="0" w:space="0" w:color="auto"/>
        <w:left w:val="none" w:sz="0" w:space="0" w:color="auto"/>
        <w:bottom w:val="none" w:sz="0" w:space="0" w:color="auto"/>
        <w:right w:val="none" w:sz="0" w:space="0" w:color="auto"/>
      </w:divBdr>
    </w:div>
    <w:div w:id="1938755672">
      <w:bodyDiv w:val="1"/>
      <w:marLeft w:val="0"/>
      <w:marRight w:val="0"/>
      <w:marTop w:val="0"/>
      <w:marBottom w:val="0"/>
      <w:divBdr>
        <w:top w:val="none" w:sz="0" w:space="0" w:color="auto"/>
        <w:left w:val="none" w:sz="0" w:space="0" w:color="auto"/>
        <w:bottom w:val="none" w:sz="0" w:space="0" w:color="auto"/>
        <w:right w:val="none" w:sz="0" w:space="0" w:color="auto"/>
      </w:divBdr>
      <w:divsChild>
        <w:div w:id="184834521">
          <w:marLeft w:val="0"/>
          <w:marRight w:val="0"/>
          <w:marTop w:val="0"/>
          <w:marBottom w:val="0"/>
          <w:divBdr>
            <w:top w:val="none" w:sz="0" w:space="0" w:color="auto"/>
            <w:left w:val="none" w:sz="0" w:space="0" w:color="auto"/>
            <w:bottom w:val="none" w:sz="0" w:space="0" w:color="auto"/>
            <w:right w:val="none" w:sz="0" w:space="0" w:color="auto"/>
          </w:divBdr>
        </w:div>
      </w:divsChild>
    </w:div>
    <w:div w:id="209893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s@stat.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kacije.stat.gov.rs/G2018/Xls/G20191043.xls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77021604938272E-2"/>
          <c:y val="2.2913492063492063E-2"/>
          <c:w val="0.95621890547263677"/>
          <c:h val="0.77217817460317451"/>
        </c:manualLayout>
      </c:layout>
      <c:barChart>
        <c:barDir val="col"/>
        <c:grouping val="clustered"/>
        <c:varyColors val="0"/>
        <c:ser>
          <c:idx val="0"/>
          <c:order val="0"/>
          <c:tx>
            <c:strRef>
              <c:f>Sheet4!$D$52</c:f>
              <c:strCache>
                <c:ptCount val="1"/>
                <c:pt idx="0">
                  <c:v>2019 Q2</c:v>
                </c:pt>
              </c:strCache>
            </c:strRef>
          </c:tx>
          <c:spPr>
            <a:solidFill>
              <a:srgbClr val="0070C0"/>
            </a:solidFill>
            <a:ln>
              <a:noFill/>
            </a:ln>
            <a:effectLst/>
          </c:spPr>
          <c:invertIfNegative val="0"/>
          <c:dLbls>
            <c:dLbl>
              <c:idx val="2"/>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697F-49EE-89A5-4578C288605C}"/>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Sheet4!$B$53:$B$56</c:f>
              <c:strCache>
                <c:ptCount val="4"/>
                <c:pt idx="0">
                  <c:v>Vacation, public or religious holidays</c:v>
                </c:pt>
                <c:pt idx="1">
                  <c:v>Illness, injury or temporary incapacity</c:v>
                </c:pt>
                <c:pt idx="2">
                  <c:v>Decreased volume of work due to technical or economic reasons</c:v>
                </c:pt>
                <c:pt idx="3">
                  <c:v>Other</c:v>
                </c:pt>
              </c:strCache>
            </c:strRef>
          </c:cat>
          <c:val>
            <c:numRef>
              <c:f>Sheet4!$D$53:$D$56</c:f>
              <c:numCache>
                <c:formatCode>#,##0</c:formatCode>
                <c:ptCount val="4"/>
                <c:pt idx="0">
                  <c:v>53900</c:v>
                </c:pt>
                <c:pt idx="1">
                  <c:v>34900</c:v>
                </c:pt>
                <c:pt idx="2">
                  <c:v>5200</c:v>
                </c:pt>
                <c:pt idx="3">
                  <c:v>52500</c:v>
                </c:pt>
              </c:numCache>
            </c:numRef>
          </c:val>
          <c:extLst>
            <c:ext xmlns:c16="http://schemas.microsoft.com/office/drawing/2014/chart" uri="{C3380CC4-5D6E-409C-BE32-E72D297353CC}">
              <c16:uniqueId val="{00000001-697F-49EE-89A5-4578C288605C}"/>
            </c:ext>
          </c:extLst>
        </c:ser>
        <c:ser>
          <c:idx val="1"/>
          <c:order val="1"/>
          <c:tx>
            <c:strRef>
              <c:f>Sheet4!$E$52</c:f>
              <c:strCache>
                <c:ptCount val="1"/>
                <c:pt idx="0">
                  <c:v>2020 Q1</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Sheet4!$B$53:$B$56</c:f>
              <c:strCache>
                <c:ptCount val="4"/>
                <c:pt idx="0">
                  <c:v>Vacation, public or religious holidays</c:v>
                </c:pt>
                <c:pt idx="1">
                  <c:v>Illness, injury or temporary incapacity</c:v>
                </c:pt>
                <c:pt idx="2">
                  <c:v>Decreased volume of work due to technical or economic reasons</c:v>
                </c:pt>
                <c:pt idx="3">
                  <c:v>Other</c:v>
                </c:pt>
              </c:strCache>
            </c:strRef>
          </c:cat>
          <c:val>
            <c:numRef>
              <c:f>Sheet4!$E$53:$E$56</c:f>
              <c:numCache>
                <c:formatCode>#,##0</c:formatCode>
                <c:ptCount val="4"/>
                <c:pt idx="0">
                  <c:v>46000</c:v>
                </c:pt>
                <c:pt idx="1">
                  <c:v>36900</c:v>
                </c:pt>
                <c:pt idx="2">
                  <c:v>68100</c:v>
                </c:pt>
                <c:pt idx="3">
                  <c:v>92500</c:v>
                </c:pt>
              </c:numCache>
            </c:numRef>
          </c:val>
          <c:extLst>
            <c:ext xmlns:c16="http://schemas.microsoft.com/office/drawing/2014/chart" uri="{C3380CC4-5D6E-409C-BE32-E72D297353CC}">
              <c16:uniqueId val="{00000002-697F-49EE-89A5-4578C288605C}"/>
            </c:ext>
          </c:extLst>
        </c:ser>
        <c:ser>
          <c:idx val="2"/>
          <c:order val="2"/>
          <c:tx>
            <c:strRef>
              <c:f>Sheet4!$F$52</c:f>
              <c:strCache>
                <c:ptCount val="1"/>
                <c:pt idx="0">
                  <c:v>2020 Q2</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Sheet4!$B$53:$B$56</c:f>
              <c:strCache>
                <c:ptCount val="4"/>
                <c:pt idx="0">
                  <c:v>Vacation, public or religious holidays</c:v>
                </c:pt>
                <c:pt idx="1">
                  <c:v>Illness, injury or temporary incapacity</c:v>
                </c:pt>
                <c:pt idx="2">
                  <c:v>Decreased volume of work due to technical or economic reasons</c:v>
                </c:pt>
                <c:pt idx="3">
                  <c:v>Other</c:v>
                </c:pt>
              </c:strCache>
            </c:strRef>
          </c:cat>
          <c:val>
            <c:numRef>
              <c:f>Sheet4!$F$53:$F$56</c:f>
              <c:numCache>
                <c:formatCode>#,##0</c:formatCode>
                <c:ptCount val="4"/>
                <c:pt idx="0">
                  <c:v>25900</c:v>
                </c:pt>
                <c:pt idx="1">
                  <c:v>32800</c:v>
                </c:pt>
                <c:pt idx="2">
                  <c:v>204200</c:v>
                </c:pt>
                <c:pt idx="3">
                  <c:v>42700</c:v>
                </c:pt>
              </c:numCache>
            </c:numRef>
          </c:val>
          <c:extLst>
            <c:ext xmlns:c16="http://schemas.microsoft.com/office/drawing/2014/chart" uri="{C3380CC4-5D6E-409C-BE32-E72D297353CC}">
              <c16:uniqueId val="{00000003-697F-49EE-89A5-4578C288605C}"/>
            </c:ext>
          </c:extLst>
        </c:ser>
        <c:dLbls>
          <c:dLblPos val="inEnd"/>
          <c:showLegendKey val="0"/>
          <c:showVal val="1"/>
          <c:showCatName val="0"/>
          <c:showSerName val="0"/>
          <c:showPercent val="0"/>
          <c:showBubbleSize val="0"/>
        </c:dLbls>
        <c:gapWidth val="77"/>
        <c:axId val="878906207"/>
        <c:axId val="916349135"/>
      </c:barChart>
      <c:catAx>
        <c:axId val="878906207"/>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916349135"/>
        <c:crosses val="autoZero"/>
        <c:auto val="1"/>
        <c:lblAlgn val="ctr"/>
        <c:lblOffset val="100"/>
        <c:noMultiLvlLbl val="0"/>
      </c:catAx>
      <c:valAx>
        <c:axId val="916349135"/>
        <c:scaling>
          <c:orientation val="minMax"/>
        </c:scaling>
        <c:delete val="1"/>
        <c:axPos val="l"/>
        <c:numFmt formatCode="#,##0" sourceLinked="1"/>
        <c:majorTickMark val="out"/>
        <c:minorTickMark val="none"/>
        <c:tickLblPos val="nextTo"/>
        <c:crossAx val="878906207"/>
        <c:crosses val="autoZero"/>
        <c:crossBetween val="between"/>
      </c:valAx>
      <c:spPr>
        <a:noFill/>
        <a:ln>
          <a:noFill/>
        </a:ln>
        <a:effectLst/>
      </c:spPr>
    </c:plotArea>
    <c:legend>
      <c:legendPos val="t"/>
      <c:layout>
        <c:manualLayout>
          <c:xMode val="edge"/>
          <c:yMode val="edge"/>
          <c:x val="2.0005660296894202E-2"/>
          <c:y val="0.31058128223482556"/>
          <c:w val="0.30852164374975516"/>
          <c:h val="6.888728908886389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E745-7630-4FC2-8AFD-B82B8B8E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5</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Savkovic</dc:creator>
  <cp:keywords/>
  <dc:description/>
  <cp:lastModifiedBy>Dragana Steljic</cp:lastModifiedBy>
  <cp:revision>106</cp:revision>
  <cp:lastPrinted>2019-09-02T08:23:00Z</cp:lastPrinted>
  <dcterms:created xsi:type="dcterms:W3CDTF">2020-08-13T09:31:00Z</dcterms:created>
  <dcterms:modified xsi:type="dcterms:W3CDTF">2020-08-31T07:55:00Z</dcterms:modified>
</cp:coreProperties>
</file>