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DD0176" w:rsidRPr="00CE0792" w14:paraId="57E1AA13" w14:textId="77777777">
        <w:trPr>
          <w:cantSplit/>
          <w:trHeight w:val="631"/>
          <w:jc w:val="center"/>
        </w:trPr>
        <w:tc>
          <w:tcPr>
            <w:tcW w:w="812" w:type="pct"/>
            <w:tcBorders>
              <w:top w:val="single" w:sz="12" w:space="0" w:color="808080"/>
              <w:left w:val="nil"/>
              <w:bottom w:val="nil"/>
            </w:tcBorders>
            <w:vAlign w:val="center"/>
          </w:tcPr>
          <w:p w14:paraId="4C4675F6" w14:textId="77777777" w:rsidR="00E719E6" w:rsidRPr="00CE0792" w:rsidRDefault="003A287B" w:rsidP="00830017">
            <w:pPr>
              <w:rPr>
                <w:rFonts w:ascii="Arial" w:hAnsi="Arial" w:cs="Arial"/>
                <w:sz w:val="20"/>
                <w:szCs w:val="20"/>
              </w:rPr>
            </w:pPr>
            <w:r w:rsidRPr="00CE0792">
              <w:rPr>
                <w:rFonts w:ascii="Arial" w:hAnsi="Arial" w:cs="Arial"/>
                <w:noProof/>
                <w:sz w:val="20"/>
                <w:szCs w:val="20"/>
                <w:lang w:val="en-US"/>
              </w:rPr>
              <w:drawing>
                <wp:anchor distT="0" distB="0" distL="114300" distR="114300" simplePos="0" relativeHeight="251657216" behindDoc="0" locked="0" layoutInCell="1" allowOverlap="1" wp14:anchorId="33E51F23" wp14:editId="77E857CE">
                  <wp:simplePos x="0" y="0"/>
                  <wp:positionH relativeFrom="character">
                    <wp:posOffset>0</wp:posOffset>
                  </wp:positionH>
                  <wp:positionV relativeFrom="line">
                    <wp:posOffset>0</wp:posOffset>
                  </wp:positionV>
                  <wp:extent cx="904875" cy="219075"/>
                  <wp:effectExtent l="0" t="0" r="9525" b="9525"/>
                  <wp:wrapNone/>
                  <wp:docPr id="6"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anchor>
              </w:drawing>
            </w:r>
            <w:r w:rsidR="00F51480">
              <w:rPr>
                <w:rFonts w:ascii="Arial" w:hAnsi="Arial" w:cs="Arial"/>
                <w:sz w:val="20"/>
                <w:szCs w:val="20"/>
              </w:rPr>
            </w:r>
            <w:r w:rsidR="00F51480">
              <w:rPr>
                <w:rFonts w:ascii="Arial" w:hAnsi="Arial" w:cs="Arial"/>
                <w:sz w:val="20"/>
                <w:szCs w:val="20"/>
              </w:rPr>
              <w:pict w14:anchorId="120D96D6">
                <v:rect id="AutoShape 1" o:spid="_x0000_s1026" style="width:71.45pt;height:17.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2559" w:type="pct"/>
            <w:tcBorders>
              <w:top w:val="single" w:sz="12" w:space="0" w:color="808080"/>
              <w:left w:val="nil"/>
              <w:bottom w:val="nil"/>
            </w:tcBorders>
            <w:vAlign w:val="center"/>
          </w:tcPr>
          <w:p w14:paraId="136813BE" w14:textId="13CE44AA" w:rsidR="00F51480" w:rsidRPr="00CE0792" w:rsidRDefault="00B52B56" w:rsidP="00830017">
            <w:pPr>
              <w:rPr>
                <w:rFonts w:ascii="Arial" w:hAnsi="Arial" w:cs="Arial"/>
                <w:sz w:val="20"/>
                <w:szCs w:val="20"/>
              </w:rPr>
            </w:pPr>
            <w:r w:rsidRPr="00CE0792">
              <w:rPr>
                <w:rFonts w:ascii="Arial" w:hAnsi="Arial" w:cs="Arial"/>
                <w:sz w:val="20"/>
                <w:szCs w:val="20"/>
              </w:rPr>
              <w:t xml:space="preserve">Statistical Office of the </w:t>
            </w:r>
            <w:smartTag w:uri="urn:schemas-microsoft-com:office:smarttags" w:element="PlaceType">
              <w:r w:rsidRPr="00CE0792">
                <w:rPr>
                  <w:rFonts w:ascii="Arial" w:hAnsi="Arial" w:cs="Arial"/>
                  <w:sz w:val="20"/>
                  <w:szCs w:val="20"/>
                </w:rPr>
                <w:t>Republic</w:t>
              </w:r>
            </w:smartTag>
            <w:r w:rsidRPr="00CE0792">
              <w:rPr>
                <w:rFonts w:ascii="Arial" w:hAnsi="Arial" w:cs="Arial"/>
                <w:sz w:val="20"/>
                <w:szCs w:val="20"/>
              </w:rPr>
              <w:t xml:space="preserve"> of Serbia</w:t>
            </w:r>
          </w:p>
        </w:tc>
        <w:tc>
          <w:tcPr>
            <w:tcW w:w="0" w:type="auto"/>
            <w:tcBorders>
              <w:top w:val="single" w:sz="12" w:space="0" w:color="808080"/>
              <w:bottom w:val="nil"/>
              <w:right w:val="nil"/>
            </w:tcBorders>
            <w:vAlign w:val="center"/>
          </w:tcPr>
          <w:p w14:paraId="1ACA245C" w14:textId="77777777" w:rsidR="00E719E6" w:rsidRPr="00CE0792" w:rsidRDefault="00E719E6" w:rsidP="00830017">
            <w:pPr>
              <w:jc w:val="right"/>
              <w:rPr>
                <w:rFonts w:ascii="Arial" w:hAnsi="Arial" w:cs="Arial"/>
                <w:b/>
                <w:sz w:val="20"/>
                <w:szCs w:val="20"/>
              </w:rPr>
            </w:pPr>
            <w:r w:rsidRPr="00CE0792">
              <w:rPr>
                <w:rFonts w:ascii="Arial" w:hAnsi="Arial" w:cs="Arial"/>
                <w:sz w:val="20"/>
                <w:szCs w:val="20"/>
              </w:rPr>
              <w:t>ISSN 0353-9555</w:t>
            </w:r>
          </w:p>
        </w:tc>
      </w:tr>
      <w:tr w:rsidR="00DD0176" w:rsidRPr="00CE0792" w14:paraId="50840439" w14:textId="77777777">
        <w:trPr>
          <w:cantSplit/>
          <w:trHeight w:val="836"/>
          <w:jc w:val="center"/>
        </w:trPr>
        <w:tc>
          <w:tcPr>
            <w:tcW w:w="0" w:type="auto"/>
            <w:gridSpan w:val="2"/>
            <w:tcBorders>
              <w:top w:val="nil"/>
              <w:left w:val="nil"/>
              <w:right w:val="nil"/>
            </w:tcBorders>
            <w:vAlign w:val="center"/>
          </w:tcPr>
          <w:p w14:paraId="07466DC7" w14:textId="77777777" w:rsidR="00E719E6" w:rsidRPr="00F51480" w:rsidRDefault="00F36C92" w:rsidP="00830017">
            <w:pPr>
              <w:rPr>
                <w:rFonts w:ascii="Arial" w:hAnsi="Arial" w:cs="Arial"/>
                <w:color w:val="808080"/>
                <w:szCs w:val="20"/>
              </w:rPr>
            </w:pPr>
            <w:r w:rsidRPr="00F51480">
              <w:rPr>
                <w:rFonts w:ascii="Arial" w:hAnsi="Arial" w:cs="Arial"/>
                <w:b/>
                <w:color w:val="808080"/>
                <w:sz w:val="48"/>
                <w:szCs w:val="48"/>
              </w:rPr>
              <w:t xml:space="preserve">Statistical release </w:t>
            </w:r>
          </w:p>
        </w:tc>
        <w:tc>
          <w:tcPr>
            <w:tcW w:w="0" w:type="auto"/>
            <w:tcBorders>
              <w:top w:val="nil"/>
              <w:left w:val="nil"/>
              <w:right w:val="nil"/>
            </w:tcBorders>
            <w:shd w:val="clear" w:color="auto" w:fill="auto"/>
            <w:vAlign w:val="center"/>
          </w:tcPr>
          <w:p w14:paraId="33EE1AB9" w14:textId="77777777" w:rsidR="00E719E6" w:rsidRPr="00F51480" w:rsidRDefault="0070380F" w:rsidP="00830017">
            <w:pPr>
              <w:jc w:val="right"/>
              <w:rPr>
                <w:rFonts w:ascii="Arial" w:hAnsi="Arial" w:cs="Arial"/>
                <w:b/>
                <w:color w:val="808080"/>
                <w:sz w:val="12"/>
              </w:rPr>
            </w:pPr>
            <w:r w:rsidRPr="00F51480">
              <w:rPr>
                <w:rFonts w:ascii="Arial" w:hAnsi="Arial" w:cs="Arial"/>
                <w:b/>
                <w:bCs/>
                <w:color w:val="808080"/>
                <w:sz w:val="48"/>
                <w:szCs w:val="48"/>
              </w:rPr>
              <w:t>SN60</w:t>
            </w:r>
          </w:p>
        </w:tc>
      </w:tr>
      <w:tr w:rsidR="00DD0176" w:rsidRPr="00CE0792" w14:paraId="214F42C2" w14:textId="77777777">
        <w:trPr>
          <w:cantSplit/>
          <w:trHeight w:hRule="exact" w:val="279"/>
          <w:jc w:val="center"/>
        </w:trPr>
        <w:tc>
          <w:tcPr>
            <w:tcW w:w="0" w:type="auto"/>
            <w:gridSpan w:val="2"/>
            <w:tcBorders>
              <w:top w:val="nil"/>
              <w:left w:val="nil"/>
              <w:bottom w:val="nil"/>
              <w:right w:val="nil"/>
            </w:tcBorders>
            <w:vAlign w:val="center"/>
          </w:tcPr>
          <w:p w14:paraId="73A2D073" w14:textId="77777777" w:rsidR="00E719E6" w:rsidRPr="00CE0792" w:rsidRDefault="00B52B56" w:rsidP="00A069D5">
            <w:pPr>
              <w:rPr>
                <w:rFonts w:ascii="Arial" w:hAnsi="Arial" w:cs="Arial"/>
                <w:sz w:val="20"/>
                <w:szCs w:val="20"/>
              </w:rPr>
            </w:pPr>
            <w:r w:rsidRPr="00CE0792">
              <w:rPr>
                <w:rFonts w:ascii="Arial" w:hAnsi="Arial" w:cs="Arial"/>
                <w:sz w:val="20"/>
                <w:szCs w:val="20"/>
              </w:rPr>
              <w:t xml:space="preserve">Number </w:t>
            </w:r>
            <w:r w:rsidR="00A069D5" w:rsidRPr="00CE0792">
              <w:rPr>
                <w:rFonts w:ascii="Arial" w:hAnsi="Arial" w:cs="Arial"/>
              </w:rPr>
              <w:t>191</w:t>
            </w:r>
            <w:r w:rsidR="00E719E6" w:rsidRPr="00CE0792">
              <w:rPr>
                <w:rFonts w:ascii="Arial" w:hAnsi="Arial" w:cs="Arial"/>
                <w:sz w:val="20"/>
                <w:szCs w:val="20"/>
              </w:rPr>
              <w:t xml:space="preserve"> - </w:t>
            </w:r>
            <w:r w:rsidR="007B44C6" w:rsidRPr="00CE0792">
              <w:rPr>
                <w:rFonts w:ascii="Arial" w:hAnsi="Arial" w:cs="Arial"/>
                <w:sz w:val="20"/>
                <w:szCs w:val="20"/>
              </w:rPr>
              <w:t xml:space="preserve">Year </w:t>
            </w:r>
            <w:r w:rsidR="00E719E6" w:rsidRPr="00CE0792">
              <w:rPr>
                <w:rFonts w:ascii="Arial" w:hAnsi="Arial" w:cs="Arial"/>
                <w:sz w:val="20"/>
                <w:szCs w:val="20"/>
              </w:rPr>
              <w:t>LX</w:t>
            </w:r>
            <w:r w:rsidR="00597742" w:rsidRPr="00CE0792">
              <w:rPr>
                <w:rFonts w:ascii="Arial" w:hAnsi="Arial" w:cs="Arial"/>
                <w:sz w:val="20"/>
                <w:szCs w:val="20"/>
              </w:rPr>
              <w:t>X</w:t>
            </w:r>
            <w:r w:rsidR="00E719E6" w:rsidRPr="00CE0792">
              <w:rPr>
                <w:rFonts w:ascii="Arial" w:hAnsi="Arial" w:cs="Arial"/>
                <w:sz w:val="20"/>
                <w:szCs w:val="20"/>
              </w:rPr>
              <w:t xml:space="preserve">, </w:t>
            </w:r>
            <w:r w:rsidR="00A069D5" w:rsidRPr="00CE0792">
              <w:rPr>
                <w:rFonts w:ascii="Arial" w:hAnsi="Arial" w:cs="Arial"/>
                <w:sz w:val="20"/>
                <w:szCs w:val="20"/>
              </w:rPr>
              <w:t>10/07/</w:t>
            </w:r>
            <w:r w:rsidR="007E7C63" w:rsidRPr="00CE0792">
              <w:rPr>
                <w:rFonts w:ascii="Arial" w:hAnsi="Arial" w:cs="Arial"/>
                <w:sz w:val="20"/>
                <w:szCs w:val="20"/>
              </w:rPr>
              <w:t>2020</w:t>
            </w:r>
          </w:p>
        </w:tc>
        <w:tc>
          <w:tcPr>
            <w:tcW w:w="0" w:type="auto"/>
            <w:tcBorders>
              <w:left w:val="nil"/>
              <w:bottom w:val="nil"/>
              <w:right w:val="nil"/>
            </w:tcBorders>
            <w:shd w:val="clear" w:color="auto" w:fill="auto"/>
            <w:vAlign w:val="center"/>
          </w:tcPr>
          <w:p w14:paraId="4823D280" w14:textId="77777777" w:rsidR="00E719E6" w:rsidRPr="00CE0792" w:rsidRDefault="00E719E6" w:rsidP="00830017">
            <w:pPr>
              <w:jc w:val="right"/>
              <w:rPr>
                <w:rFonts w:ascii="Arial" w:hAnsi="Arial" w:cs="Arial"/>
                <w:b/>
                <w:sz w:val="20"/>
                <w:szCs w:val="20"/>
              </w:rPr>
            </w:pPr>
          </w:p>
        </w:tc>
      </w:tr>
      <w:tr w:rsidR="004878DB" w:rsidRPr="00CE0792" w14:paraId="38C1A533" w14:textId="77777777">
        <w:trPr>
          <w:cantSplit/>
          <w:trHeight w:val="411"/>
          <w:jc w:val="center"/>
        </w:trPr>
        <w:tc>
          <w:tcPr>
            <w:tcW w:w="0" w:type="auto"/>
            <w:gridSpan w:val="2"/>
            <w:tcBorders>
              <w:top w:val="nil"/>
              <w:left w:val="nil"/>
              <w:bottom w:val="single" w:sz="12" w:space="0" w:color="808080"/>
              <w:right w:val="nil"/>
            </w:tcBorders>
            <w:vAlign w:val="center"/>
          </w:tcPr>
          <w:p w14:paraId="78C0C02D" w14:textId="77777777" w:rsidR="00E719E6" w:rsidRPr="00CE0792" w:rsidRDefault="0070380F" w:rsidP="00E719E6">
            <w:pPr>
              <w:rPr>
                <w:rFonts w:ascii="Arial" w:hAnsi="Arial" w:cs="Arial"/>
                <w:b/>
                <w:bCs/>
              </w:rPr>
            </w:pPr>
            <w:r w:rsidRPr="00CE0792">
              <w:rPr>
                <w:rFonts w:ascii="Arial" w:hAnsi="Arial" w:cs="Arial"/>
                <w:b/>
                <w:bCs/>
              </w:rPr>
              <w:t>Population statistics</w:t>
            </w:r>
          </w:p>
        </w:tc>
        <w:tc>
          <w:tcPr>
            <w:tcW w:w="0" w:type="auto"/>
            <w:tcBorders>
              <w:top w:val="nil"/>
              <w:left w:val="nil"/>
              <w:bottom w:val="single" w:sz="12" w:space="0" w:color="808080"/>
              <w:right w:val="nil"/>
            </w:tcBorders>
            <w:vAlign w:val="center"/>
          </w:tcPr>
          <w:p w14:paraId="159964ED" w14:textId="17EAA17D" w:rsidR="00E719E6" w:rsidRPr="00CE0792" w:rsidRDefault="004963C3" w:rsidP="007E7C63">
            <w:pPr>
              <w:jc w:val="right"/>
              <w:rPr>
                <w:rFonts w:ascii="Arial" w:hAnsi="Arial" w:cs="Arial"/>
                <w:b/>
                <w:szCs w:val="20"/>
              </w:rPr>
            </w:pPr>
            <w:r w:rsidRPr="00CE0792">
              <w:rPr>
                <w:rFonts w:ascii="Arial" w:hAnsi="Arial" w:cs="Arial"/>
                <w:szCs w:val="20"/>
              </w:rPr>
              <w:t>S</w:t>
            </w:r>
            <w:r w:rsidR="008D02A7" w:rsidRPr="00CE0792">
              <w:rPr>
                <w:rFonts w:ascii="Arial" w:hAnsi="Arial" w:cs="Arial"/>
                <w:szCs w:val="20"/>
              </w:rPr>
              <w:t>E</w:t>
            </w:r>
            <w:r w:rsidRPr="00CE0792">
              <w:rPr>
                <w:rFonts w:ascii="Arial" w:hAnsi="Arial" w:cs="Arial"/>
                <w:szCs w:val="20"/>
              </w:rPr>
              <w:t>RB</w:t>
            </w:r>
            <w:r w:rsidR="007E7C63" w:rsidRPr="00CE0792">
              <w:rPr>
                <w:rFonts w:ascii="Arial" w:hAnsi="Arial" w:cs="Arial"/>
                <w:szCs w:val="20"/>
              </w:rPr>
              <w:t>191</w:t>
            </w:r>
            <w:r w:rsidR="004F05A5">
              <w:rPr>
                <w:rFonts w:ascii="Arial" w:hAnsi="Arial" w:cs="Arial"/>
                <w:szCs w:val="20"/>
              </w:rPr>
              <w:t xml:space="preserve"> </w:t>
            </w:r>
            <w:r w:rsidR="0070380F" w:rsidRPr="00CE0792">
              <w:rPr>
                <w:rFonts w:ascii="Arial" w:hAnsi="Arial" w:cs="Arial"/>
                <w:szCs w:val="20"/>
              </w:rPr>
              <w:t xml:space="preserve">SN60 </w:t>
            </w:r>
            <w:r w:rsidR="007E7C63" w:rsidRPr="00CE0792">
              <w:rPr>
                <w:rFonts w:ascii="Arial" w:hAnsi="Arial" w:cs="Arial"/>
                <w:szCs w:val="20"/>
              </w:rPr>
              <w:t>100720</w:t>
            </w:r>
          </w:p>
        </w:tc>
      </w:tr>
    </w:tbl>
    <w:p w14:paraId="77EB6BD7" w14:textId="77777777" w:rsidR="00E719E6" w:rsidRPr="00CE0792" w:rsidRDefault="00E719E6" w:rsidP="00BE39A5">
      <w:pPr>
        <w:rPr>
          <w:rFonts w:ascii="Arial" w:hAnsi="Arial" w:cs="Arial"/>
          <w:b/>
          <w:sz w:val="20"/>
          <w:szCs w:val="20"/>
        </w:rPr>
      </w:pPr>
    </w:p>
    <w:p w14:paraId="1D9520E7" w14:textId="77777777" w:rsidR="002A2706" w:rsidRPr="00CE0792" w:rsidRDefault="002A2706" w:rsidP="00EA5BDA">
      <w:pPr>
        <w:jc w:val="center"/>
        <w:rPr>
          <w:rFonts w:ascii="Arial" w:hAnsi="Arial" w:cs="Arial"/>
          <w:b/>
        </w:rPr>
      </w:pPr>
    </w:p>
    <w:p w14:paraId="7D1BF2E4" w14:textId="77777777" w:rsidR="00E23526" w:rsidRPr="00CE0792" w:rsidRDefault="00881DC4" w:rsidP="00EA5BDA">
      <w:pPr>
        <w:jc w:val="center"/>
        <w:rPr>
          <w:rFonts w:ascii="Arial" w:hAnsi="Arial" w:cs="Arial"/>
          <w:b/>
        </w:rPr>
      </w:pPr>
      <w:r w:rsidRPr="00CE0792">
        <w:rPr>
          <w:rFonts w:ascii="Arial" w:hAnsi="Arial" w:cs="Arial"/>
          <w:b/>
        </w:rPr>
        <w:t>Internal migration, 201</w:t>
      </w:r>
      <w:r w:rsidR="0007512F" w:rsidRPr="00CE0792">
        <w:rPr>
          <w:rFonts w:ascii="Arial" w:hAnsi="Arial" w:cs="Arial"/>
          <w:b/>
        </w:rPr>
        <w:t>9</w:t>
      </w:r>
      <w:bookmarkStart w:id="0" w:name="_GoBack"/>
      <w:bookmarkEnd w:id="0"/>
    </w:p>
    <w:p w14:paraId="3441FEC7" w14:textId="77777777" w:rsidR="00EC7C96" w:rsidRPr="00CE0792" w:rsidRDefault="00EC7C96" w:rsidP="003E66D4">
      <w:pPr>
        <w:rPr>
          <w:rFonts w:ascii="Arial" w:hAnsi="Arial" w:cs="Arial"/>
          <w:b/>
        </w:rPr>
      </w:pPr>
    </w:p>
    <w:p w14:paraId="62D7EC23" w14:textId="77777777" w:rsidR="00045E3B" w:rsidRPr="00CE0792" w:rsidRDefault="00045E3B" w:rsidP="003F2F8E">
      <w:pPr>
        <w:spacing w:before="120" w:after="120"/>
        <w:jc w:val="both"/>
        <w:rPr>
          <w:rFonts w:ascii="Arial" w:hAnsi="Arial" w:cs="Arial"/>
          <w:sz w:val="20"/>
          <w:szCs w:val="20"/>
        </w:rPr>
      </w:pPr>
      <w:r w:rsidRPr="00CE0792">
        <w:rPr>
          <w:rFonts w:ascii="Arial" w:hAnsi="Arial" w:cs="Arial"/>
          <w:sz w:val="20"/>
          <w:szCs w:val="20"/>
        </w:rPr>
        <w:t>In 201</w:t>
      </w:r>
      <w:r w:rsidR="0007512F" w:rsidRPr="00CE0792">
        <w:rPr>
          <w:rFonts w:ascii="Arial" w:hAnsi="Arial" w:cs="Arial"/>
          <w:sz w:val="20"/>
          <w:szCs w:val="20"/>
        </w:rPr>
        <w:t>9</w:t>
      </w:r>
      <w:r w:rsidRPr="00CE0792">
        <w:rPr>
          <w:rFonts w:ascii="Arial" w:hAnsi="Arial" w:cs="Arial"/>
          <w:sz w:val="20"/>
          <w:szCs w:val="20"/>
        </w:rPr>
        <w:t xml:space="preserve"> there were 12</w:t>
      </w:r>
      <w:r w:rsidR="0007512F" w:rsidRPr="00CE0792">
        <w:rPr>
          <w:rFonts w:ascii="Arial" w:hAnsi="Arial" w:cs="Arial"/>
          <w:sz w:val="20"/>
          <w:szCs w:val="20"/>
        </w:rPr>
        <w:t>7421</w:t>
      </w:r>
      <w:r w:rsidRPr="00CE0792">
        <w:rPr>
          <w:rFonts w:ascii="Arial" w:hAnsi="Arial" w:cs="Arial"/>
          <w:sz w:val="20"/>
          <w:szCs w:val="20"/>
        </w:rPr>
        <w:t xml:space="preserve"> persons who changed residence, i.e. moved permanently from o</w:t>
      </w:r>
      <w:r w:rsidR="000E58C0" w:rsidRPr="00CE0792">
        <w:rPr>
          <w:rFonts w:ascii="Arial" w:hAnsi="Arial" w:cs="Arial"/>
          <w:sz w:val="20"/>
          <w:szCs w:val="20"/>
        </w:rPr>
        <w:t>ne to another place (settlement</w:t>
      </w:r>
      <w:r w:rsidRPr="00CE0792">
        <w:rPr>
          <w:rFonts w:ascii="Arial" w:hAnsi="Arial" w:cs="Arial"/>
          <w:sz w:val="20"/>
          <w:szCs w:val="20"/>
        </w:rPr>
        <w:t xml:space="preserve">) in the Republic of </w:t>
      </w:r>
      <w:r w:rsidR="008B50E6" w:rsidRPr="00CE0792">
        <w:rPr>
          <w:rFonts w:ascii="Arial" w:hAnsi="Arial" w:cs="Arial"/>
          <w:sz w:val="20"/>
          <w:szCs w:val="20"/>
        </w:rPr>
        <w:t>Serbia. The</w:t>
      </w:r>
      <w:r w:rsidRPr="00CE0792">
        <w:rPr>
          <w:rFonts w:ascii="Arial" w:hAnsi="Arial" w:cs="Arial"/>
          <w:sz w:val="20"/>
          <w:szCs w:val="20"/>
        </w:rPr>
        <w:t xml:space="preserve"> average age of persons who changed residence was 34.</w:t>
      </w:r>
      <w:r w:rsidR="0007512F" w:rsidRPr="00CE0792">
        <w:rPr>
          <w:rFonts w:ascii="Arial" w:hAnsi="Arial" w:cs="Arial"/>
          <w:sz w:val="20"/>
          <w:szCs w:val="20"/>
        </w:rPr>
        <w:t>4</w:t>
      </w:r>
      <w:r w:rsidRPr="00CE0792">
        <w:rPr>
          <w:rFonts w:ascii="Arial" w:hAnsi="Arial" w:cs="Arial"/>
          <w:sz w:val="20"/>
          <w:szCs w:val="20"/>
        </w:rPr>
        <w:t xml:space="preserve"> years (34.8 for men and 3</w:t>
      </w:r>
      <w:r w:rsidR="0007512F" w:rsidRPr="00CE0792">
        <w:rPr>
          <w:rFonts w:ascii="Arial" w:hAnsi="Arial" w:cs="Arial"/>
          <w:sz w:val="20"/>
          <w:szCs w:val="20"/>
        </w:rPr>
        <w:t>4</w:t>
      </w:r>
      <w:r w:rsidRPr="00CE0792">
        <w:rPr>
          <w:rFonts w:ascii="Arial" w:hAnsi="Arial" w:cs="Arial"/>
          <w:sz w:val="20"/>
          <w:szCs w:val="20"/>
        </w:rPr>
        <w:t>.</w:t>
      </w:r>
      <w:r w:rsidR="0007512F" w:rsidRPr="00CE0792">
        <w:rPr>
          <w:rFonts w:ascii="Arial" w:hAnsi="Arial" w:cs="Arial"/>
          <w:sz w:val="20"/>
          <w:szCs w:val="20"/>
        </w:rPr>
        <w:t>0</w:t>
      </w:r>
      <w:r w:rsidRPr="00CE0792">
        <w:rPr>
          <w:rFonts w:ascii="Arial" w:hAnsi="Arial" w:cs="Arial"/>
          <w:sz w:val="20"/>
          <w:szCs w:val="20"/>
        </w:rPr>
        <w:t xml:space="preserve"> for women). </w:t>
      </w:r>
    </w:p>
    <w:p w14:paraId="108ADE5F" w14:textId="77777777" w:rsidR="00045E3B" w:rsidRPr="00CE0792" w:rsidRDefault="00045E3B" w:rsidP="003F2F8E">
      <w:pPr>
        <w:spacing w:before="120" w:after="120"/>
        <w:jc w:val="both"/>
        <w:rPr>
          <w:rFonts w:ascii="Arial" w:hAnsi="Arial" w:cs="Arial"/>
          <w:sz w:val="20"/>
          <w:szCs w:val="20"/>
        </w:rPr>
      </w:pPr>
      <w:r w:rsidRPr="00CE0792">
        <w:rPr>
          <w:rFonts w:ascii="Arial" w:hAnsi="Arial" w:cs="Arial"/>
          <w:sz w:val="20"/>
          <w:szCs w:val="20"/>
        </w:rPr>
        <w:t>Looking at the regions of the Republic of Serbia, the Beogradski region and Region Vojvodine had a positive migration balance in 201</w:t>
      </w:r>
      <w:r w:rsidR="0007512F" w:rsidRPr="00CE0792">
        <w:rPr>
          <w:rFonts w:ascii="Arial" w:hAnsi="Arial" w:cs="Arial"/>
          <w:sz w:val="20"/>
          <w:szCs w:val="20"/>
        </w:rPr>
        <w:t>9</w:t>
      </w:r>
      <w:r w:rsidRPr="00CE0792">
        <w:rPr>
          <w:rFonts w:ascii="Arial" w:hAnsi="Arial" w:cs="Arial"/>
          <w:sz w:val="20"/>
          <w:szCs w:val="20"/>
        </w:rPr>
        <w:t>.</w:t>
      </w:r>
    </w:p>
    <w:p w14:paraId="3A81AC51" w14:textId="77777777" w:rsidR="00045E3B" w:rsidRPr="00CE0792" w:rsidRDefault="00045E3B" w:rsidP="003F2F8E">
      <w:pPr>
        <w:spacing w:before="120" w:after="120"/>
        <w:jc w:val="both"/>
        <w:rPr>
          <w:rFonts w:ascii="Arial" w:hAnsi="Arial" w:cs="Arial"/>
          <w:sz w:val="20"/>
          <w:szCs w:val="20"/>
        </w:rPr>
      </w:pPr>
      <w:r w:rsidRPr="00CE0792">
        <w:rPr>
          <w:rFonts w:ascii="Arial" w:hAnsi="Arial" w:cs="Arial"/>
          <w:sz w:val="20"/>
          <w:szCs w:val="20"/>
        </w:rPr>
        <w:t>In 201</w:t>
      </w:r>
      <w:r w:rsidR="0007512F" w:rsidRPr="00CE0792">
        <w:rPr>
          <w:rFonts w:ascii="Arial" w:hAnsi="Arial" w:cs="Arial"/>
          <w:sz w:val="20"/>
          <w:szCs w:val="20"/>
        </w:rPr>
        <w:t>9, in the Republic of Serbia,</w:t>
      </w:r>
      <w:r w:rsidRPr="00CE0792">
        <w:rPr>
          <w:rFonts w:ascii="Arial" w:hAnsi="Arial" w:cs="Arial"/>
          <w:sz w:val="20"/>
          <w:szCs w:val="20"/>
        </w:rPr>
        <w:t xml:space="preserve"> most of the persons moved from one municipality/</w:t>
      </w:r>
      <w:r w:rsidR="0067490B" w:rsidRPr="00CE0792">
        <w:rPr>
          <w:rFonts w:ascii="Arial" w:hAnsi="Arial" w:cs="Arial"/>
          <w:sz w:val="20"/>
          <w:szCs w:val="20"/>
        </w:rPr>
        <w:t>city</w:t>
      </w:r>
      <w:r w:rsidRPr="00CE0792">
        <w:rPr>
          <w:rFonts w:ascii="Arial" w:hAnsi="Arial" w:cs="Arial"/>
          <w:sz w:val="20"/>
          <w:szCs w:val="20"/>
        </w:rPr>
        <w:t xml:space="preserve"> to another with</w:t>
      </w:r>
      <w:r w:rsidR="00187818" w:rsidRPr="00CE0792">
        <w:rPr>
          <w:rFonts w:ascii="Arial" w:hAnsi="Arial" w:cs="Arial"/>
          <w:sz w:val="20"/>
          <w:szCs w:val="20"/>
        </w:rPr>
        <w:t>in the same area (3</w:t>
      </w:r>
      <w:r w:rsidR="0007512F" w:rsidRPr="00CE0792">
        <w:rPr>
          <w:rFonts w:ascii="Arial" w:hAnsi="Arial" w:cs="Arial"/>
          <w:sz w:val="20"/>
          <w:szCs w:val="20"/>
        </w:rPr>
        <w:t>8</w:t>
      </w:r>
      <w:r w:rsidR="00187818" w:rsidRPr="00CE0792">
        <w:rPr>
          <w:rFonts w:ascii="Arial" w:hAnsi="Arial" w:cs="Arial"/>
          <w:sz w:val="20"/>
          <w:szCs w:val="20"/>
        </w:rPr>
        <w:t>.</w:t>
      </w:r>
      <w:r w:rsidR="0007512F" w:rsidRPr="00CE0792">
        <w:rPr>
          <w:rFonts w:ascii="Arial" w:hAnsi="Arial" w:cs="Arial"/>
          <w:sz w:val="20"/>
          <w:szCs w:val="20"/>
        </w:rPr>
        <w:t>3</w:t>
      </w:r>
      <w:r w:rsidR="00187818" w:rsidRPr="00CE0792">
        <w:rPr>
          <w:rFonts w:ascii="Arial" w:hAnsi="Arial" w:cs="Arial"/>
          <w:sz w:val="20"/>
          <w:szCs w:val="20"/>
        </w:rPr>
        <w:t xml:space="preserve">%), and </w:t>
      </w:r>
      <w:r w:rsidR="00CE0792" w:rsidRPr="00CE0792">
        <w:rPr>
          <w:rFonts w:ascii="Arial" w:hAnsi="Arial" w:cs="Arial"/>
          <w:sz w:val="20"/>
          <w:szCs w:val="20"/>
        </w:rPr>
        <w:t>the</w:t>
      </w:r>
      <w:r w:rsidR="00187818" w:rsidRPr="00CE0792">
        <w:rPr>
          <w:rFonts w:ascii="Arial" w:hAnsi="Arial" w:cs="Arial"/>
          <w:sz w:val="20"/>
          <w:szCs w:val="20"/>
        </w:rPr>
        <w:t xml:space="preserve"> </w:t>
      </w:r>
      <w:r w:rsidR="00CE0792" w:rsidRPr="00CE0792">
        <w:rPr>
          <w:rFonts w:ascii="Arial" w:hAnsi="Arial" w:cs="Arial"/>
          <w:sz w:val="20"/>
          <w:szCs w:val="20"/>
        </w:rPr>
        <w:t xml:space="preserve">smallest number of persons moved </w:t>
      </w:r>
      <w:r w:rsidRPr="00CE0792">
        <w:rPr>
          <w:rFonts w:ascii="Arial" w:hAnsi="Arial" w:cs="Arial"/>
          <w:sz w:val="20"/>
          <w:szCs w:val="20"/>
        </w:rPr>
        <w:t xml:space="preserve">from one </w:t>
      </w:r>
      <w:r w:rsidR="00CE0792" w:rsidRPr="00CE0792">
        <w:rPr>
          <w:rFonts w:ascii="Arial" w:hAnsi="Arial" w:cs="Arial"/>
          <w:sz w:val="20"/>
          <w:szCs w:val="20"/>
        </w:rPr>
        <w:t xml:space="preserve">settlement </w:t>
      </w:r>
      <w:r w:rsidRPr="00CE0792">
        <w:rPr>
          <w:rFonts w:ascii="Arial" w:hAnsi="Arial" w:cs="Arial"/>
          <w:sz w:val="20"/>
          <w:szCs w:val="20"/>
        </w:rPr>
        <w:t xml:space="preserve">to </w:t>
      </w:r>
      <w:r w:rsidR="008B50E6" w:rsidRPr="00CE0792">
        <w:rPr>
          <w:rFonts w:ascii="Arial" w:hAnsi="Arial" w:cs="Arial"/>
          <w:sz w:val="20"/>
          <w:szCs w:val="20"/>
        </w:rPr>
        <w:t xml:space="preserve">another </w:t>
      </w:r>
      <w:r w:rsidRPr="00CE0792">
        <w:rPr>
          <w:rFonts w:ascii="Arial" w:hAnsi="Arial" w:cs="Arial"/>
          <w:sz w:val="20"/>
          <w:szCs w:val="20"/>
        </w:rPr>
        <w:t>with</w:t>
      </w:r>
      <w:r w:rsidR="000E58C0" w:rsidRPr="00CE0792">
        <w:rPr>
          <w:rFonts w:ascii="Arial" w:hAnsi="Arial" w:cs="Arial"/>
          <w:sz w:val="20"/>
          <w:szCs w:val="20"/>
        </w:rPr>
        <w:t>in</w:t>
      </w:r>
      <w:r w:rsidRPr="00CE0792">
        <w:rPr>
          <w:rFonts w:ascii="Arial" w:hAnsi="Arial" w:cs="Arial"/>
          <w:sz w:val="20"/>
          <w:szCs w:val="20"/>
        </w:rPr>
        <w:t xml:space="preserve"> the same municipality/</w:t>
      </w:r>
      <w:r w:rsidR="0067490B" w:rsidRPr="00CE0792">
        <w:rPr>
          <w:rFonts w:ascii="Arial" w:hAnsi="Arial" w:cs="Arial"/>
          <w:sz w:val="20"/>
          <w:szCs w:val="20"/>
        </w:rPr>
        <w:t>city</w:t>
      </w:r>
      <w:r w:rsidRPr="00CE0792">
        <w:rPr>
          <w:rFonts w:ascii="Arial" w:hAnsi="Arial" w:cs="Arial"/>
          <w:sz w:val="20"/>
          <w:szCs w:val="20"/>
        </w:rPr>
        <w:t xml:space="preserve"> (2</w:t>
      </w:r>
      <w:r w:rsidR="0007512F" w:rsidRPr="00CE0792">
        <w:rPr>
          <w:rFonts w:ascii="Arial" w:hAnsi="Arial" w:cs="Arial"/>
          <w:sz w:val="20"/>
          <w:szCs w:val="20"/>
        </w:rPr>
        <w:t>4</w:t>
      </w:r>
      <w:r w:rsidRPr="00CE0792">
        <w:rPr>
          <w:rFonts w:ascii="Arial" w:hAnsi="Arial" w:cs="Arial"/>
          <w:sz w:val="20"/>
          <w:szCs w:val="20"/>
        </w:rPr>
        <w:t>.</w:t>
      </w:r>
      <w:r w:rsidR="0007512F" w:rsidRPr="00CE0792">
        <w:rPr>
          <w:rFonts w:ascii="Arial" w:hAnsi="Arial" w:cs="Arial"/>
          <w:sz w:val="20"/>
          <w:szCs w:val="20"/>
        </w:rPr>
        <w:t>3</w:t>
      </w:r>
      <w:r w:rsidRPr="00CE0792">
        <w:rPr>
          <w:rFonts w:ascii="Arial" w:hAnsi="Arial" w:cs="Arial"/>
          <w:sz w:val="20"/>
          <w:szCs w:val="20"/>
        </w:rPr>
        <w:t>%).</w:t>
      </w:r>
    </w:p>
    <w:p w14:paraId="1BBC760C" w14:textId="77777777" w:rsidR="00045E3B" w:rsidRPr="00CE0792" w:rsidRDefault="00CE0792" w:rsidP="003F2F8E">
      <w:pPr>
        <w:spacing w:before="120" w:after="120"/>
        <w:jc w:val="both"/>
        <w:rPr>
          <w:rFonts w:ascii="Arial" w:hAnsi="Arial" w:cs="Arial"/>
          <w:sz w:val="20"/>
          <w:szCs w:val="20"/>
        </w:rPr>
      </w:pPr>
      <w:r w:rsidRPr="00CE0792">
        <w:rPr>
          <w:rFonts w:ascii="Arial" w:hAnsi="Arial" w:cs="Arial"/>
          <w:sz w:val="20"/>
          <w:szCs w:val="20"/>
        </w:rPr>
        <w:t>T</w:t>
      </w:r>
      <w:r w:rsidR="00071670" w:rsidRPr="00CE0792">
        <w:rPr>
          <w:rFonts w:ascii="Arial" w:hAnsi="Arial" w:cs="Arial"/>
          <w:sz w:val="20"/>
          <w:szCs w:val="20"/>
        </w:rPr>
        <w:t xml:space="preserve">he largest number of </w:t>
      </w:r>
      <w:r w:rsidR="000E58C0" w:rsidRPr="00CE0792">
        <w:rPr>
          <w:rFonts w:ascii="Arial" w:hAnsi="Arial" w:cs="Arial"/>
          <w:sz w:val="20"/>
          <w:szCs w:val="20"/>
        </w:rPr>
        <w:t>migration</w:t>
      </w:r>
      <w:r w:rsidR="00071670" w:rsidRPr="00CE0792">
        <w:rPr>
          <w:rFonts w:ascii="Arial" w:hAnsi="Arial" w:cs="Arial"/>
          <w:sz w:val="20"/>
          <w:szCs w:val="20"/>
        </w:rPr>
        <w:t xml:space="preserve"> movements was recorded in the territory of Beogradska oblast, 5</w:t>
      </w:r>
      <w:r w:rsidR="0007512F" w:rsidRPr="00CE0792">
        <w:rPr>
          <w:rFonts w:ascii="Arial" w:hAnsi="Arial" w:cs="Arial"/>
          <w:sz w:val="20"/>
          <w:szCs w:val="20"/>
        </w:rPr>
        <w:t>2</w:t>
      </w:r>
      <w:r w:rsidR="00071670" w:rsidRPr="00CE0792">
        <w:rPr>
          <w:rFonts w:ascii="Arial" w:hAnsi="Arial" w:cs="Arial"/>
          <w:sz w:val="20"/>
          <w:szCs w:val="20"/>
        </w:rPr>
        <w:t xml:space="preserve"> 9</w:t>
      </w:r>
      <w:r w:rsidR="0007512F" w:rsidRPr="00CE0792">
        <w:rPr>
          <w:rFonts w:ascii="Arial" w:hAnsi="Arial" w:cs="Arial"/>
          <w:sz w:val="20"/>
          <w:szCs w:val="20"/>
        </w:rPr>
        <w:t>64</w:t>
      </w:r>
      <w:r w:rsidR="00071670" w:rsidRPr="00CE0792">
        <w:rPr>
          <w:rFonts w:ascii="Arial" w:hAnsi="Arial" w:cs="Arial"/>
          <w:sz w:val="20"/>
          <w:szCs w:val="20"/>
        </w:rPr>
        <w:t xml:space="preserve"> (41.</w:t>
      </w:r>
      <w:r w:rsidR="0007512F" w:rsidRPr="00CE0792">
        <w:rPr>
          <w:rFonts w:ascii="Arial" w:hAnsi="Arial" w:cs="Arial"/>
          <w:sz w:val="20"/>
          <w:szCs w:val="20"/>
        </w:rPr>
        <w:t>6</w:t>
      </w:r>
      <w:r w:rsidR="00071670" w:rsidRPr="00CE0792">
        <w:rPr>
          <w:rFonts w:ascii="Arial" w:hAnsi="Arial" w:cs="Arial"/>
          <w:sz w:val="20"/>
          <w:szCs w:val="20"/>
        </w:rPr>
        <w:t xml:space="preserve">%) </w:t>
      </w:r>
      <w:r w:rsidR="009D3BC4" w:rsidRPr="00CE0792">
        <w:rPr>
          <w:rFonts w:ascii="Arial" w:hAnsi="Arial" w:cs="Arial"/>
          <w:sz w:val="20"/>
          <w:szCs w:val="20"/>
        </w:rPr>
        <w:t>immigra</w:t>
      </w:r>
      <w:r w:rsidR="00187818" w:rsidRPr="00CE0792">
        <w:rPr>
          <w:rFonts w:ascii="Arial" w:hAnsi="Arial" w:cs="Arial"/>
          <w:sz w:val="20"/>
          <w:szCs w:val="20"/>
        </w:rPr>
        <w:t>nts</w:t>
      </w:r>
      <w:r w:rsidR="00071670" w:rsidRPr="00CE0792">
        <w:rPr>
          <w:rFonts w:ascii="Arial" w:hAnsi="Arial" w:cs="Arial"/>
          <w:sz w:val="20"/>
          <w:szCs w:val="20"/>
        </w:rPr>
        <w:t xml:space="preserve"> and 4</w:t>
      </w:r>
      <w:r w:rsidR="0007512F" w:rsidRPr="00CE0792">
        <w:rPr>
          <w:rFonts w:ascii="Arial" w:hAnsi="Arial" w:cs="Arial"/>
          <w:sz w:val="20"/>
          <w:szCs w:val="20"/>
        </w:rPr>
        <w:t>5</w:t>
      </w:r>
      <w:r w:rsidRPr="00CE0792">
        <w:rPr>
          <w:rFonts w:ascii="Arial" w:hAnsi="Arial" w:cs="Arial"/>
          <w:sz w:val="20"/>
          <w:szCs w:val="20"/>
        </w:rPr>
        <w:t xml:space="preserve"> </w:t>
      </w:r>
      <w:r w:rsidR="0007512F" w:rsidRPr="00CE0792">
        <w:rPr>
          <w:rFonts w:ascii="Arial" w:hAnsi="Arial" w:cs="Arial"/>
          <w:sz w:val="20"/>
          <w:szCs w:val="20"/>
        </w:rPr>
        <w:t>240</w:t>
      </w:r>
      <w:r w:rsidR="00071670" w:rsidRPr="00CE0792">
        <w:rPr>
          <w:rFonts w:ascii="Arial" w:hAnsi="Arial" w:cs="Arial"/>
          <w:sz w:val="20"/>
          <w:szCs w:val="20"/>
        </w:rPr>
        <w:t xml:space="preserve"> (3</w:t>
      </w:r>
      <w:r w:rsidR="0007512F" w:rsidRPr="00CE0792">
        <w:rPr>
          <w:rFonts w:ascii="Arial" w:hAnsi="Arial" w:cs="Arial"/>
          <w:sz w:val="20"/>
          <w:szCs w:val="20"/>
        </w:rPr>
        <w:t>5</w:t>
      </w:r>
      <w:r w:rsidR="00071670" w:rsidRPr="00CE0792">
        <w:rPr>
          <w:rFonts w:ascii="Arial" w:hAnsi="Arial" w:cs="Arial"/>
          <w:sz w:val="20"/>
          <w:szCs w:val="20"/>
        </w:rPr>
        <w:t>.</w:t>
      </w:r>
      <w:r w:rsidR="0007512F" w:rsidRPr="00CE0792">
        <w:rPr>
          <w:rFonts w:ascii="Arial" w:hAnsi="Arial" w:cs="Arial"/>
          <w:sz w:val="20"/>
          <w:szCs w:val="20"/>
        </w:rPr>
        <w:t>5</w:t>
      </w:r>
      <w:r w:rsidR="00071670" w:rsidRPr="00CE0792">
        <w:rPr>
          <w:rFonts w:ascii="Arial" w:hAnsi="Arial" w:cs="Arial"/>
          <w:sz w:val="20"/>
          <w:szCs w:val="20"/>
        </w:rPr>
        <w:t xml:space="preserve">%) </w:t>
      </w:r>
      <w:r w:rsidR="00187818" w:rsidRPr="00CE0792">
        <w:rPr>
          <w:rFonts w:ascii="Arial" w:hAnsi="Arial" w:cs="Arial"/>
          <w:sz w:val="20"/>
          <w:szCs w:val="20"/>
        </w:rPr>
        <w:t>emigrants</w:t>
      </w:r>
      <w:r w:rsidR="00071670" w:rsidRPr="00CE0792">
        <w:rPr>
          <w:rFonts w:ascii="Arial" w:hAnsi="Arial" w:cs="Arial"/>
          <w:sz w:val="20"/>
          <w:szCs w:val="20"/>
        </w:rPr>
        <w:t>. Beogradska</w:t>
      </w:r>
      <w:r w:rsidRPr="00CE0792">
        <w:rPr>
          <w:rFonts w:ascii="Arial" w:hAnsi="Arial" w:cs="Arial"/>
          <w:sz w:val="20"/>
          <w:szCs w:val="20"/>
        </w:rPr>
        <w:t>,</w:t>
      </w:r>
      <w:r w:rsidR="00071670" w:rsidRPr="00CE0792">
        <w:rPr>
          <w:rFonts w:ascii="Arial" w:hAnsi="Arial" w:cs="Arial"/>
          <w:sz w:val="20"/>
          <w:szCs w:val="20"/>
        </w:rPr>
        <w:t xml:space="preserve"> Južnobačka, Severnobačka and Nišavska oblast </w:t>
      </w:r>
      <w:r w:rsidRPr="00CE0792">
        <w:rPr>
          <w:rFonts w:ascii="Arial" w:hAnsi="Arial" w:cs="Arial"/>
          <w:sz w:val="20"/>
          <w:szCs w:val="20"/>
        </w:rPr>
        <w:t>recorded</w:t>
      </w:r>
      <w:r w:rsidR="00071670" w:rsidRPr="00CE0792">
        <w:rPr>
          <w:rFonts w:ascii="Arial" w:hAnsi="Arial" w:cs="Arial"/>
          <w:sz w:val="20"/>
          <w:szCs w:val="20"/>
        </w:rPr>
        <w:t xml:space="preserve"> positive migration balance.</w:t>
      </w:r>
    </w:p>
    <w:p w14:paraId="28095CF0" w14:textId="477849FD" w:rsidR="00071670" w:rsidRPr="00CE0792" w:rsidRDefault="00071670" w:rsidP="003F2F8E">
      <w:pPr>
        <w:spacing w:before="120" w:after="120"/>
        <w:jc w:val="both"/>
        <w:rPr>
          <w:rFonts w:ascii="Arial" w:hAnsi="Arial" w:cs="Arial"/>
          <w:sz w:val="20"/>
          <w:szCs w:val="20"/>
        </w:rPr>
      </w:pPr>
      <w:r w:rsidRPr="00CE0792">
        <w:rPr>
          <w:rFonts w:ascii="Arial" w:hAnsi="Arial" w:cs="Arial"/>
          <w:sz w:val="20"/>
          <w:szCs w:val="20"/>
        </w:rPr>
        <w:t>Observed at the level of municipalities/</w:t>
      </w:r>
      <w:r w:rsidR="0067490B" w:rsidRPr="00CE0792">
        <w:rPr>
          <w:rFonts w:ascii="Arial" w:hAnsi="Arial" w:cs="Arial"/>
          <w:sz w:val="20"/>
          <w:szCs w:val="20"/>
        </w:rPr>
        <w:t>cities</w:t>
      </w:r>
      <w:r w:rsidRPr="00CE0792">
        <w:rPr>
          <w:rFonts w:ascii="Arial" w:hAnsi="Arial" w:cs="Arial"/>
          <w:sz w:val="20"/>
          <w:szCs w:val="20"/>
        </w:rPr>
        <w:t xml:space="preserve">, </w:t>
      </w:r>
      <w:r w:rsidR="00E85C4E" w:rsidRPr="00CE0792">
        <w:rPr>
          <w:rFonts w:ascii="Arial" w:hAnsi="Arial" w:cs="Arial"/>
          <w:sz w:val="20"/>
          <w:szCs w:val="20"/>
        </w:rPr>
        <w:t xml:space="preserve">only </w:t>
      </w:r>
      <w:r w:rsidR="0007512F" w:rsidRPr="00CE0792">
        <w:rPr>
          <w:rFonts w:ascii="Arial" w:hAnsi="Arial" w:cs="Arial"/>
          <w:sz w:val="20"/>
          <w:szCs w:val="20"/>
        </w:rPr>
        <w:t>35</w:t>
      </w:r>
      <w:r w:rsidR="00E85C4E" w:rsidRPr="00CE0792">
        <w:rPr>
          <w:rFonts w:ascii="Arial" w:hAnsi="Arial" w:cs="Arial"/>
          <w:sz w:val="20"/>
          <w:szCs w:val="20"/>
        </w:rPr>
        <w:t xml:space="preserve"> municipalities/</w:t>
      </w:r>
      <w:r w:rsidR="0067490B" w:rsidRPr="00CE0792">
        <w:rPr>
          <w:rFonts w:ascii="Arial" w:hAnsi="Arial" w:cs="Arial"/>
          <w:sz w:val="20"/>
          <w:szCs w:val="20"/>
        </w:rPr>
        <w:t>cities</w:t>
      </w:r>
      <w:r w:rsidR="00E85C4E" w:rsidRPr="00CE0792">
        <w:rPr>
          <w:rFonts w:ascii="Arial" w:hAnsi="Arial" w:cs="Arial"/>
          <w:sz w:val="20"/>
          <w:szCs w:val="20"/>
        </w:rPr>
        <w:t xml:space="preserve"> had a positive migration balance in 201</w:t>
      </w:r>
      <w:r w:rsidR="0007512F" w:rsidRPr="00CE0792">
        <w:rPr>
          <w:rFonts w:ascii="Arial" w:hAnsi="Arial" w:cs="Arial"/>
          <w:sz w:val="20"/>
          <w:szCs w:val="20"/>
        </w:rPr>
        <w:t xml:space="preserve">9, while in one, the balance equalled zero </w:t>
      </w:r>
      <w:r w:rsidR="00E85C4E" w:rsidRPr="00CE0792">
        <w:rPr>
          <w:rFonts w:ascii="Arial" w:hAnsi="Arial" w:cs="Arial"/>
          <w:sz w:val="20"/>
          <w:szCs w:val="20"/>
        </w:rPr>
        <w:t>and in the 1</w:t>
      </w:r>
      <w:r w:rsidR="0007512F" w:rsidRPr="00CE0792">
        <w:rPr>
          <w:rFonts w:ascii="Arial" w:hAnsi="Arial" w:cs="Arial"/>
          <w:sz w:val="20"/>
          <w:szCs w:val="20"/>
        </w:rPr>
        <w:t>33</w:t>
      </w:r>
      <w:r w:rsidR="00E85C4E" w:rsidRPr="00CE0792">
        <w:rPr>
          <w:rFonts w:ascii="Arial" w:hAnsi="Arial" w:cs="Arial"/>
          <w:sz w:val="20"/>
          <w:szCs w:val="20"/>
        </w:rPr>
        <w:t xml:space="preserve"> municipalities/</w:t>
      </w:r>
      <w:r w:rsidR="0067490B" w:rsidRPr="00CE0792">
        <w:rPr>
          <w:rFonts w:ascii="Arial" w:hAnsi="Arial" w:cs="Arial"/>
          <w:sz w:val="20"/>
          <w:szCs w:val="20"/>
        </w:rPr>
        <w:t>cities</w:t>
      </w:r>
      <w:r w:rsidR="00E85C4E" w:rsidRPr="00CE0792">
        <w:rPr>
          <w:rFonts w:ascii="Arial" w:hAnsi="Arial" w:cs="Arial"/>
          <w:sz w:val="20"/>
          <w:szCs w:val="20"/>
        </w:rPr>
        <w:t xml:space="preserve"> it was negative.  </w:t>
      </w:r>
    </w:p>
    <w:p w14:paraId="0A3F2DF8" w14:textId="77777777" w:rsidR="00E85C4E" w:rsidRPr="00CE0792" w:rsidRDefault="00E85C4E" w:rsidP="003F2F8E">
      <w:pPr>
        <w:spacing w:before="120" w:after="120"/>
        <w:jc w:val="both"/>
        <w:rPr>
          <w:rFonts w:ascii="Arial" w:hAnsi="Arial" w:cs="Arial"/>
          <w:sz w:val="20"/>
          <w:szCs w:val="20"/>
        </w:rPr>
      </w:pPr>
      <w:r w:rsidRPr="00CE0792">
        <w:rPr>
          <w:rFonts w:ascii="Arial" w:hAnsi="Arial" w:cs="Arial"/>
          <w:sz w:val="20"/>
          <w:szCs w:val="20"/>
        </w:rPr>
        <w:t xml:space="preserve">From the economic activity point of view, </w:t>
      </w:r>
      <w:r w:rsidR="0007512F" w:rsidRPr="00CE0792">
        <w:rPr>
          <w:rFonts w:ascii="Arial" w:hAnsi="Arial" w:cs="Arial"/>
          <w:sz w:val="20"/>
          <w:szCs w:val="20"/>
        </w:rPr>
        <w:t>60</w:t>
      </w:r>
      <w:r w:rsidRPr="00CE0792">
        <w:rPr>
          <w:rFonts w:ascii="Arial" w:hAnsi="Arial" w:cs="Arial"/>
          <w:sz w:val="20"/>
          <w:szCs w:val="20"/>
        </w:rPr>
        <w:t xml:space="preserve">% </w:t>
      </w:r>
      <w:r w:rsidR="0007512F" w:rsidRPr="00CE0792">
        <w:rPr>
          <w:rFonts w:ascii="Arial" w:hAnsi="Arial" w:cs="Arial"/>
          <w:sz w:val="20"/>
          <w:szCs w:val="20"/>
        </w:rPr>
        <w:t xml:space="preserve">of </w:t>
      </w:r>
      <w:r w:rsidRPr="00CE0792">
        <w:rPr>
          <w:rFonts w:ascii="Arial" w:hAnsi="Arial" w:cs="Arial"/>
          <w:sz w:val="20"/>
          <w:szCs w:val="20"/>
        </w:rPr>
        <w:t>migrants are dependents, 3</w:t>
      </w:r>
      <w:r w:rsidR="0007512F" w:rsidRPr="00CE0792">
        <w:rPr>
          <w:rFonts w:ascii="Arial" w:hAnsi="Arial" w:cs="Arial"/>
          <w:sz w:val="20"/>
          <w:szCs w:val="20"/>
        </w:rPr>
        <w:t>2</w:t>
      </w:r>
      <w:r w:rsidRPr="00CE0792">
        <w:rPr>
          <w:rFonts w:ascii="Arial" w:hAnsi="Arial" w:cs="Arial"/>
          <w:sz w:val="20"/>
          <w:szCs w:val="20"/>
        </w:rPr>
        <w:t xml:space="preserve">% are active and the proportion of them having personal income </w:t>
      </w:r>
      <w:r w:rsidR="0007512F" w:rsidRPr="00CE0792">
        <w:rPr>
          <w:rFonts w:ascii="Arial" w:hAnsi="Arial" w:cs="Arial"/>
          <w:sz w:val="20"/>
          <w:szCs w:val="20"/>
        </w:rPr>
        <w:t>i</w:t>
      </w:r>
      <w:r w:rsidRPr="00CE0792">
        <w:rPr>
          <w:rFonts w:ascii="Arial" w:hAnsi="Arial" w:cs="Arial"/>
          <w:sz w:val="20"/>
          <w:szCs w:val="20"/>
        </w:rPr>
        <w:t>s 8%.</w:t>
      </w:r>
    </w:p>
    <w:p w14:paraId="34D34136" w14:textId="77777777" w:rsidR="00557DD7" w:rsidRPr="00CE0792" w:rsidRDefault="00E85C4E" w:rsidP="00557DD7">
      <w:pPr>
        <w:spacing w:before="240"/>
        <w:rPr>
          <w:rFonts w:ascii="Arial" w:hAnsi="Arial" w:cs="Arial"/>
          <w:sz w:val="20"/>
          <w:szCs w:val="20"/>
        </w:rPr>
      </w:pPr>
      <w:r w:rsidRPr="00CE0792">
        <w:rPr>
          <w:rFonts w:ascii="Arial" w:hAnsi="Arial" w:cs="Arial"/>
          <w:sz w:val="20"/>
          <w:szCs w:val="20"/>
        </w:rPr>
        <w:t xml:space="preserve">Chart </w:t>
      </w:r>
      <w:r w:rsidR="00557DD7" w:rsidRPr="00CE0792">
        <w:rPr>
          <w:rFonts w:ascii="Arial" w:hAnsi="Arial" w:cs="Arial"/>
          <w:sz w:val="20"/>
          <w:szCs w:val="20"/>
        </w:rPr>
        <w:t xml:space="preserve">1. </w:t>
      </w:r>
      <w:r w:rsidRPr="00CE0792">
        <w:rPr>
          <w:rFonts w:ascii="Arial" w:hAnsi="Arial" w:cs="Arial"/>
          <w:sz w:val="20"/>
          <w:szCs w:val="20"/>
        </w:rPr>
        <w:t xml:space="preserve">Persons who changed residence in the Republic of Serbia, by age and sex, </w:t>
      </w:r>
      <w:r w:rsidR="00557DD7" w:rsidRPr="00CE0792">
        <w:rPr>
          <w:rFonts w:ascii="Arial" w:hAnsi="Arial" w:cs="Arial"/>
          <w:sz w:val="20"/>
          <w:szCs w:val="20"/>
        </w:rPr>
        <w:t>201</w:t>
      </w:r>
      <w:r w:rsidR="00A069D5" w:rsidRPr="00CE0792">
        <w:rPr>
          <w:rFonts w:ascii="Arial" w:hAnsi="Arial" w:cs="Arial"/>
          <w:sz w:val="20"/>
          <w:szCs w:val="20"/>
        </w:rPr>
        <w:t>9</w:t>
      </w:r>
    </w:p>
    <w:p w14:paraId="27797E59" w14:textId="77777777" w:rsidR="00A069D5" w:rsidRPr="00CE0792" w:rsidRDefault="00A069D5" w:rsidP="00557DD7">
      <w:pPr>
        <w:spacing w:before="240"/>
        <w:rPr>
          <w:rFonts w:ascii="Arial" w:hAnsi="Arial" w:cs="Arial"/>
          <w:sz w:val="20"/>
          <w:szCs w:val="20"/>
        </w:rPr>
      </w:pPr>
      <w:r w:rsidRPr="00CE0792">
        <w:rPr>
          <w:noProof/>
          <w:lang w:val="en-US"/>
        </w:rPr>
        <w:drawing>
          <wp:inline distT="0" distB="0" distL="0" distR="0" wp14:anchorId="2E604B3D" wp14:editId="0CA6D4CF">
            <wp:extent cx="6257925" cy="1638300"/>
            <wp:effectExtent l="0" t="0" r="0" b="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AF0EBFA" w14:textId="77777777" w:rsidR="00557DD7" w:rsidRPr="00CE0792" w:rsidRDefault="00E85C4E" w:rsidP="00557DD7">
      <w:pPr>
        <w:spacing w:before="240"/>
        <w:rPr>
          <w:rFonts w:ascii="Arial" w:hAnsi="Arial" w:cs="Arial"/>
          <w:sz w:val="20"/>
          <w:szCs w:val="20"/>
        </w:rPr>
      </w:pPr>
      <w:r w:rsidRPr="00CE0792">
        <w:rPr>
          <w:rFonts w:ascii="Arial" w:hAnsi="Arial" w:cs="Arial"/>
          <w:sz w:val="20"/>
          <w:szCs w:val="20"/>
        </w:rPr>
        <w:t>Chart</w:t>
      </w:r>
      <w:r w:rsidR="00557DD7" w:rsidRPr="00CE0792">
        <w:rPr>
          <w:rFonts w:ascii="Arial" w:hAnsi="Arial" w:cs="Arial"/>
          <w:sz w:val="20"/>
          <w:szCs w:val="20"/>
        </w:rPr>
        <w:t xml:space="preserve"> 2. М</w:t>
      </w:r>
      <w:r w:rsidRPr="00CE0792">
        <w:rPr>
          <w:rFonts w:ascii="Arial" w:hAnsi="Arial" w:cs="Arial"/>
          <w:sz w:val="20"/>
          <w:szCs w:val="20"/>
        </w:rPr>
        <w:t>igration balance by regions of the Republic of Serbia</w:t>
      </w:r>
      <w:r w:rsidR="00557DD7" w:rsidRPr="00CE0792">
        <w:rPr>
          <w:rFonts w:ascii="Arial" w:hAnsi="Arial" w:cs="Arial"/>
          <w:sz w:val="20"/>
          <w:szCs w:val="20"/>
        </w:rPr>
        <w:t>, 201</w:t>
      </w:r>
      <w:r w:rsidR="00A069D5" w:rsidRPr="00CE0792">
        <w:rPr>
          <w:rFonts w:ascii="Arial" w:hAnsi="Arial" w:cs="Arial"/>
          <w:sz w:val="20"/>
          <w:szCs w:val="20"/>
        </w:rPr>
        <w:t>9</w:t>
      </w:r>
    </w:p>
    <w:p w14:paraId="0799D940" w14:textId="3125E075" w:rsidR="00A069D5" w:rsidRPr="00CE0792" w:rsidRDefault="00AE5912" w:rsidP="0028385F">
      <w:pPr>
        <w:spacing w:after="120"/>
        <w:jc w:val="center"/>
        <w:rPr>
          <w:rFonts w:ascii="Arial" w:hAnsi="Arial" w:cs="Arial"/>
          <w:sz w:val="4"/>
          <w:szCs w:val="4"/>
        </w:rPr>
      </w:pPr>
      <w:r>
        <w:rPr>
          <w:noProof/>
          <w:lang w:val="en-US"/>
        </w:rPr>
        <w:drawing>
          <wp:inline distT="0" distB="0" distL="0" distR="0" wp14:anchorId="1520A81F" wp14:editId="4347C485">
            <wp:extent cx="6228000" cy="2160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1D874A" w14:textId="77777777" w:rsidR="00AE5912" w:rsidRDefault="00AE5912" w:rsidP="00557DD7">
      <w:pPr>
        <w:spacing w:after="60"/>
        <w:rPr>
          <w:rFonts w:ascii="Arial" w:hAnsi="Arial" w:cs="Arial"/>
          <w:sz w:val="20"/>
          <w:szCs w:val="20"/>
        </w:rPr>
      </w:pPr>
    </w:p>
    <w:p w14:paraId="34301071" w14:textId="094C8F2E" w:rsidR="00557DD7" w:rsidRPr="00CE0792" w:rsidRDefault="00557DD7" w:rsidP="00557DD7">
      <w:pPr>
        <w:spacing w:after="60"/>
        <w:rPr>
          <w:sz w:val="20"/>
          <w:szCs w:val="20"/>
        </w:rPr>
      </w:pPr>
      <w:r w:rsidRPr="00CE0792">
        <w:rPr>
          <w:rFonts w:ascii="Arial" w:hAnsi="Arial" w:cs="Arial"/>
          <w:sz w:val="20"/>
          <w:szCs w:val="20"/>
        </w:rPr>
        <w:lastRenderedPageBreak/>
        <w:t>Та</w:t>
      </w:r>
      <w:r w:rsidR="00E85C4E" w:rsidRPr="00CE0792">
        <w:rPr>
          <w:rFonts w:ascii="Arial" w:hAnsi="Arial" w:cs="Arial"/>
          <w:sz w:val="20"/>
          <w:szCs w:val="20"/>
        </w:rPr>
        <w:t>ble</w:t>
      </w:r>
      <w:r w:rsidRPr="00CE0792">
        <w:rPr>
          <w:rFonts w:ascii="Arial" w:hAnsi="Arial" w:cs="Arial"/>
          <w:sz w:val="20"/>
          <w:szCs w:val="20"/>
        </w:rPr>
        <w:t xml:space="preserve">1. </w:t>
      </w:r>
      <w:r w:rsidR="00E85C4E" w:rsidRPr="00CE0792">
        <w:rPr>
          <w:rFonts w:ascii="Arial" w:hAnsi="Arial" w:cs="Arial"/>
          <w:sz w:val="20"/>
          <w:szCs w:val="20"/>
        </w:rPr>
        <w:t xml:space="preserve">Persons who changed residence in the Republic of Serbia, by territory of </w:t>
      </w:r>
      <w:r w:rsidR="009D3BC4" w:rsidRPr="00CE0792">
        <w:rPr>
          <w:rFonts w:ascii="Arial" w:hAnsi="Arial" w:cs="Arial"/>
          <w:sz w:val="20"/>
          <w:szCs w:val="20"/>
        </w:rPr>
        <w:t>immigration</w:t>
      </w:r>
      <w:r w:rsidR="00E85C4E" w:rsidRPr="00CE0792">
        <w:rPr>
          <w:rFonts w:ascii="Arial" w:hAnsi="Arial" w:cs="Arial"/>
          <w:sz w:val="20"/>
          <w:szCs w:val="20"/>
        </w:rPr>
        <w:t>/</w:t>
      </w:r>
      <w:r w:rsidR="009D3BC4" w:rsidRPr="00CE0792">
        <w:rPr>
          <w:rFonts w:ascii="Arial" w:hAnsi="Arial" w:cs="Arial"/>
          <w:sz w:val="20"/>
          <w:szCs w:val="20"/>
        </w:rPr>
        <w:t>emigration</w:t>
      </w:r>
      <w:r w:rsidR="00E85C4E" w:rsidRPr="00CE0792">
        <w:rPr>
          <w:rFonts w:ascii="Arial" w:hAnsi="Arial" w:cs="Arial"/>
          <w:sz w:val="20"/>
          <w:szCs w:val="20"/>
        </w:rPr>
        <w:t>, 201</w:t>
      </w:r>
      <w:r w:rsidR="007E7C63" w:rsidRPr="00CE0792">
        <w:rPr>
          <w:rFonts w:ascii="Arial" w:hAnsi="Arial" w:cs="Arial"/>
          <w:sz w:val="20"/>
          <w:szCs w:val="20"/>
        </w:rPr>
        <w:t>9</w:t>
      </w:r>
    </w:p>
    <w:tbl>
      <w:tblPr>
        <w:tblW w:w="0" w:type="auto"/>
        <w:tblLayout w:type="fixed"/>
        <w:tblCellMar>
          <w:left w:w="28" w:type="dxa"/>
          <w:right w:w="28" w:type="dxa"/>
        </w:tblCellMar>
        <w:tblLook w:val="04A0" w:firstRow="1" w:lastRow="0" w:firstColumn="1" w:lastColumn="0" w:noHBand="0" w:noVBand="1"/>
      </w:tblPr>
      <w:tblGrid>
        <w:gridCol w:w="3103"/>
        <w:gridCol w:w="788"/>
        <w:gridCol w:w="905"/>
        <w:gridCol w:w="805"/>
        <w:gridCol w:w="888"/>
        <w:gridCol w:w="1134"/>
        <w:gridCol w:w="1053"/>
        <w:gridCol w:w="1053"/>
      </w:tblGrid>
      <w:tr w:rsidR="000F6A5C" w:rsidRPr="00CE0792" w14:paraId="7D6621E6" w14:textId="77777777" w:rsidTr="004D4E87">
        <w:trPr>
          <w:trHeight w:val="567"/>
        </w:trPr>
        <w:tc>
          <w:tcPr>
            <w:tcW w:w="3103" w:type="dxa"/>
            <w:vMerge w:val="restart"/>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32F38EA0" w14:textId="77777777" w:rsidR="00557DD7" w:rsidRPr="00CE0792" w:rsidRDefault="00557DD7" w:rsidP="004D4E87">
            <w:pPr>
              <w:jc w:val="center"/>
              <w:rPr>
                <w:rFonts w:ascii="Arial" w:hAnsi="Arial" w:cs="Arial"/>
                <w:sz w:val="16"/>
                <w:szCs w:val="16"/>
              </w:rPr>
            </w:pPr>
            <w:r w:rsidRPr="00CE0792">
              <w:rPr>
                <w:rFonts w:ascii="Arial" w:hAnsi="Arial" w:cs="Arial"/>
                <w:sz w:val="16"/>
                <w:szCs w:val="16"/>
              </w:rPr>
              <w:t> </w:t>
            </w:r>
          </w:p>
        </w:tc>
        <w:tc>
          <w:tcPr>
            <w:tcW w:w="16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44B36638" w14:textId="77777777" w:rsidR="00557DD7" w:rsidRPr="00CE0792" w:rsidRDefault="009D3BC4" w:rsidP="004D4E87">
            <w:pPr>
              <w:jc w:val="center"/>
              <w:rPr>
                <w:rFonts w:ascii="Arial" w:hAnsi="Arial" w:cs="Arial"/>
                <w:bCs/>
                <w:sz w:val="16"/>
                <w:szCs w:val="16"/>
              </w:rPr>
            </w:pPr>
            <w:r w:rsidRPr="00CE0792">
              <w:rPr>
                <w:rFonts w:ascii="Arial" w:hAnsi="Arial" w:cs="Arial"/>
                <w:bCs/>
                <w:sz w:val="16"/>
                <w:szCs w:val="16"/>
              </w:rPr>
              <w:t>Immigration</w:t>
            </w:r>
          </w:p>
        </w:tc>
        <w:tc>
          <w:tcPr>
            <w:tcW w:w="16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316540DF" w14:textId="77777777" w:rsidR="00557DD7" w:rsidRPr="00CE0792" w:rsidRDefault="009D3BC4" w:rsidP="004D4E87">
            <w:pPr>
              <w:jc w:val="center"/>
              <w:rPr>
                <w:rFonts w:ascii="Arial" w:hAnsi="Arial" w:cs="Arial"/>
                <w:bCs/>
                <w:sz w:val="16"/>
                <w:szCs w:val="16"/>
              </w:rPr>
            </w:pPr>
            <w:r w:rsidRPr="00CE0792">
              <w:rPr>
                <w:rFonts w:ascii="Arial" w:hAnsi="Arial" w:cs="Arial"/>
                <w:bCs/>
                <w:sz w:val="16"/>
                <w:szCs w:val="16"/>
              </w:rPr>
              <w:t>Emigration</w:t>
            </w:r>
          </w:p>
        </w:tc>
        <w:tc>
          <w:tcPr>
            <w:tcW w:w="113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14766C47" w14:textId="77777777" w:rsidR="00557DD7" w:rsidRPr="00CE0792" w:rsidRDefault="00E85C4E" w:rsidP="004D4E87">
            <w:pPr>
              <w:jc w:val="center"/>
              <w:rPr>
                <w:rFonts w:ascii="Arial" w:hAnsi="Arial" w:cs="Arial"/>
                <w:bCs/>
                <w:sz w:val="16"/>
                <w:szCs w:val="16"/>
              </w:rPr>
            </w:pPr>
            <w:r w:rsidRPr="00CE0792">
              <w:rPr>
                <w:rFonts w:ascii="Arial" w:hAnsi="Arial" w:cs="Arial"/>
                <w:bCs/>
                <w:sz w:val="16"/>
                <w:szCs w:val="16"/>
              </w:rPr>
              <w:t>Migration balance</w:t>
            </w:r>
          </w:p>
        </w:tc>
        <w:tc>
          <w:tcPr>
            <w:tcW w:w="21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hideMark/>
          </w:tcPr>
          <w:p w14:paraId="1E249B4A" w14:textId="77777777" w:rsidR="00557DD7" w:rsidRPr="00CE0792" w:rsidRDefault="00E85C4E" w:rsidP="00E85C4E">
            <w:pPr>
              <w:jc w:val="center"/>
              <w:rPr>
                <w:rFonts w:ascii="Arial" w:hAnsi="Arial" w:cs="Arial"/>
                <w:bCs/>
                <w:sz w:val="16"/>
                <w:szCs w:val="16"/>
              </w:rPr>
            </w:pPr>
            <w:r w:rsidRPr="00CE0792">
              <w:rPr>
                <w:rFonts w:ascii="Arial" w:hAnsi="Arial" w:cs="Arial"/>
                <w:bCs/>
                <w:sz w:val="16"/>
                <w:szCs w:val="16"/>
              </w:rPr>
              <w:t>Population that moved within an area</w:t>
            </w:r>
          </w:p>
        </w:tc>
      </w:tr>
      <w:tr w:rsidR="000F6A5C" w:rsidRPr="00CE0792" w14:paraId="6719E70B" w14:textId="77777777" w:rsidTr="00847B97">
        <w:trPr>
          <w:trHeight w:val="1108"/>
        </w:trPr>
        <w:tc>
          <w:tcPr>
            <w:tcW w:w="3103" w:type="dxa"/>
            <w:vMerge/>
            <w:tcBorders>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522F615A" w14:textId="77777777" w:rsidR="00557DD7" w:rsidRPr="00CE0792" w:rsidRDefault="00557DD7" w:rsidP="004D4E87">
            <w:pPr>
              <w:rPr>
                <w:rFonts w:ascii="Arial" w:hAnsi="Arial" w:cs="Arial"/>
                <w:sz w:val="16"/>
                <w:szCs w:val="16"/>
              </w:rPr>
            </w:pPr>
          </w:p>
        </w:tc>
        <w:tc>
          <w:tcPr>
            <w:tcW w:w="7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7EB689A4" w14:textId="77777777" w:rsidR="00557DD7" w:rsidRPr="00CE0792" w:rsidRDefault="00E85C4E" w:rsidP="004D4E87">
            <w:pPr>
              <w:jc w:val="center"/>
              <w:rPr>
                <w:rFonts w:ascii="Arial" w:hAnsi="Arial" w:cs="Arial"/>
                <w:sz w:val="16"/>
                <w:szCs w:val="16"/>
              </w:rPr>
            </w:pPr>
            <w:r w:rsidRPr="00CE0792">
              <w:rPr>
                <w:rFonts w:ascii="Arial" w:hAnsi="Arial" w:cs="Arial"/>
                <w:sz w:val="16"/>
                <w:szCs w:val="16"/>
              </w:rPr>
              <w:t>Total</w:t>
            </w:r>
          </w:p>
        </w:tc>
        <w:tc>
          <w:tcPr>
            <w:tcW w:w="9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3BCB5183" w14:textId="77777777" w:rsidR="00557DD7" w:rsidRPr="00CE0792" w:rsidRDefault="00E85C4E" w:rsidP="004D4E87">
            <w:pPr>
              <w:jc w:val="center"/>
              <w:rPr>
                <w:rFonts w:ascii="Arial" w:hAnsi="Arial" w:cs="Arial"/>
                <w:sz w:val="16"/>
                <w:szCs w:val="16"/>
              </w:rPr>
            </w:pPr>
            <w:r w:rsidRPr="00CE0792">
              <w:rPr>
                <w:rFonts w:ascii="Arial" w:hAnsi="Arial" w:cs="Arial"/>
                <w:sz w:val="16"/>
                <w:szCs w:val="16"/>
              </w:rPr>
              <w:t>From another area</w:t>
            </w:r>
          </w:p>
        </w:tc>
        <w:tc>
          <w:tcPr>
            <w:tcW w:w="8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0202EF07" w14:textId="77777777" w:rsidR="00557DD7" w:rsidRPr="00CE0792" w:rsidRDefault="00E85C4E" w:rsidP="004D4E87">
            <w:pPr>
              <w:jc w:val="center"/>
              <w:rPr>
                <w:rFonts w:ascii="Arial" w:hAnsi="Arial" w:cs="Arial"/>
                <w:sz w:val="16"/>
                <w:szCs w:val="16"/>
              </w:rPr>
            </w:pPr>
            <w:r w:rsidRPr="00CE0792">
              <w:rPr>
                <w:rFonts w:ascii="Arial" w:hAnsi="Arial" w:cs="Arial"/>
                <w:sz w:val="16"/>
                <w:szCs w:val="16"/>
              </w:rPr>
              <w:t xml:space="preserve">Total </w:t>
            </w:r>
          </w:p>
        </w:tc>
        <w:tc>
          <w:tcPr>
            <w:tcW w:w="8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45988A41" w14:textId="77777777" w:rsidR="00557DD7" w:rsidRPr="00CE0792" w:rsidRDefault="00E85C4E" w:rsidP="004D4E87">
            <w:pPr>
              <w:jc w:val="center"/>
              <w:rPr>
                <w:rFonts w:ascii="Arial" w:hAnsi="Arial" w:cs="Arial"/>
                <w:sz w:val="16"/>
                <w:szCs w:val="16"/>
              </w:rPr>
            </w:pPr>
            <w:r w:rsidRPr="00CE0792">
              <w:rPr>
                <w:rFonts w:ascii="Arial" w:hAnsi="Arial" w:cs="Arial"/>
                <w:sz w:val="16"/>
                <w:szCs w:val="16"/>
              </w:rPr>
              <w:t>To another area</w:t>
            </w:r>
          </w:p>
        </w:tc>
        <w:tc>
          <w:tcPr>
            <w:tcW w:w="1134" w:type="dxa"/>
            <w:vMerge/>
            <w:tcBorders>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hideMark/>
          </w:tcPr>
          <w:p w14:paraId="07FCA7A0" w14:textId="77777777" w:rsidR="00557DD7" w:rsidRPr="00CE0792" w:rsidRDefault="00557DD7" w:rsidP="004D4E87">
            <w:pPr>
              <w:rPr>
                <w:rFonts w:ascii="Arial" w:hAnsi="Arial" w:cs="Arial"/>
                <w:b/>
                <w:bCs/>
                <w:sz w:val="16"/>
                <w:szCs w:val="16"/>
              </w:rPr>
            </w:pPr>
          </w:p>
        </w:tc>
        <w:tc>
          <w:tcPr>
            <w:tcW w:w="10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02B75E99" w14:textId="77777777" w:rsidR="00557DD7" w:rsidRPr="00CE0792" w:rsidRDefault="00E85C4E" w:rsidP="00B65E18">
            <w:pPr>
              <w:jc w:val="center"/>
              <w:rPr>
                <w:rFonts w:ascii="Arial" w:hAnsi="Arial" w:cs="Arial"/>
                <w:sz w:val="16"/>
                <w:szCs w:val="16"/>
              </w:rPr>
            </w:pPr>
            <w:r w:rsidRPr="00CE0792">
              <w:rPr>
                <w:rFonts w:ascii="Arial" w:hAnsi="Arial" w:cs="Arial"/>
                <w:sz w:val="16"/>
                <w:szCs w:val="16"/>
              </w:rPr>
              <w:t>From municipalities/</w:t>
            </w:r>
            <w:r w:rsidR="00B65E18" w:rsidRPr="00CE0792">
              <w:rPr>
                <w:rFonts w:ascii="Arial" w:hAnsi="Arial" w:cs="Arial"/>
                <w:sz w:val="16"/>
                <w:szCs w:val="16"/>
              </w:rPr>
              <w:t>cities</w:t>
            </w:r>
            <w:r w:rsidRPr="00CE0792">
              <w:rPr>
                <w:rFonts w:ascii="Arial" w:hAnsi="Arial" w:cs="Arial"/>
                <w:sz w:val="16"/>
                <w:szCs w:val="16"/>
              </w:rPr>
              <w:t xml:space="preserve"> of the same area</w:t>
            </w:r>
          </w:p>
        </w:tc>
        <w:tc>
          <w:tcPr>
            <w:tcW w:w="105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hideMark/>
          </w:tcPr>
          <w:p w14:paraId="4FB4D345" w14:textId="77777777" w:rsidR="00557DD7" w:rsidRPr="00CE0792" w:rsidRDefault="003F0C0B" w:rsidP="00B65E18">
            <w:pPr>
              <w:jc w:val="center"/>
              <w:rPr>
                <w:rFonts w:ascii="Arial" w:hAnsi="Arial" w:cs="Arial"/>
                <w:sz w:val="16"/>
                <w:szCs w:val="16"/>
              </w:rPr>
            </w:pPr>
            <w:r w:rsidRPr="00CE0792">
              <w:rPr>
                <w:rFonts w:ascii="Arial" w:hAnsi="Arial" w:cs="Arial"/>
                <w:sz w:val="16"/>
                <w:szCs w:val="16"/>
              </w:rPr>
              <w:t>From another settlement of the same municipality/</w:t>
            </w:r>
            <w:r w:rsidR="0067490B" w:rsidRPr="00CE0792">
              <w:rPr>
                <w:rFonts w:ascii="Arial" w:hAnsi="Arial" w:cs="Arial"/>
                <w:sz w:val="16"/>
                <w:szCs w:val="16"/>
              </w:rPr>
              <w:t>city</w:t>
            </w:r>
          </w:p>
        </w:tc>
      </w:tr>
      <w:tr w:rsidR="00A069D5" w:rsidRPr="00CE0792" w14:paraId="309FB348" w14:textId="77777777" w:rsidTr="00847B97">
        <w:trPr>
          <w:trHeight w:val="215"/>
        </w:trPr>
        <w:tc>
          <w:tcPr>
            <w:tcW w:w="3103" w:type="dxa"/>
            <w:tcBorders>
              <w:top w:val="single" w:sz="4" w:space="0" w:color="808080" w:themeColor="background1" w:themeShade="80"/>
              <w:right w:val="single" w:sz="4" w:space="0" w:color="808080" w:themeColor="background1" w:themeShade="80"/>
            </w:tcBorders>
            <w:shd w:val="clear" w:color="auto" w:fill="auto"/>
            <w:noWrap/>
            <w:vAlign w:val="center"/>
            <w:hideMark/>
          </w:tcPr>
          <w:p w14:paraId="67C16DD5" w14:textId="77777777" w:rsidR="00A069D5" w:rsidRPr="00CE0792" w:rsidRDefault="00A069D5" w:rsidP="00A069D5">
            <w:pPr>
              <w:spacing w:before="60" w:after="60"/>
              <w:rPr>
                <w:rFonts w:ascii="Arial" w:hAnsi="Arial" w:cs="Arial"/>
                <w:b/>
                <w:bCs/>
                <w:sz w:val="16"/>
                <w:szCs w:val="16"/>
              </w:rPr>
            </w:pPr>
            <w:r w:rsidRPr="00CE0792">
              <w:rPr>
                <w:rFonts w:ascii="Arial" w:hAnsi="Arial" w:cs="Arial"/>
                <w:b/>
                <w:bCs/>
                <w:sz w:val="16"/>
                <w:szCs w:val="16"/>
              </w:rPr>
              <w:t>REPUBLIC OF SERBIA</w:t>
            </w:r>
          </w:p>
        </w:tc>
        <w:tc>
          <w:tcPr>
            <w:tcW w:w="788" w:type="dxa"/>
            <w:tcBorders>
              <w:top w:val="single" w:sz="4" w:space="0" w:color="808080" w:themeColor="background1" w:themeShade="80"/>
              <w:left w:val="single" w:sz="4" w:space="0" w:color="808080" w:themeColor="background1" w:themeShade="80"/>
            </w:tcBorders>
            <w:shd w:val="clear" w:color="auto" w:fill="auto"/>
            <w:noWrap/>
            <w:vAlign w:val="bottom"/>
            <w:hideMark/>
          </w:tcPr>
          <w:p w14:paraId="029F603F" w14:textId="77777777" w:rsidR="00A069D5" w:rsidRPr="00CE0792" w:rsidRDefault="00A069D5" w:rsidP="00A069D5">
            <w:pPr>
              <w:spacing w:before="60" w:after="60"/>
              <w:ind w:right="113"/>
              <w:jc w:val="right"/>
              <w:rPr>
                <w:rFonts w:ascii="Arial" w:hAnsi="Arial" w:cs="Arial"/>
                <w:b/>
                <w:color w:val="000000"/>
                <w:sz w:val="16"/>
                <w:szCs w:val="16"/>
              </w:rPr>
            </w:pPr>
            <w:r w:rsidRPr="00CE0792">
              <w:rPr>
                <w:rFonts w:ascii="Arial" w:hAnsi="Arial" w:cs="Arial"/>
                <w:b/>
                <w:color w:val="000000"/>
                <w:sz w:val="16"/>
                <w:szCs w:val="16"/>
              </w:rPr>
              <w:t>127421</w:t>
            </w:r>
          </w:p>
        </w:tc>
        <w:tc>
          <w:tcPr>
            <w:tcW w:w="905" w:type="dxa"/>
            <w:tcBorders>
              <w:top w:val="single" w:sz="4" w:space="0" w:color="808080" w:themeColor="background1" w:themeShade="80"/>
            </w:tcBorders>
            <w:shd w:val="clear" w:color="auto" w:fill="auto"/>
            <w:noWrap/>
            <w:vAlign w:val="bottom"/>
            <w:hideMark/>
          </w:tcPr>
          <w:p w14:paraId="373BF886" w14:textId="77777777" w:rsidR="00A069D5" w:rsidRPr="00CE0792" w:rsidRDefault="00A069D5" w:rsidP="00A069D5">
            <w:pPr>
              <w:spacing w:before="60" w:after="60"/>
              <w:ind w:right="113"/>
              <w:jc w:val="right"/>
              <w:rPr>
                <w:rFonts w:ascii="Arial" w:hAnsi="Arial" w:cs="Arial"/>
                <w:b/>
                <w:color w:val="000000"/>
                <w:sz w:val="16"/>
                <w:szCs w:val="16"/>
              </w:rPr>
            </w:pPr>
            <w:r w:rsidRPr="00CE0792">
              <w:rPr>
                <w:rFonts w:ascii="Arial" w:hAnsi="Arial" w:cs="Arial"/>
                <w:b/>
                <w:color w:val="000000"/>
                <w:sz w:val="16"/>
                <w:szCs w:val="16"/>
              </w:rPr>
              <w:t>47627</w:t>
            </w:r>
          </w:p>
        </w:tc>
        <w:tc>
          <w:tcPr>
            <w:tcW w:w="805" w:type="dxa"/>
            <w:tcBorders>
              <w:top w:val="single" w:sz="4" w:space="0" w:color="808080" w:themeColor="background1" w:themeShade="80"/>
            </w:tcBorders>
            <w:shd w:val="clear" w:color="auto" w:fill="auto"/>
            <w:noWrap/>
            <w:vAlign w:val="bottom"/>
            <w:hideMark/>
          </w:tcPr>
          <w:p w14:paraId="12BA09E5" w14:textId="77777777" w:rsidR="00A069D5" w:rsidRPr="00CE0792" w:rsidRDefault="00A069D5" w:rsidP="00A069D5">
            <w:pPr>
              <w:spacing w:before="60" w:after="60"/>
              <w:ind w:right="113"/>
              <w:jc w:val="right"/>
              <w:rPr>
                <w:rFonts w:ascii="Arial" w:hAnsi="Arial" w:cs="Arial"/>
                <w:b/>
                <w:color w:val="000000"/>
                <w:sz w:val="16"/>
                <w:szCs w:val="16"/>
              </w:rPr>
            </w:pPr>
            <w:r w:rsidRPr="00CE0792">
              <w:rPr>
                <w:rFonts w:ascii="Arial" w:hAnsi="Arial" w:cs="Arial"/>
                <w:b/>
                <w:color w:val="000000"/>
                <w:sz w:val="16"/>
                <w:szCs w:val="16"/>
              </w:rPr>
              <w:t>127421</w:t>
            </w:r>
          </w:p>
        </w:tc>
        <w:tc>
          <w:tcPr>
            <w:tcW w:w="888" w:type="dxa"/>
            <w:tcBorders>
              <w:top w:val="single" w:sz="4" w:space="0" w:color="808080" w:themeColor="background1" w:themeShade="80"/>
            </w:tcBorders>
            <w:shd w:val="clear" w:color="auto" w:fill="auto"/>
            <w:noWrap/>
            <w:vAlign w:val="bottom"/>
            <w:hideMark/>
          </w:tcPr>
          <w:p w14:paraId="061A5F2D" w14:textId="77777777" w:rsidR="00A069D5" w:rsidRPr="00CE0792" w:rsidRDefault="00A069D5" w:rsidP="00A069D5">
            <w:pPr>
              <w:spacing w:before="60" w:after="60"/>
              <w:ind w:right="113"/>
              <w:jc w:val="right"/>
              <w:rPr>
                <w:rFonts w:ascii="Arial" w:hAnsi="Arial" w:cs="Arial"/>
                <w:b/>
                <w:color w:val="000000"/>
                <w:sz w:val="16"/>
                <w:szCs w:val="16"/>
              </w:rPr>
            </w:pPr>
            <w:r w:rsidRPr="00CE0792">
              <w:rPr>
                <w:rFonts w:ascii="Arial" w:hAnsi="Arial" w:cs="Arial"/>
                <w:b/>
                <w:color w:val="000000"/>
                <w:sz w:val="16"/>
                <w:szCs w:val="16"/>
              </w:rPr>
              <w:t>47627</w:t>
            </w:r>
          </w:p>
        </w:tc>
        <w:tc>
          <w:tcPr>
            <w:tcW w:w="1134" w:type="dxa"/>
            <w:tcBorders>
              <w:top w:val="single" w:sz="4" w:space="0" w:color="808080" w:themeColor="background1" w:themeShade="80"/>
            </w:tcBorders>
            <w:shd w:val="clear" w:color="auto" w:fill="auto"/>
            <w:noWrap/>
            <w:vAlign w:val="bottom"/>
            <w:hideMark/>
          </w:tcPr>
          <w:p w14:paraId="3CC1F1AD" w14:textId="77777777" w:rsidR="00A069D5" w:rsidRPr="00CE0792" w:rsidRDefault="00A069D5" w:rsidP="00A069D5">
            <w:pPr>
              <w:spacing w:before="60" w:after="60"/>
              <w:ind w:right="113"/>
              <w:jc w:val="right"/>
              <w:rPr>
                <w:rFonts w:ascii="Arial" w:hAnsi="Arial" w:cs="Arial"/>
                <w:b/>
                <w:color w:val="000000"/>
                <w:sz w:val="16"/>
                <w:szCs w:val="16"/>
              </w:rPr>
            </w:pPr>
            <w:r w:rsidRPr="00CE0792">
              <w:rPr>
                <w:rFonts w:ascii="Arial" w:hAnsi="Arial" w:cs="Arial"/>
                <w:b/>
                <w:color w:val="000000"/>
                <w:sz w:val="16"/>
                <w:szCs w:val="16"/>
              </w:rPr>
              <w:t>0</w:t>
            </w:r>
          </w:p>
        </w:tc>
        <w:tc>
          <w:tcPr>
            <w:tcW w:w="1053" w:type="dxa"/>
            <w:tcBorders>
              <w:top w:val="single" w:sz="4" w:space="0" w:color="808080" w:themeColor="background1" w:themeShade="80"/>
            </w:tcBorders>
            <w:shd w:val="clear" w:color="auto" w:fill="auto"/>
            <w:noWrap/>
            <w:vAlign w:val="bottom"/>
            <w:hideMark/>
          </w:tcPr>
          <w:p w14:paraId="776159C1" w14:textId="77777777" w:rsidR="00A069D5" w:rsidRPr="00CE0792" w:rsidRDefault="00A069D5" w:rsidP="00A069D5">
            <w:pPr>
              <w:spacing w:before="60" w:after="60"/>
              <w:ind w:right="113"/>
              <w:jc w:val="right"/>
              <w:rPr>
                <w:rFonts w:ascii="Arial" w:hAnsi="Arial" w:cs="Arial"/>
                <w:b/>
                <w:color w:val="000000"/>
                <w:sz w:val="16"/>
                <w:szCs w:val="16"/>
              </w:rPr>
            </w:pPr>
            <w:r w:rsidRPr="00CE0792">
              <w:rPr>
                <w:rFonts w:ascii="Arial" w:hAnsi="Arial" w:cs="Arial"/>
                <w:b/>
                <w:color w:val="000000"/>
                <w:sz w:val="16"/>
                <w:szCs w:val="16"/>
              </w:rPr>
              <w:t>48859</w:t>
            </w:r>
          </w:p>
        </w:tc>
        <w:tc>
          <w:tcPr>
            <w:tcW w:w="1053" w:type="dxa"/>
            <w:tcBorders>
              <w:top w:val="single" w:sz="4" w:space="0" w:color="808080" w:themeColor="background1" w:themeShade="80"/>
            </w:tcBorders>
            <w:shd w:val="clear" w:color="auto" w:fill="auto"/>
            <w:noWrap/>
            <w:vAlign w:val="bottom"/>
            <w:hideMark/>
          </w:tcPr>
          <w:p w14:paraId="6CBD2E22" w14:textId="77777777" w:rsidR="00A069D5" w:rsidRPr="00CE0792" w:rsidRDefault="00A069D5" w:rsidP="00A069D5">
            <w:pPr>
              <w:spacing w:before="60" w:after="60"/>
              <w:ind w:right="113"/>
              <w:jc w:val="right"/>
              <w:rPr>
                <w:rFonts w:ascii="Arial" w:hAnsi="Arial" w:cs="Arial"/>
                <w:b/>
                <w:color w:val="000000"/>
                <w:sz w:val="16"/>
                <w:szCs w:val="16"/>
              </w:rPr>
            </w:pPr>
            <w:r w:rsidRPr="00CE0792">
              <w:rPr>
                <w:rFonts w:ascii="Arial" w:hAnsi="Arial" w:cs="Arial"/>
                <w:b/>
                <w:color w:val="000000"/>
                <w:sz w:val="16"/>
                <w:szCs w:val="16"/>
              </w:rPr>
              <w:t>30935</w:t>
            </w:r>
          </w:p>
        </w:tc>
      </w:tr>
      <w:tr w:rsidR="00A069D5" w:rsidRPr="00CE0792" w14:paraId="49642938" w14:textId="77777777" w:rsidTr="00847B97">
        <w:trPr>
          <w:trHeight w:val="215"/>
        </w:trPr>
        <w:tc>
          <w:tcPr>
            <w:tcW w:w="3103" w:type="dxa"/>
            <w:tcBorders>
              <w:right w:val="single" w:sz="4" w:space="0" w:color="808080" w:themeColor="background1" w:themeShade="80"/>
            </w:tcBorders>
            <w:shd w:val="clear" w:color="auto" w:fill="F2F2F2" w:themeFill="background1" w:themeFillShade="F2"/>
            <w:noWrap/>
            <w:vAlign w:val="center"/>
            <w:hideMark/>
          </w:tcPr>
          <w:p w14:paraId="79AD9E67" w14:textId="77777777" w:rsidR="00A069D5" w:rsidRPr="00CE0792" w:rsidRDefault="00A069D5" w:rsidP="00A069D5">
            <w:pPr>
              <w:spacing w:before="60" w:after="60"/>
              <w:rPr>
                <w:rFonts w:ascii="Arial" w:hAnsi="Arial" w:cs="Arial"/>
                <w:sz w:val="16"/>
                <w:szCs w:val="16"/>
              </w:rPr>
            </w:pPr>
            <w:r w:rsidRPr="00CE0792">
              <w:rPr>
                <w:rFonts w:ascii="Arial" w:hAnsi="Arial" w:cs="Arial"/>
                <w:sz w:val="16"/>
                <w:szCs w:val="16"/>
              </w:rPr>
              <w:t>Beogradska oblast (Grad Beograd)</w:t>
            </w:r>
          </w:p>
        </w:tc>
        <w:tc>
          <w:tcPr>
            <w:tcW w:w="788" w:type="dxa"/>
            <w:tcBorders>
              <w:left w:val="single" w:sz="4" w:space="0" w:color="808080" w:themeColor="background1" w:themeShade="80"/>
            </w:tcBorders>
            <w:shd w:val="clear" w:color="auto" w:fill="F2F2F2" w:themeFill="background1" w:themeFillShade="F2"/>
            <w:noWrap/>
            <w:vAlign w:val="bottom"/>
            <w:hideMark/>
          </w:tcPr>
          <w:p w14:paraId="14A2E00A"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52964</w:t>
            </w:r>
          </w:p>
        </w:tc>
        <w:tc>
          <w:tcPr>
            <w:tcW w:w="905" w:type="dxa"/>
            <w:shd w:val="clear" w:color="auto" w:fill="F2F2F2" w:themeFill="background1" w:themeFillShade="F2"/>
            <w:noWrap/>
            <w:vAlign w:val="bottom"/>
            <w:hideMark/>
          </w:tcPr>
          <w:p w14:paraId="4779949B"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16856</w:t>
            </w:r>
          </w:p>
        </w:tc>
        <w:tc>
          <w:tcPr>
            <w:tcW w:w="805" w:type="dxa"/>
            <w:shd w:val="clear" w:color="auto" w:fill="F2F2F2" w:themeFill="background1" w:themeFillShade="F2"/>
            <w:noWrap/>
            <w:vAlign w:val="bottom"/>
            <w:hideMark/>
          </w:tcPr>
          <w:p w14:paraId="1E46E842"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45240</w:t>
            </w:r>
          </w:p>
        </w:tc>
        <w:tc>
          <w:tcPr>
            <w:tcW w:w="888" w:type="dxa"/>
            <w:shd w:val="clear" w:color="auto" w:fill="F2F2F2" w:themeFill="background1" w:themeFillShade="F2"/>
            <w:noWrap/>
            <w:vAlign w:val="bottom"/>
            <w:hideMark/>
          </w:tcPr>
          <w:p w14:paraId="2148FFAC"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9132</w:t>
            </w:r>
          </w:p>
        </w:tc>
        <w:tc>
          <w:tcPr>
            <w:tcW w:w="1134" w:type="dxa"/>
            <w:shd w:val="clear" w:color="auto" w:fill="F2F2F2" w:themeFill="background1" w:themeFillShade="F2"/>
            <w:noWrap/>
            <w:vAlign w:val="bottom"/>
            <w:hideMark/>
          </w:tcPr>
          <w:p w14:paraId="08853F35"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7724</w:t>
            </w:r>
          </w:p>
        </w:tc>
        <w:tc>
          <w:tcPr>
            <w:tcW w:w="1053" w:type="dxa"/>
            <w:shd w:val="clear" w:color="auto" w:fill="F2F2F2" w:themeFill="background1" w:themeFillShade="F2"/>
            <w:noWrap/>
            <w:vAlign w:val="bottom"/>
            <w:hideMark/>
          </w:tcPr>
          <w:p w14:paraId="7AD67FEF"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32628</w:t>
            </w:r>
          </w:p>
        </w:tc>
        <w:tc>
          <w:tcPr>
            <w:tcW w:w="1053" w:type="dxa"/>
            <w:shd w:val="clear" w:color="auto" w:fill="F2F2F2" w:themeFill="background1" w:themeFillShade="F2"/>
            <w:noWrap/>
            <w:vAlign w:val="bottom"/>
            <w:hideMark/>
          </w:tcPr>
          <w:p w14:paraId="11F6F00F"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3480</w:t>
            </w:r>
          </w:p>
        </w:tc>
      </w:tr>
      <w:tr w:rsidR="00A069D5" w:rsidRPr="00CE0792" w14:paraId="3A6F09B4" w14:textId="77777777" w:rsidTr="00847B97">
        <w:trPr>
          <w:trHeight w:val="215"/>
        </w:trPr>
        <w:tc>
          <w:tcPr>
            <w:tcW w:w="3103" w:type="dxa"/>
            <w:tcBorders>
              <w:right w:val="single" w:sz="4" w:space="0" w:color="808080" w:themeColor="background1" w:themeShade="80"/>
            </w:tcBorders>
            <w:shd w:val="clear" w:color="auto" w:fill="auto"/>
            <w:noWrap/>
            <w:vAlign w:val="center"/>
            <w:hideMark/>
          </w:tcPr>
          <w:p w14:paraId="228E24E9" w14:textId="77777777" w:rsidR="00A069D5" w:rsidRPr="00CE0792" w:rsidRDefault="00A069D5" w:rsidP="00A069D5">
            <w:pPr>
              <w:spacing w:before="60" w:after="60"/>
              <w:rPr>
                <w:rFonts w:ascii="Arial" w:hAnsi="Arial" w:cs="Arial"/>
                <w:sz w:val="16"/>
                <w:szCs w:val="16"/>
              </w:rPr>
            </w:pPr>
            <w:r w:rsidRPr="00CE0792">
              <w:rPr>
                <w:rFonts w:ascii="Arial" w:hAnsi="Arial" w:cs="Arial"/>
                <w:sz w:val="16"/>
                <w:szCs w:val="16"/>
              </w:rPr>
              <w:t xml:space="preserve">Zapadnobačka oblast </w:t>
            </w:r>
          </w:p>
        </w:tc>
        <w:tc>
          <w:tcPr>
            <w:tcW w:w="788" w:type="dxa"/>
            <w:tcBorders>
              <w:left w:val="single" w:sz="4" w:space="0" w:color="808080" w:themeColor="background1" w:themeShade="80"/>
            </w:tcBorders>
            <w:shd w:val="clear" w:color="auto" w:fill="auto"/>
            <w:noWrap/>
            <w:vAlign w:val="bottom"/>
            <w:hideMark/>
          </w:tcPr>
          <w:p w14:paraId="422AB0C6"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2090</w:t>
            </w:r>
          </w:p>
        </w:tc>
        <w:tc>
          <w:tcPr>
            <w:tcW w:w="905" w:type="dxa"/>
            <w:shd w:val="clear" w:color="auto" w:fill="auto"/>
            <w:noWrap/>
            <w:vAlign w:val="bottom"/>
            <w:hideMark/>
          </w:tcPr>
          <w:p w14:paraId="7ACC6342"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1036</w:t>
            </w:r>
          </w:p>
        </w:tc>
        <w:tc>
          <w:tcPr>
            <w:tcW w:w="805" w:type="dxa"/>
            <w:shd w:val="clear" w:color="auto" w:fill="auto"/>
            <w:noWrap/>
            <w:vAlign w:val="bottom"/>
            <w:hideMark/>
          </w:tcPr>
          <w:p w14:paraId="0E08D82F"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2490</w:t>
            </w:r>
          </w:p>
        </w:tc>
        <w:tc>
          <w:tcPr>
            <w:tcW w:w="888" w:type="dxa"/>
            <w:shd w:val="clear" w:color="auto" w:fill="auto"/>
            <w:noWrap/>
            <w:vAlign w:val="bottom"/>
            <w:hideMark/>
          </w:tcPr>
          <w:p w14:paraId="045A4AA2"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1436</w:t>
            </w:r>
          </w:p>
        </w:tc>
        <w:tc>
          <w:tcPr>
            <w:tcW w:w="1134" w:type="dxa"/>
            <w:shd w:val="clear" w:color="auto" w:fill="auto"/>
            <w:noWrap/>
            <w:vAlign w:val="bottom"/>
            <w:hideMark/>
          </w:tcPr>
          <w:p w14:paraId="16EDEE3D"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-400</w:t>
            </w:r>
          </w:p>
        </w:tc>
        <w:tc>
          <w:tcPr>
            <w:tcW w:w="1053" w:type="dxa"/>
            <w:shd w:val="clear" w:color="auto" w:fill="auto"/>
            <w:noWrap/>
            <w:vAlign w:val="bottom"/>
            <w:hideMark/>
          </w:tcPr>
          <w:p w14:paraId="40D95547"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304</w:t>
            </w:r>
          </w:p>
        </w:tc>
        <w:tc>
          <w:tcPr>
            <w:tcW w:w="1053" w:type="dxa"/>
            <w:shd w:val="clear" w:color="auto" w:fill="auto"/>
            <w:noWrap/>
            <w:vAlign w:val="bottom"/>
            <w:hideMark/>
          </w:tcPr>
          <w:p w14:paraId="6CA96AB1"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750</w:t>
            </w:r>
          </w:p>
        </w:tc>
      </w:tr>
      <w:tr w:rsidR="00A069D5" w:rsidRPr="00CE0792" w14:paraId="392D03FA" w14:textId="77777777" w:rsidTr="00847B97">
        <w:trPr>
          <w:trHeight w:val="227"/>
        </w:trPr>
        <w:tc>
          <w:tcPr>
            <w:tcW w:w="3103" w:type="dxa"/>
            <w:tcBorders>
              <w:right w:val="single" w:sz="4" w:space="0" w:color="808080" w:themeColor="background1" w:themeShade="80"/>
            </w:tcBorders>
            <w:shd w:val="clear" w:color="auto" w:fill="F2F2F2" w:themeFill="background1" w:themeFillShade="F2"/>
            <w:noWrap/>
            <w:vAlign w:val="center"/>
            <w:hideMark/>
          </w:tcPr>
          <w:p w14:paraId="50D40C8A" w14:textId="77777777" w:rsidR="00A069D5" w:rsidRPr="00CE0792" w:rsidRDefault="00A069D5" w:rsidP="00A069D5">
            <w:pPr>
              <w:spacing w:before="60" w:after="60"/>
              <w:rPr>
                <w:rFonts w:ascii="Arial" w:hAnsi="Arial" w:cs="Arial"/>
                <w:sz w:val="16"/>
                <w:szCs w:val="16"/>
              </w:rPr>
            </w:pPr>
            <w:r w:rsidRPr="00CE0792">
              <w:rPr>
                <w:rFonts w:ascii="Arial" w:hAnsi="Arial" w:cs="Arial"/>
                <w:sz w:val="16"/>
                <w:szCs w:val="16"/>
              </w:rPr>
              <w:t>Južnobanatska oblast</w:t>
            </w:r>
          </w:p>
        </w:tc>
        <w:tc>
          <w:tcPr>
            <w:tcW w:w="788" w:type="dxa"/>
            <w:tcBorders>
              <w:left w:val="single" w:sz="4" w:space="0" w:color="808080" w:themeColor="background1" w:themeShade="80"/>
            </w:tcBorders>
            <w:shd w:val="clear" w:color="auto" w:fill="F2F2F2" w:themeFill="background1" w:themeFillShade="F2"/>
            <w:noWrap/>
            <w:vAlign w:val="bottom"/>
            <w:hideMark/>
          </w:tcPr>
          <w:p w14:paraId="71F1F547"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3709</w:t>
            </w:r>
          </w:p>
        </w:tc>
        <w:tc>
          <w:tcPr>
            <w:tcW w:w="905" w:type="dxa"/>
            <w:shd w:val="clear" w:color="auto" w:fill="F2F2F2" w:themeFill="background1" w:themeFillShade="F2"/>
            <w:noWrap/>
            <w:vAlign w:val="bottom"/>
            <w:hideMark/>
          </w:tcPr>
          <w:p w14:paraId="6A5B9B41"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1630</w:t>
            </w:r>
          </w:p>
        </w:tc>
        <w:tc>
          <w:tcPr>
            <w:tcW w:w="805" w:type="dxa"/>
            <w:shd w:val="clear" w:color="auto" w:fill="F2F2F2" w:themeFill="background1" w:themeFillShade="F2"/>
            <w:noWrap/>
            <w:vAlign w:val="bottom"/>
            <w:hideMark/>
          </w:tcPr>
          <w:p w14:paraId="575FED32"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3820</w:t>
            </w:r>
          </w:p>
        </w:tc>
        <w:tc>
          <w:tcPr>
            <w:tcW w:w="888" w:type="dxa"/>
            <w:shd w:val="clear" w:color="auto" w:fill="F2F2F2" w:themeFill="background1" w:themeFillShade="F2"/>
            <w:noWrap/>
            <w:vAlign w:val="bottom"/>
            <w:hideMark/>
          </w:tcPr>
          <w:p w14:paraId="161B762D"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1741</w:t>
            </w:r>
          </w:p>
        </w:tc>
        <w:tc>
          <w:tcPr>
            <w:tcW w:w="1134" w:type="dxa"/>
            <w:shd w:val="clear" w:color="auto" w:fill="F2F2F2" w:themeFill="background1" w:themeFillShade="F2"/>
            <w:noWrap/>
            <w:vAlign w:val="bottom"/>
            <w:hideMark/>
          </w:tcPr>
          <w:p w14:paraId="36915C1D"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-111</w:t>
            </w:r>
          </w:p>
        </w:tc>
        <w:tc>
          <w:tcPr>
            <w:tcW w:w="1053" w:type="dxa"/>
            <w:shd w:val="clear" w:color="auto" w:fill="F2F2F2" w:themeFill="background1" w:themeFillShade="F2"/>
            <w:noWrap/>
            <w:vAlign w:val="bottom"/>
            <w:hideMark/>
          </w:tcPr>
          <w:p w14:paraId="01878E1E"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870</w:t>
            </w:r>
          </w:p>
        </w:tc>
        <w:tc>
          <w:tcPr>
            <w:tcW w:w="1053" w:type="dxa"/>
            <w:shd w:val="clear" w:color="auto" w:fill="F2F2F2" w:themeFill="background1" w:themeFillShade="F2"/>
            <w:noWrap/>
            <w:vAlign w:val="bottom"/>
            <w:hideMark/>
          </w:tcPr>
          <w:p w14:paraId="4863D69C"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1209</w:t>
            </w:r>
          </w:p>
        </w:tc>
      </w:tr>
      <w:tr w:rsidR="00A069D5" w:rsidRPr="00CE0792" w14:paraId="0F522806" w14:textId="77777777" w:rsidTr="00847B97">
        <w:trPr>
          <w:trHeight w:val="227"/>
        </w:trPr>
        <w:tc>
          <w:tcPr>
            <w:tcW w:w="3103" w:type="dxa"/>
            <w:tcBorders>
              <w:right w:val="single" w:sz="4" w:space="0" w:color="808080" w:themeColor="background1" w:themeShade="80"/>
            </w:tcBorders>
            <w:shd w:val="clear" w:color="auto" w:fill="auto"/>
            <w:noWrap/>
            <w:vAlign w:val="center"/>
            <w:hideMark/>
          </w:tcPr>
          <w:p w14:paraId="0EFE62F1" w14:textId="77777777" w:rsidR="00A069D5" w:rsidRPr="00CE0792" w:rsidRDefault="00A069D5" w:rsidP="00A069D5">
            <w:pPr>
              <w:spacing w:before="60" w:after="60"/>
              <w:rPr>
                <w:rFonts w:ascii="Arial" w:hAnsi="Arial" w:cs="Arial"/>
                <w:sz w:val="16"/>
                <w:szCs w:val="16"/>
              </w:rPr>
            </w:pPr>
            <w:r w:rsidRPr="00CE0792">
              <w:rPr>
                <w:rFonts w:ascii="Arial" w:hAnsi="Arial" w:cs="Arial"/>
                <w:sz w:val="16"/>
                <w:szCs w:val="16"/>
              </w:rPr>
              <w:t>Južnobačka oblast</w:t>
            </w:r>
          </w:p>
        </w:tc>
        <w:tc>
          <w:tcPr>
            <w:tcW w:w="788" w:type="dxa"/>
            <w:tcBorders>
              <w:left w:val="single" w:sz="4" w:space="0" w:color="808080" w:themeColor="background1" w:themeShade="80"/>
            </w:tcBorders>
            <w:shd w:val="clear" w:color="auto" w:fill="auto"/>
            <w:noWrap/>
            <w:vAlign w:val="bottom"/>
            <w:hideMark/>
          </w:tcPr>
          <w:p w14:paraId="50267837"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12131</w:t>
            </w:r>
          </w:p>
        </w:tc>
        <w:tc>
          <w:tcPr>
            <w:tcW w:w="905" w:type="dxa"/>
            <w:shd w:val="clear" w:color="auto" w:fill="auto"/>
            <w:noWrap/>
            <w:vAlign w:val="bottom"/>
            <w:hideMark/>
          </w:tcPr>
          <w:p w14:paraId="6EDEA673"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5363</w:t>
            </w:r>
          </w:p>
        </w:tc>
        <w:tc>
          <w:tcPr>
            <w:tcW w:w="805" w:type="dxa"/>
            <w:shd w:val="clear" w:color="auto" w:fill="auto"/>
            <w:noWrap/>
            <w:vAlign w:val="bottom"/>
            <w:hideMark/>
          </w:tcPr>
          <w:p w14:paraId="6EA48D20"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10381</w:t>
            </w:r>
          </w:p>
        </w:tc>
        <w:tc>
          <w:tcPr>
            <w:tcW w:w="888" w:type="dxa"/>
            <w:shd w:val="clear" w:color="auto" w:fill="auto"/>
            <w:noWrap/>
            <w:vAlign w:val="bottom"/>
            <w:hideMark/>
          </w:tcPr>
          <w:p w14:paraId="39C6EE80"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3613</w:t>
            </w:r>
          </w:p>
        </w:tc>
        <w:tc>
          <w:tcPr>
            <w:tcW w:w="1134" w:type="dxa"/>
            <w:shd w:val="clear" w:color="auto" w:fill="auto"/>
            <w:noWrap/>
            <w:vAlign w:val="bottom"/>
            <w:hideMark/>
          </w:tcPr>
          <w:p w14:paraId="1FB8714E"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1750</w:t>
            </w:r>
          </w:p>
        </w:tc>
        <w:tc>
          <w:tcPr>
            <w:tcW w:w="1053" w:type="dxa"/>
            <w:shd w:val="clear" w:color="auto" w:fill="auto"/>
            <w:noWrap/>
            <w:vAlign w:val="bottom"/>
            <w:hideMark/>
          </w:tcPr>
          <w:p w14:paraId="01DF77C9"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4326</w:t>
            </w:r>
          </w:p>
        </w:tc>
        <w:tc>
          <w:tcPr>
            <w:tcW w:w="1053" w:type="dxa"/>
            <w:shd w:val="clear" w:color="auto" w:fill="auto"/>
            <w:noWrap/>
            <w:vAlign w:val="bottom"/>
            <w:hideMark/>
          </w:tcPr>
          <w:p w14:paraId="75030134"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2442</w:t>
            </w:r>
          </w:p>
        </w:tc>
      </w:tr>
      <w:tr w:rsidR="00A069D5" w:rsidRPr="00CE0792" w14:paraId="7D4302B8" w14:textId="77777777" w:rsidTr="00847B97">
        <w:trPr>
          <w:trHeight w:val="215"/>
        </w:trPr>
        <w:tc>
          <w:tcPr>
            <w:tcW w:w="3103" w:type="dxa"/>
            <w:tcBorders>
              <w:right w:val="single" w:sz="4" w:space="0" w:color="808080" w:themeColor="background1" w:themeShade="80"/>
            </w:tcBorders>
            <w:shd w:val="clear" w:color="auto" w:fill="F2F2F2" w:themeFill="background1" w:themeFillShade="F2"/>
            <w:noWrap/>
            <w:vAlign w:val="center"/>
            <w:hideMark/>
          </w:tcPr>
          <w:p w14:paraId="5DD62999" w14:textId="77777777" w:rsidR="00A069D5" w:rsidRPr="00CE0792" w:rsidRDefault="00A069D5" w:rsidP="00A069D5">
            <w:pPr>
              <w:spacing w:before="60" w:after="60"/>
              <w:rPr>
                <w:rFonts w:ascii="Arial" w:hAnsi="Arial" w:cs="Arial"/>
                <w:sz w:val="16"/>
                <w:szCs w:val="16"/>
              </w:rPr>
            </w:pPr>
            <w:r w:rsidRPr="00CE0792">
              <w:rPr>
                <w:rFonts w:ascii="Arial" w:hAnsi="Arial" w:cs="Arial"/>
                <w:sz w:val="16"/>
                <w:szCs w:val="16"/>
              </w:rPr>
              <w:t>Severnobanatska oblast</w:t>
            </w:r>
          </w:p>
        </w:tc>
        <w:tc>
          <w:tcPr>
            <w:tcW w:w="788" w:type="dxa"/>
            <w:tcBorders>
              <w:left w:val="single" w:sz="4" w:space="0" w:color="808080" w:themeColor="background1" w:themeShade="80"/>
            </w:tcBorders>
            <w:shd w:val="clear" w:color="auto" w:fill="F2F2F2" w:themeFill="background1" w:themeFillShade="F2"/>
            <w:noWrap/>
            <w:vAlign w:val="bottom"/>
            <w:hideMark/>
          </w:tcPr>
          <w:p w14:paraId="7C06ADFE"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1718</w:t>
            </w:r>
          </w:p>
        </w:tc>
        <w:tc>
          <w:tcPr>
            <w:tcW w:w="905" w:type="dxa"/>
            <w:shd w:val="clear" w:color="auto" w:fill="F2F2F2" w:themeFill="background1" w:themeFillShade="F2"/>
            <w:noWrap/>
            <w:vAlign w:val="bottom"/>
            <w:hideMark/>
          </w:tcPr>
          <w:p w14:paraId="274DDA31"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783</w:t>
            </w:r>
          </w:p>
        </w:tc>
        <w:tc>
          <w:tcPr>
            <w:tcW w:w="805" w:type="dxa"/>
            <w:shd w:val="clear" w:color="auto" w:fill="F2F2F2" w:themeFill="background1" w:themeFillShade="F2"/>
            <w:noWrap/>
            <w:vAlign w:val="bottom"/>
            <w:hideMark/>
          </w:tcPr>
          <w:p w14:paraId="70B85972"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1931</w:t>
            </w:r>
          </w:p>
        </w:tc>
        <w:tc>
          <w:tcPr>
            <w:tcW w:w="888" w:type="dxa"/>
            <w:shd w:val="clear" w:color="auto" w:fill="F2F2F2" w:themeFill="background1" w:themeFillShade="F2"/>
            <w:noWrap/>
            <w:vAlign w:val="bottom"/>
            <w:hideMark/>
          </w:tcPr>
          <w:p w14:paraId="6B4C6DD6"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996</w:t>
            </w:r>
          </w:p>
        </w:tc>
        <w:tc>
          <w:tcPr>
            <w:tcW w:w="1134" w:type="dxa"/>
            <w:shd w:val="clear" w:color="auto" w:fill="F2F2F2" w:themeFill="background1" w:themeFillShade="F2"/>
            <w:noWrap/>
            <w:vAlign w:val="bottom"/>
            <w:hideMark/>
          </w:tcPr>
          <w:p w14:paraId="6E1E9BA8"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-213</w:t>
            </w:r>
          </w:p>
        </w:tc>
        <w:tc>
          <w:tcPr>
            <w:tcW w:w="1053" w:type="dxa"/>
            <w:shd w:val="clear" w:color="auto" w:fill="F2F2F2" w:themeFill="background1" w:themeFillShade="F2"/>
            <w:noWrap/>
            <w:vAlign w:val="bottom"/>
            <w:hideMark/>
          </w:tcPr>
          <w:p w14:paraId="2746720C"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370</w:t>
            </w:r>
          </w:p>
        </w:tc>
        <w:tc>
          <w:tcPr>
            <w:tcW w:w="1053" w:type="dxa"/>
            <w:shd w:val="clear" w:color="auto" w:fill="F2F2F2" w:themeFill="background1" w:themeFillShade="F2"/>
            <w:noWrap/>
            <w:vAlign w:val="bottom"/>
            <w:hideMark/>
          </w:tcPr>
          <w:p w14:paraId="5491ED22"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565</w:t>
            </w:r>
          </w:p>
        </w:tc>
      </w:tr>
      <w:tr w:rsidR="00A069D5" w:rsidRPr="00CE0792" w14:paraId="6D03AEF3" w14:textId="77777777" w:rsidTr="00847B97">
        <w:trPr>
          <w:trHeight w:val="215"/>
        </w:trPr>
        <w:tc>
          <w:tcPr>
            <w:tcW w:w="3103" w:type="dxa"/>
            <w:tcBorders>
              <w:right w:val="single" w:sz="4" w:space="0" w:color="808080" w:themeColor="background1" w:themeShade="80"/>
            </w:tcBorders>
            <w:shd w:val="clear" w:color="auto" w:fill="auto"/>
            <w:noWrap/>
            <w:vAlign w:val="center"/>
            <w:hideMark/>
          </w:tcPr>
          <w:p w14:paraId="0ECC5717" w14:textId="77777777" w:rsidR="00A069D5" w:rsidRPr="00CE0792" w:rsidRDefault="00A069D5" w:rsidP="00A069D5">
            <w:pPr>
              <w:spacing w:before="60" w:after="60"/>
              <w:rPr>
                <w:rFonts w:ascii="Arial" w:hAnsi="Arial" w:cs="Arial"/>
                <w:sz w:val="16"/>
                <w:szCs w:val="16"/>
              </w:rPr>
            </w:pPr>
            <w:r w:rsidRPr="00CE0792">
              <w:rPr>
                <w:rFonts w:ascii="Arial" w:hAnsi="Arial" w:cs="Arial"/>
                <w:sz w:val="16"/>
                <w:szCs w:val="16"/>
              </w:rPr>
              <w:t>Severnobačka oblast</w:t>
            </w:r>
          </w:p>
        </w:tc>
        <w:tc>
          <w:tcPr>
            <w:tcW w:w="788" w:type="dxa"/>
            <w:tcBorders>
              <w:left w:val="single" w:sz="4" w:space="0" w:color="808080" w:themeColor="background1" w:themeShade="80"/>
            </w:tcBorders>
            <w:shd w:val="clear" w:color="auto" w:fill="auto"/>
            <w:noWrap/>
            <w:vAlign w:val="bottom"/>
            <w:hideMark/>
          </w:tcPr>
          <w:p w14:paraId="5035C5C7"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2373</w:t>
            </w:r>
          </w:p>
        </w:tc>
        <w:tc>
          <w:tcPr>
            <w:tcW w:w="905" w:type="dxa"/>
            <w:shd w:val="clear" w:color="auto" w:fill="auto"/>
            <w:noWrap/>
            <w:vAlign w:val="bottom"/>
            <w:hideMark/>
          </w:tcPr>
          <w:p w14:paraId="39F13484"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1090</w:t>
            </w:r>
          </w:p>
        </w:tc>
        <w:tc>
          <w:tcPr>
            <w:tcW w:w="805" w:type="dxa"/>
            <w:shd w:val="clear" w:color="auto" w:fill="auto"/>
            <w:noWrap/>
            <w:vAlign w:val="bottom"/>
            <w:hideMark/>
          </w:tcPr>
          <w:p w14:paraId="757881E5"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2306</w:t>
            </w:r>
          </w:p>
        </w:tc>
        <w:tc>
          <w:tcPr>
            <w:tcW w:w="888" w:type="dxa"/>
            <w:shd w:val="clear" w:color="auto" w:fill="auto"/>
            <w:noWrap/>
            <w:vAlign w:val="bottom"/>
            <w:hideMark/>
          </w:tcPr>
          <w:p w14:paraId="2B1C1525"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1023</w:t>
            </w:r>
          </w:p>
        </w:tc>
        <w:tc>
          <w:tcPr>
            <w:tcW w:w="1134" w:type="dxa"/>
            <w:shd w:val="clear" w:color="auto" w:fill="auto"/>
            <w:noWrap/>
            <w:vAlign w:val="bottom"/>
            <w:hideMark/>
          </w:tcPr>
          <w:p w14:paraId="6F63F618"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67</w:t>
            </w:r>
          </w:p>
        </w:tc>
        <w:tc>
          <w:tcPr>
            <w:tcW w:w="1053" w:type="dxa"/>
            <w:shd w:val="clear" w:color="auto" w:fill="auto"/>
            <w:noWrap/>
            <w:vAlign w:val="bottom"/>
            <w:hideMark/>
          </w:tcPr>
          <w:p w14:paraId="68E4E5C3"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254</w:t>
            </w:r>
          </w:p>
        </w:tc>
        <w:tc>
          <w:tcPr>
            <w:tcW w:w="1053" w:type="dxa"/>
            <w:shd w:val="clear" w:color="auto" w:fill="auto"/>
            <w:noWrap/>
            <w:vAlign w:val="bottom"/>
            <w:hideMark/>
          </w:tcPr>
          <w:p w14:paraId="304F4B2C"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1029</w:t>
            </w:r>
          </w:p>
        </w:tc>
      </w:tr>
      <w:tr w:rsidR="00A069D5" w:rsidRPr="00CE0792" w14:paraId="16D2A8BE" w14:textId="77777777" w:rsidTr="00847B97">
        <w:trPr>
          <w:trHeight w:val="215"/>
        </w:trPr>
        <w:tc>
          <w:tcPr>
            <w:tcW w:w="3103" w:type="dxa"/>
            <w:tcBorders>
              <w:right w:val="single" w:sz="4" w:space="0" w:color="808080" w:themeColor="background1" w:themeShade="80"/>
            </w:tcBorders>
            <w:shd w:val="clear" w:color="auto" w:fill="F2F2F2" w:themeFill="background1" w:themeFillShade="F2"/>
            <w:noWrap/>
            <w:vAlign w:val="center"/>
            <w:hideMark/>
          </w:tcPr>
          <w:p w14:paraId="415B838F" w14:textId="77777777" w:rsidR="00A069D5" w:rsidRPr="00CE0792" w:rsidRDefault="00A069D5" w:rsidP="00A069D5">
            <w:pPr>
              <w:spacing w:before="60" w:after="60"/>
              <w:rPr>
                <w:rFonts w:ascii="Arial" w:hAnsi="Arial" w:cs="Arial"/>
                <w:sz w:val="16"/>
                <w:szCs w:val="16"/>
              </w:rPr>
            </w:pPr>
            <w:r w:rsidRPr="00CE0792">
              <w:rPr>
                <w:rFonts w:ascii="Arial" w:hAnsi="Arial" w:cs="Arial"/>
                <w:sz w:val="16"/>
                <w:szCs w:val="16"/>
              </w:rPr>
              <w:t>Srednjobanatska oblast</w:t>
            </w:r>
          </w:p>
        </w:tc>
        <w:tc>
          <w:tcPr>
            <w:tcW w:w="788" w:type="dxa"/>
            <w:tcBorders>
              <w:left w:val="single" w:sz="4" w:space="0" w:color="808080" w:themeColor="background1" w:themeShade="80"/>
            </w:tcBorders>
            <w:shd w:val="clear" w:color="auto" w:fill="F2F2F2" w:themeFill="background1" w:themeFillShade="F2"/>
            <w:noWrap/>
            <w:vAlign w:val="bottom"/>
            <w:hideMark/>
          </w:tcPr>
          <w:p w14:paraId="6ED2D259"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2142</w:t>
            </w:r>
          </w:p>
        </w:tc>
        <w:tc>
          <w:tcPr>
            <w:tcW w:w="905" w:type="dxa"/>
            <w:shd w:val="clear" w:color="auto" w:fill="F2F2F2" w:themeFill="background1" w:themeFillShade="F2"/>
            <w:noWrap/>
            <w:vAlign w:val="bottom"/>
            <w:hideMark/>
          </w:tcPr>
          <w:p w14:paraId="28DC9286"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1049</w:t>
            </w:r>
          </w:p>
        </w:tc>
        <w:tc>
          <w:tcPr>
            <w:tcW w:w="805" w:type="dxa"/>
            <w:shd w:val="clear" w:color="auto" w:fill="F2F2F2" w:themeFill="background1" w:themeFillShade="F2"/>
            <w:noWrap/>
            <w:vAlign w:val="bottom"/>
            <w:hideMark/>
          </w:tcPr>
          <w:p w14:paraId="30EDF1A0"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2652</w:t>
            </w:r>
          </w:p>
        </w:tc>
        <w:tc>
          <w:tcPr>
            <w:tcW w:w="888" w:type="dxa"/>
            <w:shd w:val="clear" w:color="auto" w:fill="F2F2F2" w:themeFill="background1" w:themeFillShade="F2"/>
            <w:noWrap/>
            <w:vAlign w:val="bottom"/>
            <w:hideMark/>
          </w:tcPr>
          <w:p w14:paraId="335B63E3"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1559</w:t>
            </w:r>
          </w:p>
        </w:tc>
        <w:tc>
          <w:tcPr>
            <w:tcW w:w="1134" w:type="dxa"/>
            <w:shd w:val="clear" w:color="auto" w:fill="F2F2F2" w:themeFill="background1" w:themeFillShade="F2"/>
            <w:noWrap/>
            <w:vAlign w:val="bottom"/>
            <w:hideMark/>
          </w:tcPr>
          <w:p w14:paraId="5413D05C"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-510</w:t>
            </w:r>
          </w:p>
        </w:tc>
        <w:tc>
          <w:tcPr>
            <w:tcW w:w="1053" w:type="dxa"/>
            <w:shd w:val="clear" w:color="auto" w:fill="F2F2F2" w:themeFill="background1" w:themeFillShade="F2"/>
            <w:noWrap/>
            <w:vAlign w:val="bottom"/>
            <w:hideMark/>
          </w:tcPr>
          <w:p w14:paraId="172D2B8C"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437</w:t>
            </w:r>
          </w:p>
        </w:tc>
        <w:tc>
          <w:tcPr>
            <w:tcW w:w="1053" w:type="dxa"/>
            <w:shd w:val="clear" w:color="auto" w:fill="F2F2F2" w:themeFill="background1" w:themeFillShade="F2"/>
            <w:noWrap/>
            <w:vAlign w:val="bottom"/>
            <w:hideMark/>
          </w:tcPr>
          <w:p w14:paraId="3AEC5055"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656</w:t>
            </w:r>
          </w:p>
        </w:tc>
      </w:tr>
      <w:tr w:rsidR="00A069D5" w:rsidRPr="00CE0792" w14:paraId="5A0D8D81" w14:textId="77777777" w:rsidTr="00847B97">
        <w:trPr>
          <w:trHeight w:val="215"/>
        </w:trPr>
        <w:tc>
          <w:tcPr>
            <w:tcW w:w="3103" w:type="dxa"/>
            <w:tcBorders>
              <w:right w:val="single" w:sz="4" w:space="0" w:color="808080" w:themeColor="background1" w:themeShade="80"/>
            </w:tcBorders>
            <w:shd w:val="clear" w:color="auto" w:fill="auto"/>
            <w:noWrap/>
            <w:vAlign w:val="center"/>
            <w:hideMark/>
          </w:tcPr>
          <w:p w14:paraId="2AA04F07" w14:textId="77777777" w:rsidR="00A069D5" w:rsidRPr="00CE0792" w:rsidRDefault="00A069D5" w:rsidP="00A069D5">
            <w:pPr>
              <w:spacing w:before="60" w:after="60"/>
              <w:rPr>
                <w:rFonts w:ascii="Arial" w:hAnsi="Arial" w:cs="Arial"/>
                <w:sz w:val="16"/>
                <w:szCs w:val="16"/>
              </w:rPr>
            </w:pPr>
            <w:r w:rsidRPr="00CE0792">
              <w:rPr>
                <w:rFonts w:ascii="Arial" w:hAnsi="Arial" w:cs="Arial"/>
                <w:sz w:val="16"/>
                <w:szCs w:val="16"/>
              </w:rPr>
              <w:t>Sremska oblast</w:t>
            </w:r>
          </w:p>
        </w:tc>
        <w:tc>
          <w:tcPr>
            <w:tcW w:w="788" w:type="dxa"/>
            <w:tcBorders>
              <w:left w:val="single" w:sz="4" w:space="0" w:color="808080" w:themeColor="background1" w:themeShade="80"/>
            </w:tcBorders>
            <w:shd w:val="clear" w:color="auto" w:fill="auto"/>
            <w:noWrap/>
            <w:vAlign w:val="bottom"/>
            <w:hideMark/>
          </w:tcPr>
          <w:p w14:paraId="63047663"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4566</w:t>
            </w:r>
          </w:p>
        </w:tc>
        <w:tc>
          <w:tcPr>
            <w:tcW w:w="905" w:type="dxa"/>
            <w:shd w:val="clear" w:color="auto" w:fill="auto"/>
            <w:noWrap/>
            <w:vAlign w:val="bottom"/>
            <w:hideMark/>
          </w:tcPr>
          <w:p w14:paraId="3D3EB2AB"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2287</w:t>
            </w:r>
          </w:p>
        </w:tc>
        <w:tc>
          <w:tcPr>
            <w:tcW w:w="805" w:type="dxa"/>
            <w:shd w:val="clear" w:color="auto" w:fill="auto"/>
            <w:noWrap/>
            <w:vAlign w:val="bottom"/>
            <w:hideMark/>
          </w:tcPr>
          <w:p w14:paraId="295929E2"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4630</w:t>
            </w:r>
          </w:p>
        </w:tc>
        <w:tc>
          <w:tcPr>
            <w:tcW w:w="888" w:type="dxa"/>
            <w:shd w:val="clear" w:color="auto" w:fill="auto"/>
            <w:noWrap/>
            <w:vAlign w:val="bottom"/>
            <w:hideMark/>
          </w:tcPr>
          <w:p w14:paraId="5CA87BD2"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2351</w:t>
            </w:r>
          </w:p>
        </w:tc>
        <w:tc>
          <w:tcPr>
            <w:tcW w:w="1134" w:type="dxa"/>
            <w:shd w:val="clear" w:color="auto" w:fill="auto"/>
            <w:noWrap/>
            <w:vAlign w:val="bottom"/>
            <w:hideMark/>
          </w:tcPr>
          <w:p w14:paraId="46A31462"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-64</w:t>
            </w:r>
          </w:p>
        </w:tc>
        <w:tc>
          <w:tcPr>
            <w:tcW w:w="1053" w:type="dxa"/>
            <w:shd w:val="clear" w:color="auto" w:fill="auto"/>
            <w:noWrap/>
            <w:vAlign w:val="bottom"/>
            <w:hideMark/>
          </w:tcPr>
          <w:p w14:paraId="7951DF6C"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655</w:t>
            </w:r>
          </w:p>
        </w:tc>
        <w:tc>
          <w:tcPr>
            <w:tcW w:w="1053" w:type="dxa"/>
            <w:shd w:val="clear" w:color="auto" w:fill="auto"/>
            <w:noWrap/>
            <w:vAlign w:val="bottom"/>
            <w:hideMark/>
          </w:tcPr>
          <w:p w14:paraId="54F51AAF"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1624</w:t>
            </w:r>
          </w:p>
        </w:tc>
      </w:tr>
      <w:tr w:rsidR="00A069D5" w:rsidRPr="00CE0792" w14:paraId="3A588426" w14:textId="77777777" w:rsidTr="00847B97">
        <w:trPr>
          <w:trHeight w:val="215"/>
        </w:trPr>
        <w:tc>
          <w:tcPr>
            <w:tcW w:w="3103" w:type="dxa"/>
            <w:tcBorders>
              <w:right w:val="single" w:sz="4" w:space="0" w:color="808080" w:themeColor="background1" w:themeShade="80"/>
            </w:tcBorders>
            <w:shd w:val="clear" w:color="auto" w:fill="F2F2F2" w:themeFill="background1" w:themeFillShade="F2"/>
            <w:noWrap/>
            <w:vAlign w:val="center"/>
            <w:hideMark/>
          </w:tcPr>
          <w:p w14:paraId="54FA7736" w14:textId="77777777" w:rsidR="00A069D5" w:rsidRPr="00CE0792" w:rsidRDefault="00A069D5" w:rsidP="00A069D5">
            <w:pPr>
              <w:spacing w:before="60" w:after="60"/>
              <w:rPr>
                <w:rFonts w:ascii="Arial" w:hAnsi="Arial" w:cs="Arial"/>
                <w:sz w:val="16"/>
                <w:szCs w:val="16"/>
              </w:rPr>
            </w:pPr>
            <w:r w:rsidRPr="00CE0792">
              <w:rPr>
                <w:rFonts w:ascii="Arial" w:hAnsi="Arial" w:cs="Arial"/>
                <w:sz w:val="16"/>
                <w:szCs w:val="16"/>
              </w:rPr>
              <w:t>Zlatiborska oblast</w:t>
            </w:r>
          </w:p>
        </w:tc>
        <w:tc>
          <w:tcPr>
            <w:tcW w:w="788" w:type="dxa"/>
            <w:tcBorders>
              <w:left w:val="single" w:sz="4" w:space="0" w:color="808080" w:themeColor="background1" w:themeShade="80"/>
            </w:tcBorders>
            <w:shd w:val="clear" w:color="auto" w:fill="F2F2F2" w:themeFill="background1" w:themeFillShade="F2"/>
            <w:noWrap/>
            <w:vAlign w:val="bottom"/>
            <w:hideMark/>
          </w:tcPr>
          <w:p w14:paraId="27BC3B4B"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3342</w:t>
            </w:r>
          </w:p>
        </w:tc>
        <w:tc>
          <w:tcPr>
            <w:tcW w:w="905" w:type="dxa"/>
            <w:shd w:val="clear" w:color="auto" w:fill="F2F2F2" w:themeFill="background1" w:themeFillShade="F2"/>
            <w:noWrap/>
            <w:vAlign w:val="bottom"/>
            <w:hideMark/>
          </w:tcPr>
          <w:p w14:paraId="7B3B7C91"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1257</w:t>
            </w:r>
          </w:p>
        </w:tc>
        <w:tc>
          <w:tcPr>
            <w:tcW w:w="805" w:type="dxa"/>
            <w:shd w:val="clear" w:color="auto" w:fill="F2F2F2" w:themeFill="background1" w:themeFillShade="F2"/>
            <w:noWrap/>
            <w:vAlign w:val="bottom"/>
            <w:hideMark/>
          </w:tcPr>
          <w:p w14:paraId="3426BC17"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4561</w:t>
            </w:r>
          </w:p>
        </w:tc>
        <w:tc>
          <w:tcPr>
            <w:tcW w:w="888" w:type="dxa"/>
            <w:shd w:val="clear" w:color="auto" w:fill="F2F2F2" w:themeFill="background1" w:themeFillShade="F2"/>
            <w:noWrap/>
            <w:vAlign w:val="bottom"/>
            <w:hideMark/>
          </w:tcPr>
          <w:p w14:paraId="4D0A8A1C"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2476</w:t>
            </w:r>
          </w:p>
        </w:tc>
        <w:tc>
          <w:tcPr>
            <w:tcW w:w="1134" w:type="dxa"/>
            <w:shd w:val="clear" w:color="auto" w:fill="F2F2F2" w:themeFill="background1" w:themeFillShade="F2"/>
            <w:noWrap/>
            <w:vAlign w:val="bottom"/>
            <w:hideMark/>
          </w:tcPr>
          <w:p w14:paraId="28612027"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-1219</w:t>
            </w:r>
          </w:p>
        </w:tc>
        <w:tc>
          <w:tcPr>
            <w:tcW w:w="1053" w:type="dxa"/>
            <w:shd w:val="clear" w:color="auto" w:fill="F2F2F2" w:themeFill="background1" w:themeFillShade="F2"/>
            <w:noWrap/>
            <w:vAlign w:val="bottom"/>
            <w:hideMark/>
          </w:tcPr>
          <w:p w14:paraId="311B32B0"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752</w:t>
            </w:r>
          </w:p>
        </w:tc>
        <w:tc>
          <w:tcPr>
            <w:tcW w:w="1053" w:type="dxa"/>
            <w:shd w:val="clear" w:color="auto" w:fill="F2F2F2" w:themeFill="background1" w:themeFillShade="F2"/>
            <w:noWrap/>
            <w:vAlign w:val="bottom"/>
            <w:hideMark/>
          </w:tcPr>
          <w:p w14:paraId="7B745E74"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1333</w:t>
            </w:r>
          </w:p>
        </w:tc>
      </w:tr>
      <w:tr w:rsidR="00A069D5" w:rsidRPr="00CE0792" w14:paraId="2886D321" w14:textId="77777777" w:rsidTr="00847B97">
        <w:trPr>
          <w:trHeight w:val="215"/>
        </w:trPr>
        <w:tc>
          <w:tcPr>
            <w:tcW w:w="3103" w:type="dxa"/>
            <w:tcBorders>
              <w:right w:val="single" w:sz="4" w:space="0" w:color="808080" w:themeColor="background1" w:themeShade="80"/>
            </w:tcBorders>
            <w:shd w:val="clear" w:color="auto" w:fill="auto"/>
            <w:noWrap/>
            <w:vAlign w:val="center"/>
            <w:hideMark/>
          </w:tcPr>
          <w:p w14:paraId="70D270F5" w14:textId="77777777" w:rsidR="00A069D5" w:rsidRPr="00CE0792" w:rsidRDefault="00A069D5" w:rsidP="00A069D5">
            <w:pPr>
              <w:spacing w:before="60" w:after="60"/>
              <w:rPr>
                <w:rFonts w:ascii="Arial" w:hAnsi="Arial" w:cs="Arial"/>
                <w:sz w:val="16"/>
                <w:szCs w:val="16"/>
              </w:rPr>
            </w:pPr>
            <w:r w:rsidRPr="00CE0792">
              <w:rPr>
                <w:rFonts w:ascii="Arial" w:hAnsi="Arial" w:cs="Arial"/>
                <w:sz w:val="16"/>
                <w:szCs w:val="16"/>
              </w:rPr>
              <w:t>Kolubarska oblast</w:t>
            </w:r>
          </w:p>
        </w:tc>
        <w:tc>
          <w:tcPr>
            <w:tcW w:w="788" w:type="dxa"/>
            <w:tcBorders>
              <w:left w:val="single" w:sz="4" w:space="0" w:color="808080" w:themeColor="background1" w:themeShade="80"/>
            </w:tcBorders>
            <w:shd w:val="clear" w:color="auto" w:fill="auto"/>
            <w:noWrap/>
            <w:vAlign w:val="bottom"/>
            <w:hideMark/>
          </w:tcPr>
          <w:p w14:paraId="544447F6"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2397</w:t>
            </w:r>
          </w:p>
        </w:tc>
        <w:tc>
          <w:tcPr>
            <w:tcW w:w="905" w:type="dxa"/>
            <w:shd w:val="clear" w:color="auto" w:fill="auto"/>
            <w:noWrap/>
            <w:vAlign w:val="bottom"/>
            <w:hideMark/>
          </w:tcPr>
          <w:p w14:paraId="5A898401"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1060</w:t>
            </w:r>
          </w:p>
        </w:tc>
        <w:tc>
          <w:tcPr>
            <w:tcW w:w="805" w:type="dxa"/>
            <w:shd w:val="clear" w:color="auto" w:fill="auto"/>
            <w:noWrap/>
            <w:vAlign w:val="bottom"/>
            <w:hideMark/>
          </w:tcPr>
          <w:p w14:paraId="6899F9D2"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2580</w:t>
            </w:r>
          </w:p>
        </w:tc>
        <w:tc>
          <w:tcPr>
            <w:tcW w:w="888" w:type="dxa"/>
            <w:shd w:val="clear" w:color="auto" w:fill="auto"/>
            <w:noWrap/>
            <w:vAlign w:val="bottom"/>
            <w:hideMark/>
          </w:tcPr>
          <w:p w14:paraId="7611D6DC"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1243</w:t>
            </w:r>
          </w:p>
        </w:tc>
        <w:tc>
          <w:tcPr>
            <w:tcW w:w="1134" w:type="dxa"/>
            <w:shd w:val="clear" w:color="auto" w:fill="auto"/>
            <w:noWrap/>
            <w:vAlign w:val="bottom"/>
            <w:hideMark/>
          </w:tcPr>
          <w:p w14:paraId="256CB381"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-183</w:t>
            </w:r>
          </w:p>
        </w:tc>
        <w:tc>
          <w:tcPr>
            <w:tcW w:w="1053" w:type="dxa"/>
            <w:shd w:val="clear" w:color="auto" w:fill="auto"/>
            <w:noWrap/>
            <w:vAlign w:val="bottom"/>
            <w:hideMark/>
          </w:tcPr>
          <w:p w14:paraId="562F1FD2"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375</w:t>
            </w:r>
          </w:p>
        </w:tc>
        <w:tc>
          <w:tcPr>
            <w:tcW w:w="1053" w:type="dxa"/>
            <w:shd w:val="clear" w:color="auto" w:fill="auto"/>
            <w:noWrap/>
            <w:vAlign w:val="bottom"/>
            <w:hideMark/>
          </w:tcPr>
          <w:p w14:paraId="68E4B1D3"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962</w:t>
            </w:r>
          </w:p>
        </w:tc>
      </w:tr>
      <w:tr w:rsidR="00A069D5" w:rsidRPr="00CE0792" w14:paraId="2AFDC93F" w14:textId="77777777" w:rsidTr="00847B97">
        <w:trPr>
          <w:trHeight w:val="215"/>
        </w:trPr>
        <w:tc>
          <w:tcPr>
            <w:tcW w:w="3103" w:type="dxa"/>
            <w:tcBorders>
              <w:right w:val="single" w:sz="4" w:space="0" w:color="808080" w:themeColor="background1" w:themeShade="80"/>
            </w:tcBorders>
            <w:shd w:val="clear" w:color="auto" w:fill="F2F2F2" w:themeFill="background1" w:themeFillShade="F2"/>
            <w:noWrap/>
            <w:vAlign w:val="center"/>
            <w:hideMark/>
          </w:tcPr>
          <w:p w14:paraId="575E6CE8" w14:textId="77777777" w:rsidR="00A069D5" w:rsidRPr="00CE0792" w:rsidRDefault="00A069D5" w:rsidP="00A069D5">
            <w:pPr>
              <w:spacing w:before="60" w:after="60"/>
              <w:rPr>
                <w:rFonts w:ascii="Arial" w:hAnsi="Arial" w:cs="Arial"/>
                <w:sz w:val="16"/>
                <w:szCs w:val="16"/>
              </w:rPr>
            </w:pPr>
            <w:r w:rsidRPr="00CE0792">
              <w:rPr>
                <w:rFonts w:ascii="Arial" w:hAnsi="Arial" w:cs="Arial"/>
                <w:sz w:val="16"/>
                <w:szCs w:val="16"/>
              </w:rPr>
              <w:t>Mačvanska oblast</w:t>
            </w:r>
          </w:p>
        </w:tc>
        <w:tc>
          <w:tcPr>
            <w:tcW w:w="788" w:type="dxa"/>
            <w:tcBorders>
              <w:left w:val="single" w:sz="4" w:space="0" w:color="808080" w:themeColor="background1" w:themeShade="80"/>
            </w:tcBorders>
            <w:shd w:val="clear" w:color="auto" w:fill="F2F2F2" w:themeFill="background1" w:themeFillShade="F2"/>
            <w:noWrap/>
            <w:vAlign w:val="bottom"/>
            <w:hideMark/>
          </w:tcPr>
          <w:p w14:paraId="5C84EAE7"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5218</w:t>
            </w:r>
          </w:p>
        </w:tc>
        <w:tc>
          <w:tcPr>
            <w:tcW w:w="905" w:type="dxa"/>
            <w:shd w:val="clear" w:color="auto" w:fill="F2F2F2" w:themeFill="background1" w:themeFillShade="F2"/>
            <w:noWrap/>
            <w:vAlign w:val="bottom"/>
            <w:hideMark/>
          </w:tcPr>
          <w:p w14:paraId="72348BF6"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1473</w:t>
            </w:r>
          </w:p>
        </w:tc>
        <w:tc>
          <w:tcPr>
            <w:tcW w:w="805" w:type="dxa"/>
            <w:shd w:val="clear" w:color="auto" w:fill="F2F2F2" w:themeFill="background1" w:themeFillShade="F2"/>
            <w:noWrap/>
            <w:vAlign w:val="bottom"/>
            <w:hideMark/>
          </w:tcPr>
          <w:p w14:paraId="64EA59B8"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6125</w:t>
            </w:r>
          </w:p>
        </w:tc>
        <w:tc>
          <w:tcPr>
            <w:tcW w:w="888" w:type="dxa"/>
            <w:shd w:val="clear" w:color="auto" w:fill="F2F2F2" w:themeFill="background1" w:themeFillShade="F2"/>
            <w:noWrap/>
            <w:vAlign w:val="bottom"/>
            <w:hideMark/>
          </w:tcPr>
          <w:p w14:paraId="0D80E3B4"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2380</w:t>
            </w:r>
          </w:p>
        </w:tc>
        <w:tc>
          <w:tcPr>
            <w:tcW w:w="1134" w:type="dxa"/>
            <w:shd w:val="clear" w:color="auto" w:fill="F2F2F2" w:themeFill="background1" w:themeFillShade="F2"/>
            <w:noWrap/>
            <w:vAlign w:val="bottom"/>
            <w:hideMark/>
          </w:tcPr>
          <w:p w14:paraId="24AC2D89"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-907</w:t>
            </w:r>
          </w:p>
        </w:tc>
        <w:tc>
          <w:tcPr>
            <w:tcW w:w="1053" w:type="dxa"/>
            <w:shd w:val="clear" w:color="auto" w:fill="F2F2F2" w:themeFill="background1" w:themeFillShade="F2"/>
            <w:noWrap/>
            <w:vAlign w:val="bottom"/>
            <w:hideMark/>
          </w:tcPr>
          <w:p w14:paraId="7C5B9CA2"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854</w:t>
            </w:r>
          </w:p>
        </w:tc>
        <w:tc>
          <w:tcPr>
            <w:tcW w:w="1053" w:type="dxa"/>
            <w:shd w:val="clear" w:color="auto" w:fill="F2F2F2" w:themeFill="background1" w:themeFillShade="F2"/>
            <w:noWrap/>
            <w:vAlign w:val="bottom"/>
            <w:hideMark/>
          </w:tcPr>
          <w:p w14:paraId="6194F813"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2891</w:t>
            </w:r>
          </w:p>
        </w:tc>
      </w:tr>
      <w:tr w:rsidR="00A069D5" w:rsidRPr="00CE0792" w14:paraId="102F93D6" w14:textId="77777777" w:rsidTr="00847B97">
        <w:trPr>
          <w:trHeight w:val="215"/>
        </w:trPr>
        <w:tc>
          <w:tcPr>
            <w:tcW w:w="3103" w:type="dxa"/>
            <w:tcBorders>
              <w:right w:val="single" w:sz="4" w:space="0" w:color="808080" w:themeColor="background1" w:themeShade="80"/>
            </w:tcBorders>
            <w:shd w:val="clear" w:color="auto" w:fill="auto"/>
            <w:noWrap/>
            <w:vAlign w:val="center"/>
            <w:hideMark/>
          </w:tcPr>
          <w:p w14:paraId="651E2F48" w14:textId="77777777" w:rsidR="00A069D5" w:rsidRPr="00CE0792" w:rsidRDefault="00A069D5" w:rsidP="00A069D5">
            <w:pPr>
              <w:spacing w:before="60" w:after="60"/>
              <w:rPr>
                <w:rFonts w:ascii="Arial" w:hAnsi="Arial" w:cs="Arial"/>
                <w:sz w:val="16"/>
                <w:szCs w:val="16"/>
              </w:rPr>
            </w:pPr>
            <w:r w:rsidRPr="00CE0792">
              <w:rPr>
                <w:rFonts w:ascii="Arial" w:hAnsi="Arial" w:cs="Arial"/>
                <w:sz w:val="16"/>
                <w:szCs w:val="16"/>
              </w:rPr>
              <w:t>Moravička oblast</w:t>
            </w:r>
          </w:p>
        </w:tc>
        <w:tc>
          <w:tcPr>
            <w:tcW w:w="788" w:type="dxa"/>
            <w:tcBorders>
              <w:left w:val="single" w:sz="4" w:space="0" w:color="808080" w:themeColor="background1" w:themeShade="80"/>
            </w:tcBorders>
            <w:shd w:val="clear" w:color="auto" w:fill="auto"/>
            <w:noWrap/>
            <w:vAlign w:val="bottom"/>
            <w:hideMark/>
          </w:tcPr>
          <w:p w14:paraId="5208BC3D"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2982</w:t>
            </w:r>
          </w:p>
        </w:tc>
        <w:tc>
          <w:tcPr>
            <w:tcW w:w="905" w:type="dxa"/>
            <w:shd w:val="clear" w:color="auto" w:fill="auto"/>
            <w:noWrap/>
            <w:vAlign w:val="bottom"/>
            <w:hideMark/>
          </w:tcPr>
          <w:p w14:paraId="342A5D42"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1032</w:t>
            </w:r>
          </w:p>
        </w:tc>
        <w:tc>
          <w:tcPr>
            <w:tcW w:w="805" w:type="dxa"/>
            <w:shd w:val="clear" w:color="auto" w:fill="auto"/>
            <w:noWrap/>
            <w:vAlign w:val="bottom"/>
            <w:hideMark/>
          </w:tcPr>
          <w:p w14:paraId="5848726F"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3350</w:t>
            </w:r>
          </w:p>
        </w:tc>
        <w:tc>
          <w:tcPr>
            <w:tcW w:w="888" w:type="dxa"/>
            <w:shd w:val="clear" w:color="auto" w:fill="auto"/>
            <w:noWrap/>
            <w:vAlign w:val="bottom"/>
            <w:hideMark/>
          </w:tcPr>
          <w:p w14:paraId="6E5AF4C6"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1400</w:t>
            </w:r>
          </w:p>
        </w:tc>
        <w:tc>
          <w:tcPr>
            <w:tcW w:w="1134" w:type="dxa"/>
            <w:shd w:val="clear" w:color="auto" w:fill="auto"/>
            <w:noWrap/>
            <w:vAlign w:val="bottom"/>
            <w:hideMark/>
          </w:tcPr>
          <w:p w14:paraId="326D31B6"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-368</w:t>
            </w:r>
          </w:p>
        </w:tc>
        <w:tc>
          <w:tcPr>
            <w:tcW w:w="1053" w:type="dxa"/>
            <w:shd w:val="clear" w:color="auto" w:fill="auto"/>
            <w:noWrap/>
            <w:vAlign w:val="bottom"/>
            <w:hideMark/>
          </w:tcPr>
          <w:p w14:paraId="2218EE9B"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339</w:t>
            </w:r>
          </w:p>
        </w:tc>
        <w:tc>
          <w:tcPr>
            <w:tcW w:w="1053" w:type="dxa"/>
            <w:shd w:val="clear" w:color="auto" w:fill="auto"/>
            <w:noWrap/>
            <w:vAlign w:val="bottom"/>
            <w:hideMark/>
          </w:tcPr>
          <w:p w14:paraId="318681D5"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1611</w:t>
            </w:r>
          </w:p>
        </w:tc>
      </w:tr>
      <w:tr w:rsidR="00A069D5" w:rsidRPr="00CE0792" w14:paraId="16B28B11" w14:textId="77777777" w:rsidTr="00847B97">
        <w:trPr>
          <w:trHeight w:val="215"/>
        </w:trPr>
        <w:tc>
          <w:tcPr>
            <w:tcW w:w="3103" w:type="dxa"/>
            <w:tcBorders>
              <w:right w:val="single" w:sz="4" w:space="0" w:color="808080" w:themeColor="background1" w:themeShade="80"/>
            </w:tcBorders>
            <w:shd w:val="clear" w:color="auto" w:fill="F2F2F2" w:themeFill="background1" w:themeFillShade="F2"/>
            <w:noWrap/>
            <w:vAlign w:val="center"/>
            <w:hideMark/>
          </w:tcPr>
          <w:p w14:paraId="0C4728DA" w14:textId="77777777" w:rsidR="00A069D5" w:rsidRPr="00CE0792" w:rsidRDefault="00A069D5" w:rsidP="00A069D5">
            <w:pPr>
              <w:spacing w:before="60" w:after="60"/>
              <w:rPr>
                <w:rFonts w:ascii="Arial" w:hAnsi="Arial" w:cs="Arial"/>
                <w:sz w:val="16"/>
                <w:szCs w:val="16"/>
              </w:rPr>
            </w:pPr>
            <w:r w:rsidRPr="00CE0792">
              <w:rPr>
                <w:rFonts w:ascii="Arial" w:hAnsi="Arial" w:cs="Arial"/>
                <w:sz w:val="16"/>
                <w:szCs w:val="16"/>
              </w:rPr>
              <w:t>Pomoravska oblast</w:t>
            </w:r>
          </w:p>
        </w:tc>
        <w:tc>
          <w:tcPr>
            <w:tcW w:w="788" w:type="dxa"/>
            <w:tcBorders>
              <w:left w:val="single" w:sz="4" w:space="0" w:color="808080" w:themeColor="background1" w:themeShade="80"/>
            </w:tcBorders>
            <w:shd w:val="clear" w:color="auto" w:fill="F2F2F2" w:themeFill="background1" w:themeFillShade="F2"/>
            <w:noWrap/>
            <w:vAlign w:val="bottom"/>
            <w:hideMark/>
          </w:tcPr>
          <w:p w14:paraId="20F6D7D6"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3076</w:t>
            </w:r>
          </w:p>
        </w:tc>
        <w:tc>
          <w:tcPr>
            <w:tcW w:w="905" w:type="dxa"/>
            <w:shd w:val="clear" w:color="auto" w:fill="F2F2F2" w:themeFill="background1" w:themeFillShade="F2"/>
            <w:noWrap/>
            <w:vAlign w:val="bottom"/>
            <w:hideMark/>
          </w:tcPr>
          <w:p w14:paraId="38C2FFC3"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1035</w:t>
            </w:r>
          </w:p>
        </w:tc>
        <w:tc>
          <w:tcPr>
            <w:tcW w:w="805" w:type="dxa"/>
            <w:shd w:val="clear" w:color="auto" w:fill="F2F2F2" w:themeFill="background1" w:themeFillShade="F2"/>
            <w:noWrap/>
            <w:vAlign w:val="bottom"/>
            <w:hideMark/>
          </w:tcPr>
          <w:p w14:paraId="2BDABF92"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3482</w:t>
            </w:r>
          </w:p>
        </w:tc>
        <w:tc>
          <w:tcPr>
            <w:tcW w:w="888" w:type="dxa"/>
            <w:shd w:val="clear" w:color="auto" w:fill="F2F2F2" w:themeFill="background1" w:themeFillShade="F2"/>
            <w:noWrap/>
            <w:vAlign w:val="bottom"/>
            <w:hideMark/>
          </w:tcPr>
          <w:p w14:paraId="01F414D1"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1441</w:t>
            </w:r>
          </w:p>
        </w:tc>
        <w:tc>
          <w:tcPr>
            <w:tcW w:w="1134" w:type="dxa"/>
            <w:shd w:val="clear" w:color="auto" w:fill="F2F2F2" w:themeFill="background1" w:themeFillShade="F2"/>
            <w:noWrap/>
            <w:vAlign w:val="bottom"/>
            <w:hideMark/>
          </w:tcPr>
          <w:p w14:paraId="0BCF4210"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-406</w:t>
            </w:r>
          </w:p>
        </w:tc>
        <w:tc>
          <w:tcPr>
            <w:tcW w:w="1053" w:type="dxa"/>
            <w:shd w:val="clear" w:color="auto" w:fill="F2F2F2" w:themeFill="background1" w:themeFillShade="F2"/>
            <w:noWrap/>
            <w:vAlign w:val="bottom"/>
            <w:hideMark/>
          </w:tcPr>
          <w:p w14:paraId="292612C5"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615</w:t>
            </w:r>
          </w:p>
        </w:tc>
        <w:tc>
          <w:tcPr>
            <w:tcW w:w="1053" w:type="dxa"/>
            <w:shd w:val="clear" w:color="auto" w:fill="F2F2F2" w:themeFill="background1" w:themeFillShade="F2"/>
            <w:noWrap/>
            <w:vAlign w:val="bottom"/>
            <w:hideMark/>
          </w:tcPr>
          <w:p w14:paraId="34AAC774"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1426</w:t>
            </w:r>
          </w:p>
        </w:tc>
      </w:tr>
      <w:tr w:rsidR="00A069D5" w:rsidRPr="00CE0792" w14:paraId="5438ED11" w14:textId="77777777" w:rsidTr="00847B97">
        <w:trPr>
          <w:trHeight w:val="215"/>
        </w:trPr>
        <w:tc>
          <w:tcPr>
            <w:tcW w:w="3103" w:type="dxa"/>
            <w:tcBorders>
              <w:right w:val="single" w:sz="4" w:space="0" w:color="808080" w:themeColor="background1" w:themeShade="80"/>
            </w:tcBorders>
            <w:shd w:val="clear" w:color="auto" w:fill="auto"/>
            <w:noWrap/>
            <w:vAlign w:val="center"/>
            <w:hideMark/>
          </w:tcPr>
          <w:p w14:paraId="5A8DC5CE" w14:textId="77777777" w:rsidR="00A069D5" w:rsidRPr="00CE0792" w:rsidRDefault="00A069D5" w:rsidP="00A069D5">
            <w:pPr>
              <w:spacing w:before="60" w:after="60"/>
              <w:rPr>
                <w:rFonts w:ascii="Arial" w:hAnsi="Arial" w:cs="Arial"/>
                <w:sz w:val="16"/>
                <w:szCs w:val="16"/>
              </w:rPr>
            </w:pPr>
            <w:r w:rsidRPr="00CE0792">
              <w:rPr>
                <w:rFonts w:ascii="Arial" w:hAnsi="Arial" w:cs="Arial"/>
                <w:sz w:val="16"/>
                <w:szCs w:val="16"/>
              </w:rPr>
              <w:t>Rasinska oblast</w:t>
            </w:r>
          </w:p>
        </w:tc>
        <w:tc>
          <w:tcPr>
            <w:tcW w:w="788" w:type="dxa"/>
            <w:tcBorders>
              <w:left w:val="single" w:sz="4" w:space="0" w:color="808080" w:themeColor="background1" w:themeShade="80"/>
            </w:tcBorders>
            <w:shd w:val="clear" w:color="auto" w:fill="auto"/>
            <w:noWrap/>
            <w:vAlign w:val="bottom"/>
            <w:hideMark/>
          </w:tcPr>
          <w:p w14:paraId="0BEA61FE"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2677</w:t>
            </w:r>
          </w:p>
        </w:tc>
        <w:tc>
          <w:tcPr>
            <w:tcW w:w="905" w:type="dxa"/>
            <w:shd w:val="clear" w:color="auto" w:fill="auto"/>
            <w:noWrap/>
            <w:vAlign w:val="bottom"/>
            <w:hideMark/>
          </w:tcPr>
          <w:p w14:paraId="39BE0984"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932</w:t>
            </w:r>
          </w:p>
        </w:tc>
        <w:tc>
          <w:tcPr>
            <w:tcW w:w="805" w:type="dxa"/>
            <w:shd w:val="clear" w:color="auto" w:fill="auto"/>
            <w:noWrap/>
            <w:vAlign w:val="bottom"/>
            <w:hideMark/>
          </w:tcPr>
          <w:p w14:paraId="4A7FE84A"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3252</w:t>
            </w:r>
          </w:p>
        </w:tc>
        <w:tc>
          <w:tcPr>
            <w:tcW w:w="888" w:type="dxa"/>
            <w:shd w:val="clear" w:color="auto" w:fill="auto"/>
            <w:noWrap/>
            <w:vAlign w:val="bottom"/>
            <w:hideMark/>
          </w:tcPr>
          <w:p w14:paraId="27FF48D5"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1507</w:t>
            </w:r>
          </w:p>
        </w:tc>
        <w:tc>
          <w:tcPr>
            <w:tcW w:w="1134" w:type="dxa"/>
            <w:shd w:val="clear" w:color="auto" w:fill="auto"/>
            <w:noWrap/>
            <w:vAlign w:val="bottom"/>
            <w:hideMark/>
          </w:tcPr>
          <w:p w14:paraId="0799E714"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-575</w:t>
            </w:r>
          </w:p>
        </w:tc>
        <w:tc>
          <w:tcPr>
            <w:tcW w:w="1053" w:type="dxa"/>
            <w:shd w:val="clear" w:color="auto" w:fill="auto"/>
            <w:noWrap/>
            <w:vAlign w:val="bottom"/>
            <w:hideMark/>
          </w:tcPr>
          <w:p w14:paraId="3642999F"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376</w:t>
            </w:r>
          </w:p>
        </w:tc>
        <w:tc>
          <w:tcPr>
            <w:tcW w:w="1053" w:type="dxa"/>
            <w:shd w:val="clear" w:color="auto" w:fill="auto"/>
            <w:noWrap/>
            <w:vAlign w:val="bottom"/>
            <w:hideMark/>
          </w:tcPr>
          <w:p w14:paraId="340C3ACF"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1369</w:t>
            </w:r>
          </w:p>
        </w:tc>
      </w:tr>
      <w:tr w:rsidR="00A069D5" w:rsidRPr="00CE0792" w14:paraId="4B5F6B58" w14:textId="77777777" w:rsidTr="00847B97">
        <w:trPr>
          <w:trHeight w:val="215"/>
        </w:trPr>
        <w:tc>
          <w:tcPr>
            <w:tcW w:w="3103" w:type="dxa"/>
            <w:tcBorders>
              <w:right w:val="single" w:sz="4" w:space="0" w:color="808080" w:themeColor="background1" w:themeShade="80"/>
            </w:tcBorders>
            <w:shd w:val="clear" w:color="auto" w:fill="F2F2F2" w:themeFill="background1" w:themeFillShade="F2"/>
            <w:noWrap/>
            <w:vAlign w:val="center"/>
            <w:hideMark/>
          </w:tcPr>
          <w:p w14:paraId="26EB8529" w14:textId="77777777" w:rsidR="00A069D5" w:rsidRPr="00CE0792" w:rsidRDefault="00A069D5" w:rsidP="00A069D5">
            <w:pPr>
              <w:spacing w:before="60" w:after="60"/>
              <w:rPr>
                <w:rFonts w:ascii="Arial" w:hAnsi="Arial" w:cs="Arial"/>
                <w:sz w:val="16"/>
                <w:szCs w:val="16"/>
              </w:rPr>
            </w:pPr>
            <w:r w:rsidRPr="00CE0792">
              <w:rPr>
                <w:rFonts w:ascii="Arial" w:hAnsi="Arial" w:cs="Arial"/>
                <w:sz w:val="16"/>
                <w:szCs w:val="16"/>
              </w:rPr>
              <w:t>Raška oblast</w:t>
            </w:r>
          </w:p>
        </w:tc>
        <w:tc>
          <w:tcPr>
            <w:tcW w:w="788" w:type="dxa"/>
            <w:tcBorders>
              <w:left w:val="single" w:sz="4" w:space="0" w:color="808080" w:themeColor="background1" w:themeShade="80"/>
            </w:tcBorders>
            <w:shd w:val="clear" w:color="auto" w:fill="F2F2F2" w:themeFill="background1" w:themeFillShade="F2"/>
            <w:noWrap/>
            <w:vAlign w:val="bottom"/>
            <w:hideMark/>
          </w:tcPr>
          <w:p w14:paraId="34604385"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3729</w:t>
            </w:r>
          </w:p>
        </w:tc>
        <w:tc>
          <w:tcPr>
            <w:tcW w:w="905" w:type="dxa"/>
            <w:shd w:val="clear" w:color="auto" w:fill="F2F2F2" w:themeFill="background1" w:themeFillShade="F2"/>
            <w:noWrap/>
            <w:vAlign w:val="bottom"/>
            <w:hideMark/>
          </w:tcPr>
          <w:p w14:paraId="6C0B260C"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1155</w:t>
            </w:r>
          </w:p>
        </w:tc>
        <w:tc>
          <w:tcPr>
            <w:tcW w:w="805" w:type="dxa"/>
            <w:shd w:val="clear" w:color="auto" w:fill="F2F2F2" w:themeFill="background1" w:themeFillShade="F2"/>
            <w:noWrap/>
            <w:vAlign w:val="bottom"/>
            <w:hideMark/>
          </w:tcPr>
          <w:p w14:paraId="02BF874F"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4346</w:t>
            </w:r>
          </w:p>
        </w:tc>
        <w:tc>
          <w:tcPr>
            <w:tcW w:w="888" w:type="dxa"/>
            <w:shd w:val="clear" w:color="auto" w:fill="F2F2F2" w:themeFill="background1" w:themeFillShade="F2"/>
            <w:noWrap/>
            <w:vAlign w:val="bottom"/>
            <w:hideMark/>
          </w:tcPr>
          <w:p w14:paraId="08B69960"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1772</w:t>
            </w:r>
          </w:p>
        </w:tc>
        <w:tc>
          <w:tcPr>
            <w:tcW w:w="1134" w:type="dxa"/>
            <w:shd w:val="clear" w:color="auto" w:fill="F2F2F2" w:themeFill="background1" w:themeFillShade="F2"/>
            <w:noWrap/>
            <w:vAlign w:val="bottom"/>
            <w:hideMark/>
          </w:tcPr>
          <w:p w14:paraId="6026A9C7"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-617</w:t>
            </w:r>
          </w:p>
        </w:tc>
        <w:tc>
          <w:tcPr>
            <w:tcW w:w="1053" w:type="dxa"/>
            <w:shd w:val="clear" w:color="auto" w:fill="F2F2F2" w:themeFill="background1" w:themeFillShade="F2"/>
            <w:noWrap/>
            <w:vAlign w:val="bottom"/>
            <w:hideMark/>
          </w:tcPr>
          <w:p w14:paraId="464C2714"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528</w:t>
            </w:r>
          </w:p>
        </w:tc>
        <w:tc>
          <w:tcPr>
            <w:tcW w:w="1053" w:type="dxa"/>
            <w:shd w:val="clear" w:color="auto" w:fill="F2F2F2" w:themeFill="background1" w:themeFillShade="F2"/>
            <w:noWrap/>
            <w:vAlign w:val="bottom"/>
            <w:hideMark/>
          </w:tcPr>
          <w:p w14:paraId="7283F51E"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2046</w:t>
            </w:r>
          </w:p>
        </w:tc>
      </w:tr>
      <w:tr w:rsidR="00A069D5" w:rsidRPr="00CE0792" w14:paraId="759F2D8E" w14:textId="77777777" w:rsidTr="00847B97">
        <w:trPr>
          <w:trHeight w:val="215"/>
        </w:trPr>
        <w:tc>
          <w:tcPr>
            <w:tcW w:w="3103" w:type="dxa"/>
            <w:tcBorders>
              <w:right w:val="single" w:sz="4" w:space="0" w:color="808080" w:themeColor="background1" w:themeShade="80"/>
            </w:tcBorders>
            <w:shd w:val="clear" w:color="auto" w:fill="auto"/>
            <w:noWrap/>
            <w:vAlign w:val="center"/>
            <w:hideMark/>
          </w:tcPr>
          <w:p w14:paraId="26A5FB18" w14:textId="77777777" w:rsidR="00A069D5" w:rsidRPr="00CE0792" w:rsidRDefault="00A069D5" w:rsidP="00A069D5">
            <w:pPr>
              <w:spacing w:before="60" w:after="60"/>
              <w:rPr>
                <w:rFonts w:ascii="Arial" w:hAnsi="Arial" w:cs="Arial"/>
                <w:sz w:val="16"/>
                <w:szCs w:val="16"/>
              </w:rPr>
            </w:pPr>
            <w:r w:rsidRPr="00CE0792">
              <w:rPr>
                <w:rFonts w:ascii="Arial" w:hAnsi="Arial" w:cs="Arial"/>
                <w:sz w:val="16"/>
                <w:szCs w:val="16"/>
              </w:rPr>
              <w:t>Šumadijska oblast</w:t>
            </w:r>
          </w:p>
        </w:tc>
        <w:tc>
          <w:tcPr>
            <w:tcW w:w="788" w:type="dxa"/>
            <w:tcBorders>
              <w:left w:val="single" w:sz="4" w:space="0" w:color="808080" w:themeColor="background1" w:themeShade="80"/>
            </w:tcBorders>
            <w:shd w:val="clear" w:color="auto" w:fill="auto"/>
            <w:noWrap/>
            <w:vAlign w:val="bottom"/>
            <w:hideMark/>
          </w:tcPr>
          <w:p w14:paraId="489E7F51"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3115</w:t>
            </w:r>
          </w:p>
        </w:tc>
        <w:tc>
          <w:tcPr>
            <w:tcW w:w="905" w:type="dxa"/>
            <w:shd w:val="clear" w:color="auto" w:fill="auto"/>
            <w:noWrap/>
            <w:vAlign w:val="bottom"/>
            <w:hideMark/>
          </w:tcPr>
          <w:p w14:paraId="038717BA"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1454</w:t>
            </w:r>
          </w:p>
        </w:tc>
        <w:tc>
          <w:tcPr>
            <w:tcW w:w="805" w:type="dxa"/>
            <w:shd w:val="clear" w:color="auto" w:fill="auto"/>
            <w:noWrap/>
            <w:vAlign w:val="bottom"/>
            <w:hideMark/>
          </w:tcPr>
          <w:p w14:paraId="70A5F11E"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3437</w:t>
            </w:r>
          </w:p>
        </w:tc>
        <w:tc>
          <w:tcPr>
            <w:tcW w:w="888" w:type="dxa"/>
            <w:shd w:val="clear" w:color="auto" w:fill="auto"/>
            <w:noWrap/>
            <w:vAlign w:val="bottom"/>
            <w:hideMark/>
          </w:tcPr>
          <w:p w14:paraId="291FEEBB"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1776</w:t>
            </w:r>
          </w:p>
        </w:tc>
        <w:tc>
          <w:tcPr>
            <w:tcW w:w="1134" w:type="dxa"/>
            <w:shd w:val="clear" w:color="auto" w:fill="auto"/>
            <w:noWrap/>
            <w:vAlign w:val="bottom"/>
            <w:hideMark/>
          </w:tcPr>
          <w:p w14:paraId="491645E3"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-322</w:t>
            </w:r>
          </w:p>
        </w:tc>
        <w:tc>
          <w:tcPr>
            <w:tcW w:w="1053" w:type="dxa"/>
            <w:shd w:val="clear" w:color="auto" w:fill="auto"/>
            <w:noWrap/>
            <w:vAlign w:val="bottom"/>
            <w:hideMark/>
          </w:tcPr>
          <w:p w14:paraId="7683FA04"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594</w:t>
            </w:r>
          </w:p>
        </w:tc>
        <w:tc>
          <w:tcPr>
            <w:tcW w:w="1053" w:type="dxa"/>
            <w:shd w:val="clear" w:color="auto" w:fill="auto"/>
            <w:noWrap/>
            <w:vAlign w:val="bottom"/>
            <w:hideMark/>
          </w:tcPr>
          <w:p w14:paraId="401B6284"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1067</w:t>
            </w:r>
          </w:p>
        </w:tc>
      </w:tr>
      <w:tr w:rsidR="00A069D5" w:rsidRPr="00CE0792" w14:paraId="6BB14F87" w14:textId="77777777" w:rsidTr="00847B97">
        <w:trPr>
          <w:trHeight w:val="215"/>
        </w:trPr>
        <w:tc>
          <w:tcPr>
            <w:tcW w:w="3103" w:type="dxa"/>
            <w:tcBorders>
              <w:right w:val="single" w:sz="4" w:space="0" w:color="808080" w:themeColor="background1" w:themeShade="80"/>
            </w:tcBorders>
            <w:shd w:val="clear" w:color="auto" w:fill="F2F2F2" w:themeFill="background1" w:themeFillShade="F2"/>
            <w:noWrap/>
            <w:vAlign w:val="center"/>
            <w:hideMark/>
          </w:tcPr>
          <w:p w14:paraId="76A384FD" w14:textId="77777777" w:rsidR="00A069D5" w:rsidRPr="00CE0792" w:rsidRDefault="00A069D5" w:rsidP="00A069D5">
            <w:pPr>
              <w:spacing w:before="60" w:after="60"/>
              <w:rPr>
                <w:rFonts w:ascii="Arial" w:hAnsi="Arial" w:cs="Arial"/>
                <w:sz w:val="16"/>
                <w:szCs w:val="16"/>
              </w:rPr>
            </w:pPr>
            <w:r w:rsidRPr="00CE0792">
              <w:rPr>
                <w:rFonts w:ascii="Arial" w:hAnsi="Arial" w:cs="Arial"/>
                <w:sz w:val="16"/>
                <w:szCs w:val="16"/>
              </w:rPr>
              <w:t>Borska oblast</w:t>
            </w:r>
          </w:p>
        </w:tc>
        <w:tc>
          <w:tcPr>
            <w:tcW w:w="788" w:type="dxa"/>
            <w:tcBorders>
              <w:left w:val="single" w:sz="4" w:space="0" w:color="808080" w:themeColor="background1" w:themeShade="80"/>
            </w:tcBorders>
            <w:shd w:val="clear" w:color="auto" w:fill="F2F2F2" w:themeFill="background1" w:themeFillShade="F2"/>
            <w:noWrap/>
            <w:vAlign w:val="bottom"/>
            <w:hideMark/>
          </w:tcPr>
          <w:p w14:paraId="7A31C708"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1630</w:t>
            </w:r>
          </w:p>
        </w:tc>
        <w:tc>
          <w:tcPr>
            <w:tcW w:w="905" w:type="dxa"/>
            <w:shd w:val="clear" w:color="auto" w:fill="F2F2F2" w:themeFill="background1" w:themeFillShade="F2"/>
            <w:noWrap/>
            <w:vAlign w:val="bottom"/>
            <w:hideMark/>
          </w:tcPr>
          <w:p w14:paraId="62AD781D"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652</w:t>
            </w:r>
          </w:p>
        </w:tc>
        <w:tc>
          <w:tcPr>
            <w:tcW w:w="805" w:type="dxa"/>
            <w:shd w:val="clear" w:color="auto" w:fill="F2F2F2" w:themeFill="background1" w:themeFillShade="F2"/>
            <w:noWrap/>
            <w:vAlign w:val="bottom"/>
            <w:hideMark/>
          </w:tcPr>
          <w:p w14:paraId="33E5D444"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2127</w:t>
            </w:r>
          </w:p>
        </w:tc>
        <w:tc>
          <w:tcPr>
            <w:tcW w:w="888" w:type="dxa"/>
            <w:shd w:val="clear" w:color="auto" w:fill="F2F2F2" w:themeFill="background1" w:themeFillShade="F2"/>
            <w:noWrap/>
            <w:vAlign w:val="bottom"/>
            <w:hideMark/>
          </w:tcPr>
          <w:p w14:paraId="130D057B"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1149</w:t>
            </w:r>
          </w:p>
        </w:tc>
        <w:tc>
          <w:tcPr>
            <w:tcW w:w="1134" w:type="dxa"/>
            <w:shd w:val="clear" w:color="auto" w:fill="F2F2F2" w:themeFill="background1" w:themeFillShade="F2"/>
            <w:noWrap/>
            <w:vAlign w:val="bottom"/>
            <w:hideMark/>
          </w:tcPr>
          <w:p w14:paraId="7597EBD0"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-497</w:t>
            </w:r>
          </w:p>
        </w:tc>
        <w:tc>
          <w:tcPr>
            <w:tcW w:w="1053" w:type="dxa"/>
            <w:shd w:val="clear" w:color="auto" w:fill="F2F2F2" w:themeFill="background1" w:themeFillShade="F2"/>
            <w:noWrap/>
            <w:vAlign w:val="bottom"/>
            <w:hideMark/>
          </w:tcPr>
          <w:p w14:paraId="603E8A3D"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217</w:t>
            </w:r>
          </w:p>
        </w:tc>
        <w:tc>
          <w:tcPr>
            <w:tcW w:w="1053" w:type="dxa"/>
            <w:shd w:val="clear" w:color="auto" w:fill="F2F2F2" w:themeFill="background1" w:themeFillShade="F2"/>
            <w:noWrap/>
            <w:vAlign w:val="bottom"/>
            <w:hideMark/>
          </w:tcPr>
          <w:p w14:paraId="5A4A33C7"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761</w:t>
            </w:r>
          </w:p>
        </w:tc>
      </w:tr>
      <w:tr w:rsidR="00A069D5" w:rsidRPr="00CE0792" w14:paraId="000EB8C1" w14:textId="77777777" w:rsidTr="00847B97">
        <w:trPr>
          <w:trHeight w:val="215"/>
        </w:trPr>
        <w:tc>
          <w:tcPr>
            <w:tcW w:w="3103" w:type="dxa"/>
            <w:tcBorders>
              <w:right w:val="single" w:sz="4" w:space="0" w:color="808080" w:themeColor="background1" w:themeShade="80"/>
            </w:tcBorders>
            <w:shd w:val="clear" w:color="auto" w:fill="auto"/>
            <w:noWrap/>
            <w:vAlign w:val="center"/>
            <w:hideMark/>
          </w:tcPr>
          <w:p w14:paraId="0C44E003" w14:textId="77777777" w:rsidR="00A069D5" w:rsidRPr="00CE0792" w:rsidRDefault="00A069D5" w:rsidP="00A069D5">
            <w:pPr>
              <w:spacing w:before="60" w:after="60"/>
              <w:rPr>
                <w:rFonts w:ascii="Arial" w:hAnsi="Arial" w:cs="Arial"/>
                <w:sz w:val="16"/>
                <w:szCs w:val="16"/>
              </w:rPr>
            </w:pPr>
            <w:r w:rsidRPr="00CE0792">
              <w:rPr>
                <w:rFonts w:ascii="Arial" w:hAnsi="Arial" w:cs="Arial"/>
                <w:sz w:val="16"/>
                <w:szCs w:val="16"/>
              </w:rPr>
              <w:t>Braničevska oblast</w:t>
            </w:r>
          </w:p>
        </w:tc>
        <w:tc>
          <w:tcPr>
            <w:tcW w:w="788" w:type="dxa"/>
            <w:tcBorders>
              <w:left w:val="single" w:sz="4" w:space="0" w:color="808080" w:themeColor="background1" w:themeShade="80"/>
            </w:tcBorders>
            <w:shd w:val="clear" w:color="auto" w:fill="auto"/>
            <w:noWrap/>
            <w:vAlign w:val="bottom"/>
            <w:hideMark/>
          </w:tcPr>
          <w:p w14:paraId="49529135"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2513</w:t>
            </w:r>
          </w:p>
        </w:tc>
        <w:tc>
          <w:tcPr>
            <w:tcW w:w="905" w:type="dxa"/>
            <w:shd w:val="clear" w:color="auto" w:fill="auto"/>
            <w:noWrap/>
            <w:vAlign w:val="bottom"/>
            <w:hideMark/>
          </w:tcPr>
          <w:p w14:paraId="7F9967FB"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840</w:t>
            </w:r>
          </w:p>
        </w:tc>
        <w:tc>
          <w:tcPr>
            <w:tcW w:w="805" w:type="dxa"/>
            <w:shd w:val="clear" w:color="auto" w:fill="auto"/>
            <w:noWrap/>
            <w:vAlign w:val="bottom"/>
            <w:hideMark/>
          </w:tcPr>
          <w:p w14:paraId="3B36FE32"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2982</w:t>
            </w:r>
          </w:p>
        </w:tc>
        <w:tc>
          <w:tcPr>
            <w:tcW w:w="888" w:type="dxa"/>
            <w:shd w:val="clear" w:color="auto" w:fill="auto"/>
            <w:noWrap/>
            <w:vAlign w:val="bottom"/>
            <w:hideMark/>
          </w:tcPr>
          <w:p w14:paraId="47C2A14D"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1309</w:t>
            </w:r>
          </w:p>
        </w:tc>
        <w:tc>
          <w:tcPr>
            <w:tcW w:w="1134" w:type="dxa"/>
            <w:shd w:val="clear" w:color="auto" w:fill="auto"/>
            <w:noWrap/>
            <w:vAlign w:val="bottom"/>
            <w:hideMark/>
          </w:tcPr>
          <w:p w14:paraId="10B2D859"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-469</w:t>
            </w:r>
          </w:p>
        </w:tc>
        <w:tc>
          <w:tcPr>
            <w:tcW w:w="1053" w:type="dxa"/>
            <w:shd w:val="clear" w:color="auto" w:fill="auto"/>
            <w:noWrap/>
            <w:vAlign w:val="bottom"/>
            <w:hideMark/>
          </w:tcPr>
          <w:p w14:paraId="38228BD9"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738</w:t>
            </w:r>
          </w:p>
        </w:tc>
        <w:tc>
          <w:tcPr>
            <w:tcW w:w="1053" w:type="dxa"/>
            <w:shd w:val="clear" w:color="auto" w:fill="auto"/>
            <w:noWrap/>
            <w:vAlign w:val="bottom"/>
            <w:hideMark/>
          </w:tcPr>
          <w:p w14:paraId="205BE28B"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935</w:t>
            </w:r>
          </w:p>
        </w:tc>
      </w:tr>
      <w:tr w:rsidR="00A069D5" w:rsidRPr="00CE0792" w14:paraId="5CA5AFE4" w14:textId="77777777" w:rsidTr="00847B97">
        <w:trPr>
          <w:trHeight w:val="215"/>
        </w:trPr>
        <w:tc>
          <w:tcPr>
            <w:tcW w:w="3103" w:type="dxa"/>
            <w:tcBorders>
              <w:right w:val="single" w:sz="4" w:space="0" w:color="808080" w:themeColor="background1" w:themeShade="80"/>
            </w:tcBorders>
            <w:shd w:val="clear" w:color="auto" w:fill="F2F2F2" w:themeFill="background1" w:themeFillShade="F2"/>
            <w:noWrap/>
            <w:vAlign w:val="center"/>
            <w:hideMark/>
          </w:tcPr>
          <w:p w14:paraId="4FD277D0" w14:textId="77777777" w:rsidR="00A069D5" w:rsidRPr="00CE0792" w:rsidRDefault="00A069D5" w:rsidP="00A069D5">
            <w:pPr>
              <w:spacing w:before="60" w:after="60"/>
              <w:rPr>
                <w:rFonts w:ascii="Arial" w:hAnsi="Arial" w:cs="Arial"/>
                <w:sz w:val="16"/>
                <w:szCs w:val="16"/>
              </w:rPr>
            </w:pPr>
            <w:r w:rsidRPr="00CE0792">
              <w:rPr>
                <w:rFonts w:ascii="Arial" w:hAnsi="Arial" w:cs="Arial"/>
                <w:sz w:val="16"/>
                <w:szCs w:val="16"/>
              </w:rPr>
              <w:t>Zaječarska oblast</w:t>
            </w:r>
          </w:p>
        </w:tc>
        <w:tc>
          <w:tcPr>
            <w:tcW w:w="788" w:type="dxa"/>
            <w:tcBorders>
              <w:left w:val="single" w:sz="4" w:space="0" w:color="808080" w:themeColor="background1" w:themeShade="80"/>
            </w:tcBorders>
            <w:shd w:val="clear" w:color="auto" w:fill="F2F2F2" w:themeFill="background1" w:themeFillShade="F2"/>
            <w:noWrap/>
            <w:vAlign w:val="bottom"/>
            <w:hideMark/>
          </w:tcPr>
          <w:p w14:paraId="584B4D24"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1634</w:t>
            </w:r>
          </w:p>
        </w:tc>
        <w:tc>
          <w:tcPr>
            <w:tcW w:w="905" w:type="dxa"/>
            <w:shd w:val="clear" w:color="auto" w:fill="F2F2F2" w:themeFill="background1" w:themeFillShade="F2"/>
            <w:noWrap/>
            <w:vAlign w:val="bottom"/>
            <w:hideMark/>
          </w:tcPr>
          <w:p w14:paraId="5BDB38BD"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799</w:t>
            </w:r>
          </w:p>
        </w:tc>
        <w:tc>
          <w:tcPr>
            <w:tcW w:w="805" w:type="dxa"/>
            <w:shd w:val="clear" w:color="auto" w:fill="F2F2F2" w:themeFill="background1" w:themeFillShade="F2"/>
            <w:noWrap/>
            <w:vAlign w:val="bottom"/>
            <w:hideMark/>
          </w:tcPr>
          <w:p w14:paraId="041CA2A0"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1758</w:t>
            </w:r>
          </w:p>
        </w:tc>
        <w:tc>
          <w:tcPr>
            <w:tcW w:w="888" w:type="dxa"/>
            <w:shd w:val="clear" w:color="auto" w:fill="F2F2F2" w:themeFill="background1" w:themeFillShade="F2"/>
            <w:noWrap/>
            <w:vAlign w:val="bottom"/>
            <w:hideMark/>
          </w:tcPr>
          <w:p w14:paraId="5997802E"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923</w:t>
            </w:r>
          </w:p>
        </w:tc>
        <w:tc>
          <w:tcPr>
            <w:tcW w:w="1134" w:type="dxa"/>
            <w:shd w:val="clear" w:color="auto" w:fill="F2F2F2" w:themeFill="background1" w:themeFillShade="F2"/>
            <w:noWrap/>
            <w:vAlign w:val="bottom"/>
            <w:hideMark/>
          </w:tcPr>
          <w:p w14:paraId="241D5D6C"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-124</w:t>
            </w:r>
          </w:p>
        </w:tc>
        <w:tc>
          <w:tcPr>
            <w:tcW w:w="1053" w:type="dxa"/>
            <w:shd w:val="clear" w:color="auto" w:fill="F2F2F2" w:themeFill="background1" w:themeFillShade="F2"/>
            <w:noWrap/>
            <w:vAlign w:val="bottom"/>
            <w:hideMark/>
          </w:tcPr>
          <w:p w14:paraId="1595C39D"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173</w:t>
            </w:r>
          </w:p>
        </w:tc>
        <w:tc>
          <w:tcPr>
            <w:tcW w:w="1053" w:type="dxa"/>
            <w:shd w:val="clear" w:color="auto" w:fill="F2F2F2" w:themeFill="background1" w:themeFillShade="F2"/>
            <w:noWrap/>
            <w:vAlign w:val="bottom"/>
            <w:hideMark/>
          </w:tcPr>
          <w:p w14:paraId="2D7E2D89"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662</w:t>
            </w:r>
          </w:p>
        </w:tc>
      </w:tr>
      <w:tr w:rsidR="00A069D5" w:rsidRPr="00CE0792" w14:paraId="03102B25" w14:textId="77777777" w:rsidTr="00847B97">
        <w:trPr>
          <w:trHeight w:val="215"/>
        </w:trPr>
        <w:tc>
          <w:tcPr>
            <w:tcW w:w="3103" w:type="dxa"/>
            <w:tcBorders>
              <w:right w:val="single" w:sz="4" w:space="0" w:color="808080" w:themeColor="background1" w:themeShade="80"/>
            </w:tcBorders>
            <w:shd w:val="clear" w:color="auto" w:fill="auto"/>
            <w:noWrap/>
            <w:vAlign w:val="center"/>
            <w:hideMark/>
          </w:tcPr>
          <w:p w14:paraId="5B59B6D6" w14:textId="77777777" w:rsidR="00A069D5" w:rsidRPr="00CE0792" w:rsidRDefault="00A069D5" w:rsidP="00A069D5">
            <w:pPr>
              <w:spacing w:before="60" w:after="60"/>
              <w:rPr>
                <w:rFonts w:ascii="Arial" w:hAnsi="Arial" w:cs="Arial"/>
                <w:sz w:val="16"/>
                <w:szCs w:val="16"/>
              </w:rPr>
            </w:pPr>
            <w:r w:rsidRPr="00CE0792">
              <w:rPr>
                <w:rFonts w:ascii="Arial" w:hAnsi="Arial" w:cs="Arial"/>
                <w:sz w:val="16"/>
                <w:szCs w:val="16"/>
              </w:rPr>
              <w:t>Jablanička oblast</w:t>
            </w:r>
          </w:p>
        </w:tc>
        <w:tc>
          <w:tcPr>
            <w:tcW w:w="788" w:type="dxa"/>
            <w:tcBorders>
              <w:left w:val="single" w:sz="4" w:space="0" w:color="808080" w:themeColor="background1" w:themeShade="80"/>
            </w:tcBorders>
            <w:shd w:val="clear" w:color="auto" w:fill="auto"/>
            <w:noWrap/>
            <w:vAlign w:val="bottom"/>
            <w:hideMark/>
          </w:tcPr>
          <w:p w14:paraId="1BC816FF"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2313</w:t>
            </w:r>
          </w:p>
        </w:tc>
        <w:tc>
          <w:tcPr>
            <w:tcW w:w="905" w:type="dxa"/>
            <w:shd w:val="clear" w:color="auto" w:fill="auto"/>
            <w:noWrap/>
            <w:vAlign w:val="bottom"/>
            <w:hideMark/>
          </w:tcPr>
          <w:p w14:paraId="6626F3A6"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896</w:t>
            </w:r>
          </w:p>
        </w:tc>
        <w:tc>
          <w:tcPr>
            <w:tcW w:w="805" w:type="dxa"/>
            <w:shd w:val="clear" w:color="auto" w:fill="auto"/>
            <w:noWrap/>
            <w:vAlign w:val="bottom"/>
            <w:hideMark/>
          </w:tcPr>
          <w:p w14:paraId="7F5E1E4A"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3069</w:t>
            </w:r>
          </w:p>
        </w:tc>
        <w:tc>
          <w:tcPr>
            <w:tcW w:w="888" w:type="dxa"/>
            <w:shd w:val="clear" w:color="auto" w:fill="auto"/>
            <w:noWrap/>
            <w:vAlign w:val="bottom"/>
            <w:hideMark/>
          </w:tcPr>
          <w:p w14:paraId="58BCE7CE"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1652</w:t>
            </w:r>
          </w:p>
        </w:tc>
        <w:tc>
          <w:tcPr>
            <w:tcW w:w="1134" w:type="dxa"/>
            <w:shd w:val="clear" w:color="auto" w:fill="auto"/>
            <w:noWrap/>
            <w:vAlign w:val="bottom"/>
            <w:hideMark/>
          </w:tcPr>
          <w:p w14:paraId="6215AB77"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-756</w:t>
            </w:r>
          </w:p>
        </w:tc>
        <w:tc>
          <w:tcPr>
            <w:tcW w:w="1053" w:type="dxa"/>
            <w:shd w:val="clear" w:color="auto" w:fill="auto"/>
            <w:noWrap/>
            <w:vAlign w:val="bottom"/>
            <w:hideMark/>
          </w:tcPr>
          <w:p w14:paraId="745FE811"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353</w:t>
            </w:r>
          </w:p>
        </w:tc>
        <w:tc>
          <w:tcPr>
            <w:tcW w:w="1053" w:type="dxa"/>
            <w:shd w:val="clear" w:color="auto" w:fill="auto"/>
            <w:noWrap/>
            <w:vAlign w:val="bottom"/>
            <w:hideMark/>
          </w:tcPr>
          <w:p w14:paraId="1E56CD56"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1064</w:t>
            </w:r>
          </w:p>
        </w:tc>
      </w:tr>
      <w:tr w:rsidR="00A069D5" w:rsidRPr="00CE0792" w14:paraId="035406F1" w14:textId="77777777" w:rsidTr="00847B97">
        <w:trPr>
          <w:trHeight w:val="215"/>
        </w:trPr>
        <w:tc>
          <w:tcPr>
            <w:tcW w:w="3103" w:type="dxa"/>
            <w:tcBorders>
              <w:right w:val="single" w:sz="4" w:space="0" w:color="808080" w:themeColor="background1" w:themeShade="80"/>
            </w:tcBorders>
            <w:shd w:val="clear" w:color="auto" w:fill="F2F2F2" w:themeFill="background1" w:themeFillShade="F2"/>
            <w:noWrap/>
            <w:vAlign w:val="center"/>
            <w:hideMark/>
          </w:tcPr>
          <w:p w14:paraId="1E53E82F" w14:textId="77777777" w:rsidR="00A069D5" w:rsidRPr="00CE0792" w:rsidRDefault="00A069D5" w:rsidP="00A069D5">
            <w:pPr>
              <w:spacing w:before="60" w:after="60"/>
              <w:rPr>
                <w:rFonts w:ascii="Arial" w:hAnsi="Arial" w:cs="Arial"/>
                <w:sz w:val="16"/>
                <w:szCs w:val="16"/>
              </w:rPr>
            </w:pPr>
            <w:r w:rsidRPr="00CE0792">
              <w:rPr>
                <w:rFonts w:ascii="Arial" w:hAnsi="Arial" w:cs="Arial"/>
                <w:sz w:val="16"/>
                <w:szCs w:val="16"/>
              </w:rPr>
              <w:t>Nišavska oblast</w:t>
            </w:r>
          </w:p>
        </w:tc>
        <w:tc>
          <w:tcPr>
            <w:tcW w:w="788" w:type="dxa"/>
            <w:tcBorders>
              <w:left w:val="single" w:sz="4" w:space="0" w:color="808080" w:themeColor="background1" w:themeShade="80"/>
            </w:tcBorders>
            <w:shd w:val="clear" w:color="auto" w:fill="F2F2F2" w:themeFill="background1" w:themeFillShade="F2"/>
            <w:noWrap/>
            <w:vAlign w:val="bottom"/>
            <w:hideMark/>
          </w:tcPr>
          <w:p w14:paraId="13FF2055"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5378</w:t>
            </w:r>
          </w:p>
        </w:tc>
        <w:tc>
          <w:tcPr>
            <w:tcW w:w="905" w:type="dxa"/>
            <w:shd w:val="clear" w:color="auto" w:fill="F2F2F2" w:themeFill="background1" w:themeFillShade="F2"/>
            <w:noWrap/>
            <w:vAlign w:val="bottom"/>
            <w:hideMark/>
          </w:tcPr>
          <w:p w14:paraId="3D880B69"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2553</w:t>
            </w:r>
          </w:p>
        </w:tc>
        <w:tc>
          <w:tcPr>
            <w:tcW w:w="805" w:type="dxa"/>
            <w:shd w:val="clear" w:color="auto" w:fill="F2F2F2" w:themeFill="background1" w:themeFillShade="F2"/>
            <w:noWrap/>
            <w:vAlign w:val="bottom"/>
            <w:hideMark/>
          </w:tcPr>
          <w:p w14:paraId="272A8D45"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5146</w:t>
            </w:r>
          </w:p>
        </w:tc>
        <w:tc>
          <w:tcPr>
            <w:tcW w:w="888" w:type="dxa"/>
            <w:shd w:val="clear" w:color="auto" w:fill="F2F2F2" w:themeFill="background1" w:themeFillShade="F2"/>
            <w:noWrap/>
            <w:vAlign w:val="bottom"/>
            <w:hideMark/>
          </w:tcPr>
          <w:p w14:paraId="267A468B"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2321</w:t>
            </w:r>
          </w:p>
        </w:tc>
        <w:tc>
          <w:tcPr>
            <w:tcW w:w="1134" w:type="dxa"/>
            <w:shd w:val="clear" w:color="auto" w:fill="F2F2F2" w:themeFill="background1" w:themeFillShade="F2"/>
            <w:noWrap/>
            <w:vAlign w:val="bottom"/>
            <w:hideMark/>
          </w:tcPr>
          <w:p w14:paraId="3BF0F7FF"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232</w:t>
            </w:r>
          </w:p>
        </w:tc>
        <w:tc>
          <w:tcPr>
            <w:tcW w:w="1053" w:type="dxa"/>
            <w:shd w:val="clear" w:color="auto" w:fill="F2F2F2" w:themeFill="background1" w:themeFillShade="F2"/>
            <w:noWrap/>
            <w:vAlign w:val="bottom"/>
            <w:hideMark/>
          </w:tcPr>
          <w:p w14:paraId="2666BFA4"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2116</w:t>
            </w:r>
          </w:p>
        </w:tc>
        <w:tc>
          <w:tcPr>
            <w:tcW w:w="1053" w:type="dxa"/>
            <w:shd w:val="clear" w:color="auto" w:fill="F2F2F2" w:themeFill="background1" w:themeFillShade="F2"/>
            <w:noWrap/>
            <w:vAlign w:val="bottom"/>
            <w:hideMark/>
          </w:tcPr>
          <w:p w14:paraId="4ED2AD6D"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709</w:t>
            </w:r>
          </w:p>
        </w:tc>
      </w:tr>
      <w:tr w:rsidR="00A069D5" w:rsidRPr="00CE0792" w14:paraId="1F83D21B" w14:textId="77777777" w:rsidTr="00847B97">
        <w:trPr>
          <w:trHeight w:val="215"/>
        </w:trPr>
        <w:tc>
          <w:tcPr>
            <w:tcW w:w="3103" w:type="dxa"/>
            <w:tcBorders>
              <w:right w:val="single" w:sz="4" w:space="0" w:color="808080" w:themeColor="background1" w:themeShade="80"/>
            </w:tcBorders>
            <w:shd w:val="clear" w:color="auto" w:fill="auto"/>
            <w:noWrap/>
            <w:vAlign w:val="center"/>
            <w:hideMark/>
          </w:tcPr>
          <w:p w14:paraId="499B04F2" w14:textId="77777777" w:rsidR="00A069D5" w:rsidRPr="00CE0792" w:rsidRDefault="00A069D5" w:rsidP="00A069D5">
            <w:pPr>
              <w:spacing w:before="60" w:after="60"/>
              <w:rPr>
                <w:rFonts w:ascii="Arial" w:hAnsi="Arial" w:cs="Arial"/>
                <w:sz w:val="16"/>
                <w:szCs w:val="16"/>
              </w:rPr>
            </w:pPr>
            <w:r w:rsidRPr="00CE0792">
              <w:rPr>
                <w:rFonts w:ascii="Arial" w:hAnsi="Arial" w:cs="Arial"/>
                <w:sz w:val="16"/>
                <w:szCs w:val="16"/>
              </w:rPr>
              <w:t>Pirotska oblast</w:t>
            </w:r>
          </w:p>
        </w:tc>
        <w:tc>
          <w:tcPr>
            <w:tcW w:w="788" w:type="dxa"/>
            <w:tcBorders>
              <w:left w:val="single" w:sz="4" w:space="0" w:color="808080" w:themeColor="background1" w:themeShade="80"/>
            </w:tcBorders>
            <w:shd w:val="clear" w:color="auto" w:fill="auto"/>
            <w:noWrap/>
            <w:vAlign w:val="bottom"/>
            <w:hideMark/>
          </w:tcPr>
          <w:p w14:paraId="5B199700"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938</w:t>
            </w:r>
          </w:p>
        </w:tc>
        <w:tc>
          <w:tcPr>
            <w:tcW w:w="905" w:type="dxa"/>
            <w:shd w:val="clear" w:color="auto" w:fill="auto"/>
            <w:noWrap/>
            <w:vAlign w:val="bottom"/>
            <w:hideMark/>
          </w:tcPr>
          <w:p w14:paraId="7FC2B8BB"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398</w:t>
            </w:r>
          </w:p>
        </w:tc>
        <w:tc>
          <w:tcPr>
            <w:tcW w:w="805" w:type="dxa"/>
            <w:shd w:val="clear" w:color="auto" w:fill="auto"/>
            <w:noWrap/>
            <w:vAlign w:val="bottom"/>
            <w:hideMark/>
          </w:tcPr>
          <w:p w14:paraId="6C35E70D"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1167</w:t>
            </w:r>
          </w:p>
        </w:tc>
        <w:tc>
          <w:tcPr>
            <w:tcW w:w="888" w:type="dxa"/>
            <w:shd w:val="clear" w:color="auto" w:fill="auto"/>
            <w:noWrap/>
            <w:vAlign w:val="bottom"/>
            <w:hideMark/>
          </w:tcPr>
          <w:p w14:paraId="6AEDC725"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627</w:t>
            </w:r>
          </w:p>
        </w:tc>
        <w:tc>
          <w:tcPr>
            <w:tcW w:w="1134" w:type="dxa"/>
            <w:shd w:val="clear" w:color="auto" w:fill="auto"/>
            <w:noWrap/>
            <w:vAlign w:val="bottom"/>
            <w:hideMark/>
          </w:tcPr>
          <w:p w14:paraId="3EFDC629"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-229</w:t>
            </w:r>
          </w:p>
        </w:tc>
        <w:tc>
          <w:tcPr>
            <w:tcW w:w="1053" w:type="dxa"/>
            <w:shd w:val="clear" w:color="auto" w:fill="auto"/>
            <w:noWrap/>
            <w:vAlign w:val="bottom"/>
            <w:hideMark/>
          </w:tcPr>
          <w:p w14:paraId="28A7E624"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126</w:t>
            </w:r>
          </w:p>
        </w:tc>
        <w:tc>
          <w:tcPr>
            <w:tcW w:w="1053" w:type="dxa"/>
            <w:shd w:val="clear" w:color="auto" w:fill="auto"/>
            <w:noWrap/>
            <w:vAlign w:val="bottom"/>
            <w:hideMark/>
          </w:tcPr>
          <w:p w14:paraId="4C34C559"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414</w:t>
            </w:r>
          </w:p>
        </w:tc>
      </w:tr>
      <w:tr w:rsidR="00A069D5" w:rsidRPr="00CE0792" w14:paraId="6E144AAD" w14:textId="77777777" w:rsidTr="00847B97">
        <w:trPr>
          <w:trHeight w:val="215"/>
        </w:trPr>
        <w:tc>
          <w:tcPr>
            <w:tcW w:w="3103" w:type="dxa"/>
            <w:tcBorders>
              <w:right w:val="single" w:sz="4" w:space="0" w:color="808080" w:themeColor="background1" w:themeShade="80"/>
            </w:tcBorders>
            <w:shd w:val="clear" w:color="auto" w:fill="F2F2F2" w:themeFill="background1" w:themeFillShade="F2"/>
            <w:noWrap/>
            <w:vAlign w:val="center"/>
            <w:hideMark/>
          </w:tcPr>
          <w:p w14:paraId="1F20296E" w14:textId="77777777" w:rsidR="00A069D5" w:rsidRPr="00CE0792" w:rsidRDefault="00A069D5" w:rsidP="00A069D5">
            <w:pPr>
              <w:spacing w:before="60" w:after="60"/>
              <w:rPr>
                <w:rFonts w:ascii="Arial" w:hAnsi="Arial" w:cs="Arial"/>
                <w:sz w:val="16"/>
                <w:szCs w:val="16"/>
              </w:rPr>
            </w:pPr>
            <w:r w:rsidRPr="00CE0792">
              <w:rPr>
                <w:rFonts w:ascii="Arial" w:hAnsi="Arial" w:cs="Arial"/>
                <w:sz w:val="16"/>
                <w:szCs w:val="16"/>
              </w:rPr>
              <w:t>Podunavska oblast</w:t>
            </w:r>
          </w:p>
        </w:tc>
        <w:tc>
          <w:tcPr>
            <w:tcW w:w="788" w:type="dxa"/>
            <w:tcBorders>
              <w:left w:val="single" w:sz="4" w:space="0" w:color="808080" w:themeColor="background1" w:themeShade="80"/>
            </w:tcBorders>
            <w:shd w:val="clear" w:color="auto" w:fill="F2F2F2" w:themeFill="background1" w:themeFillShade="F2"/>
            <w:noWrap/>
            <w:vAlign w:val="bottom"/>
            <w:hideMark/>
          </w:tcPr>
          <w:p w14:paraId="2FE22FB6"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1733</w:t>
            </w:r>
          </w:p>
        </w:tc>
        <w:tc>
          <w:tcPr>
            <w:tcW w:w="905" w:type="dxa"/>
            <w:shd w:val="clear" w:color="auto" w:fill="F2F2F2" w:themeFill="background1" w:themeFillShade="F2"/>
            <w:noWrap/>
            <w:vAlign w:val="bottom"/>
            <w:hideMark/>
          </w:tcPr>
          <w:p w14:paraId="134D2F4A"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917</w:t>
            </w:r>
          </w:p>
        </w:tc>
        <w:tc>
          <w:tcPr>
            <w:tcW w:w="805" w:type="dxa"/>
            <w:shd w:val="clear" w:color="auto" w:fill="F2F2F2" w:themeFill="background1" w:themeFillShade="F2"/>
            <w:noWrap/>
            <w:vAlign w:val="bottom"/>
            <w:hideMark/>
          </w:tcPr>
          <w:p w14:paraId="131BD904"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2360</w:t>
            </w:r>
          </w:p>
        </w:tc>
        <w:tc>
          <w:tcPr>
            <w:tcW w:w="888" w:type="dxa"/>
            <w:shd w:val="clear" w:color="auto" w:fill="F2F2F2" w:themeFill="background1" w:themeFillShade="F2"/>
            <w:noWrap/>
            <w:vAlign w:val="bottom"/>
            <w:hideMark/>
          </w:tcPr>
          <w:p w14:paraId="2E612B99"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1544</w:t>
            </w:r>
          </w:p>
        </w:tc>
        <w:tc>
          <w:tcPr>
            <w:tcW w:w="1134" w:type="dxa"/>
            <w:shd w:val="clear" w:color="auto" w:fill="F2F2F2" w:themeFill="background1" w:themeFillShade="F2"/>
            <w:noWrap/>
            <w:vAlign w:val="bottom"/>
            <w:hideMark/>
          </w:tcPr>
          <w:p w14:paraId="60D24873"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-627</w:t>
            </w:r>
          </w:p>
        </w:tc>
        <w:tc>
          <w:tcPr>
            <w:tcW w:w="1053" w:type="dxa"/>
            <w:shd w:val="clear" w:color="auto" w:fill="F2F2F2" w:themeFill="background1" w:themeFillShade="F2"/>
            <w:noWrap/>
            <w:vAlign w:val="bottom"/>
            <w:hideMark/>
          </w:tcPr>
          <w:p w14:paraId="7E3242A2"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171</w:t>
            </w:r>
          </w:p>
        </w:tc>
        <w:tc>
          <w:tcPr>
            <w:tcW w:w="1053" w:type="dxa"/>
            <w:shd w:val="clear" w:color="auto" w:fill="F2F2F2" w:themeFill="background1" w:themeFillShade="F2"/>
            <w:noWrap/>
            <w:vAlign w:val="bottom"/>
            <w:hideMark/>
          </w:tcPr>
          <w:p w14:paraId="69333F67"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645</w:t>
            </w:r>
          </w:p>
        </w:tc>
      </w:tr>
      <w:tr w:rsidR="00A069D5" w:rsidRPr="00CE0792" w14:paraId="112B69EC" w14:textId="77777777" w:rsidTr="00847B97">
        <w:trPr>
          <w:trHeight w:val="215"/>
        </w:trPr>
        <w:tc>
          <w:tcPr>
            <w:tcW w:w="3103" w:type="dxa"/>
            <w:tcBorders>
              <w:right w:val="single" w:sz="4" w:space="0" w:color="808080" w:themeColor="background1" w:themeShade="80"/>
            </w:tcBorders>
            <w:shd w:val="clear" w:color="auto" w:fill="auto"/>
            <w:noWrap/>
            <w:vAlign w:val="center"/>
            <w:hideMark/>
          </w:tcPr>
          <w:p w14:paraId="1B81BD25" w14:textId="77777777" w:rsidR="00A069D5" w:rsidRPr="00CE0792" w:rsidRDefault="00A069D5" w:rsidP="00A069D5">
            <w:pPr>
              <w:spacing w:before="60" w:after="60"/>
              <w:rPr>
                <w:rFonts w:ascii="Arial" w:hAnsi="Arial" w:cs="Arial"/>
                <w:sz w:val="16"/>
                <w:szCs w:val="16"/>
              </w:rPr>
            </w:pPr>
            <w:r w:rsidRPr="00CE0792">
              <w:rPr>
                <w:rFonts w:ascii="Arial" w:hAnsi="Arial" w:cs="Arial"/>
                <w:sz w:val="16"/>
                <w:szCs w:val="16"/>
              </w:rPr>
              <w:t>Pčinjska oblast</w:t>
            </w:r>
          </w:p>
        </w:tc>
        <w:tc>
          <w:tcPr>
            <w:tcW w:w="788" w:type="dxa"/>
            <w:tcBorders>
              <w:left w:val="single" w:sz="4" w:space="0" w:color="808080" w:themeColor="background1" w:themeShade="80"/>
            </w:tcBorders>
            <w:shd w:val="clear" w:color="auto" w:fill="auto"/>
            <w:noWrap/>
            <w:vAlign w:val="bottom"/>
            <w:hideMark/>
          </w:tcPr>
          <w:p w14:paraId="5B41F64D"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1904</w:t>
            </w:r>
          </w:p>
        </w:tc>
        <w:tc>
          <w:tcPr>
            <w:tcW w:w="905" w:type="dxa"/>
            <w:shd w:val="clear" w:color="auto" w:fill="auto"/>
            <w:noWrap/>
            <w:vAlign w:val="bottom"/>
            <w:hideMark/>
          </w:tcPr>
          <w:p w14:paraId="0C92DB37"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499</w:t>
            </w:r>
          </w:p>
        </w:tc>
        <w:tc>
          <w:tcPr>
            <w:tcW w:w="805" w:type="dxa"/>
            <w:shd w:val="clear" w:color="auto" w:fill="auto"/>
            <w:noWrap/>
            <w:vAlign w:val="bottom"/>
            <w:hideMark/>
          </w:tcPr>
          <w:p w14:paraId="78F08E64"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2670</w:t>
            </w:r>
          </w:p>
        </w:tc>
        <w:tc>
          <w:tcPr>
            <w:tcW w:w="888" w:type="dxa"/>
            <w:shd w:val="clear" w:color="auto" w:fill="auto"/>
            <w:noWrap/>
            <w:vAlign w:val="bottom"/>
            <w:hideMark/>
          </w:tcPr>
          <w:p w14:paraId="3F93821F"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1265</w:t>
            </w:r>
          </w:p>
        </w:tc>
        <w:tc>
          <w:tcPr>
            <w:tcW w:w="1134" w:type="dxa"/>
            <w:shd w:val="clear" w:color="auto" w:fill="auto"/>
            <w:noWrap/>
            <w:vAlign w:val="bottom"/>
            <w:hideMark/>
          </w:tcPr>
          <w:p w14:paraId="18F3B967"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-766</w:t>
            </w:r>
          </w:p>
        </w:tc>
        <w:tc>
          <w:tcPr>
            <w:tcW w:w="1053" w:type="dxa"/>
            <w:shd w:val="clear" w:color="auto" w:fill="auto"/>
            <w:noWrap/>
            <w:vAlign w:val="bottom"/>
            <w:hideMark/>
          </w:tcPr>
          <w:p w14:paraId="591C6B99"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533</w:t>
            </w:r>
          </w:p>
        </w:tc>
        <w:tc>
          <w:tcPr>
            <w:tcW w:w="1053" w:type="dxa"/>
            <w:shd w:val="clear" w:color="auto" w:fill="auto"/>
            <w:noWrap/>
            <w:vAlign w:val="bottom"/>
            <w:hideMark/>
          </w:tcPr>
          <w:p w14:paraId="3258BBDA"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872</w:t>
            </w:r>
          </w:p>
        </w:tc>
      </w:tr>
      <w:tr w:rsidR="00A069D5" w:rsidRPr="00CE0792" w14:paraId="4AC8EB71" w14:textId="77777777" w:rsidTr="00847B97">
        <w:trPr>
          <w:trHeight w:val="227"/>
        </w:trPr>
        <w:tc>
          <w:tcPr>
            <w:tcW w:w="3103" w:type="dxa"/>
            <w:tcBorders>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498B4066" w14:textId="77777777" w:rsidR="00A069D5" w:rsidRPr="00CE0792" w:rsidRDefault="00A069D5" w:rsidP="00A069D5">
            <w:pPr>
              <w:spacing w:before="60" w:after="60"/>
              <w:rPr>
                <w:rFonts w:ascii="Arial" w:hAnsi="Arial" w:cs="Arial"/>
                <w:sz w:val="16"/>
                <w:szCs w:val="16"/>
              </w:rPr>
            </w:pPr>
            <w:r w:rsidRPr="00CE0792">
              <w:rPr>
                <w:rFonts w:ascii="Arial" w:hAnsi="Arial" w:cs="Arial"/>
                <w:sz w:val="16"/>
                <w:szCs w:val="16"/>
              </w:rPr>
              <w:t>Toplička oblast</w:t>
            </w:r>
          </w:p>
        </w:tc>
        <w:tc>
          <w:tcPr>
            <w:tcW w:w="788" w:type="dxa"/>
            <w:tcBorders>
              <w:left w:val="single" w:sz="4" w:space="0" w:color="808080" w:themeColor="background1" w:themeShade="80"/>
              <w:bottom w:val="single" w:sz="4" w:space="0" w:color="808080" w:themeColor="background1" w:themeShade="80"/>
            </w:tcBorders>
            <w:shd w:val="clear" w:color="auto" w:fill="F2F2F2" w:themeFill="background1" w:themeFillShade="F2"/>
            <w:noWrap/>
            <w:vAlign w:val="bottom"/>
            <w:hideMark/>
          </w:tcPr>
          <w:p w14:paraId="7E3275B2"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1149</w:t>
            </w:r>
          </w:p>
        </w:tc>
        <w:tc>
          <w:tcPr>
            <w:tcW w:w="905" w:type="dxa"/>
            <w:tcBorders>
              <w:bottom w:val="single" w:sz="4" w:space="0" w:color="808080" w:themeColor="background1" w:themeShade="80"/>
            </w:tcBorders>
            <w:shd w:val="clear" w:color="auto" w:fill="F2F2F2" w:themeFill="background1" w:themeFillShade="F2"/>
            <w:noWrap/>
            <w:vAlign w:val="bottom"/>
            <w:hideMark/>
          </w:tcPr>
          <w:p w14:paraId="70DA3C66"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581</w:t>
            </w:r>
          </w:p>
        </w:tc>
        <w:tc>
          <w:tcPr>
            <w:tcW w:w="805" w:type="dxa"/>
            <w:tcBorders>
              <w:bottom w:val="single" w:sz="4" w:space="0" w:color="808080" w:themeColor="background1" w:themeShade="80"/>
            </w:tcBorders>
            <w:shd w:val="clear" w:color="auto" w:fill="F2F2F2" w:themeFill="background1" w:themeFillShade="F2"/>
            <w:noWrap/>
            <w:vAlign w:val="bottom"/>
            <w:hideMark/>
          </w:tcPr>
          <w:p w14:paraId="7F4C164D"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1559</w:t>
            </w:r>
          </w:p>
        </w:tc>
        <w:tc>
          <w:tcPr>
            <w:tcW w:w="888" w:type="dxa"/>
            <w:tcBorders>
              <w:bottom w:val="single" w:sz="4" w:space="0" w:color="808080" w:themeColor="background1" w:themeShade="80"/>
            </w:tcBorders>
            <w:shd w:val="clear" w:color="auto" w:fill="F2F2F2" w:themeFill="background1" w:themeFillShade="F2"/>
            <w:noWrap/>
            <w:vAlign w:val="bottom"/>
            <w:hideMark/>
          </w:tcPr>
          <w:p w14:paraId="250094EA"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991</w:t>
            </w:r>
          </w:p>
        </w:tc>
        <w:tc>
          <w:tcPr>
            <w:tcW w:w="1134" w:type="dxa"/>
            <w:tcBorders>
              <w:bottom w:val="single" w:sz="4" w:space="0" w:color="808080" w:themeColor="background1" w:themeShade="80"/>
            </w:tcBorders>
            <w:shd w:val="clear" w:color="auto" w:fill="F2F2F2" w:themeFill="background1" w:themeFillShade="F2"/>
            <w:noWrap/>
            <w:vAlign w:val="bottom"/>
            <w:hideMark/>
          </w:tcPr>
          <w:p w14:paraId="225DA21C"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-410</w:t>
            </w:r>
          </w:p>
        </w:tc>
        <w:tc>
          <w:tcPr>
            <w:tcW w:w="1053" w:type="dxa"/>
            <w:tcBorders>
              <w:bottom w:val="single" w:sz="4" w:space="0" w:color="808080" w:themeColor="background1" w:themeShade="80"/>
            </w:tcBorders>
            <w:shd w:val="clear" w:color="auto" w:fill="F2F2F2" w:themeFill="background1" w:themeFillShade="F2"/>
            <w:noWrap/>
            <w:vAlign w:val="bottom"/>
            <w:hideMark/>
          </w:tcPr>
          <w:p w14:paraId="7D20E27C"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155</w:t>
            </w:r>
          </w:p>
        </w:tc>
        <w:tc>
          <w:tcPr>
            <w:tcW w:w="1053" w:type="dxa"/>
            <w:tcBorders>
              <w:bottom w:val="single" w:sz="4" w:space="0" w:color="808080" w:themeColor="background1" w:themeShade="80"/>
            </w:tcBorders>
            <w:shd w:val="clear" w:color="auto" w:fill="F2F2F2" w:themeFill="background1" w:themeFillShade="F2"/>
            <w:noWrap/>
            <w:vAlign w:val="bottom"/>
            <w:hideMark/>
          </w:tcPr>
          <w:p w14:paraId="719DB8D6" w14:textId="77777777" w:rsidR="00A069D5" w:rsidRPr="00CE0792" w:rsidRDefault="00A069D5" w:rsidP="00A069D5">
            <w:pPr>
              <w:spacing w:before="60" w:after="60"/>
              <w:ind w:right="113"/>
              <w:jc w:val="right"/>
              <w:rPr>
                <w:rFonts w:ascii="Arial" w:hAnsi="Arial" w:cs="Arial"/>
                <w:color w:val="000000"/>
                <w:sz w:val="16"/>
                <w:szCs w:val="16"/>
              </w:rPr>
            </w:pPr>
            <w:r w:rsidRPr="00CE0792">
              <w:rPr>
                <w:rFonts w:ascii="Arial" w:hAnsi="Arial" w:cs="Arial"/>
                <w:color w:val="000000"/>
                <w:sz w:val="16"/>
                <w:szCs w:val="16"/>
              </w:rPr>
              <w:t>413</w:t>
            </w:r>
          </w:p>
        </w:tc>
      </w:tr>
    </w:tbl>
    <w:p w14:paraId="18FD3814" w14:textId="77777777" w:rsidR="00557DD7" w:rsidRPr="00CE0792" w:rsidRDefault="00557DD7" w:rsidP="00557DD7">
      <w:pPr>
        <w:jc w:val="both"/>
        <w:rPr>
          <w:rFonts w:ascii="Arial" w:hAnsi="Arial" w:cs="Arial"/>
          <w:sz w:val="20"/>
          <w:szCs w:val="20"/>
        </w:rPr>
      </w:pPr>
    </w:p>
    <w:p w14:paraId="455D0B91" w14:textId="77777777" w:rsidR="00557DD7" w:rsidRPr="00CE0792" w:rsidRDefault="00557DD7" w:rsidP="00557DD7">
      <w:pPr>
        <w:spacing w:before="120"/>
        <w:rPr>
          <w:rFonts w:ascii="Arial" w:hAnsi="Arial" w:cs="Arial"/>
          <w:b/>
          <w:sz w:val="20"/>
          <w:szCs w:val="20"/>
        </w:rPr>
      </w:pPr>
    </w:p>
    <w:p w14:paraId="1D918B46" w14:textId="77777777" w:rsidR="00557DD7" w:rsidRPr="00CE0792" w:rsidRDefault="00634BEF" w:rsidP="00557DD7">
      <w:pPr>
        <w:spacing w:before="120"/>
        <w:rPr>
          <w:rFonts w:ascii="Arial" w:hAnsi="Arial" w:cs="Arial"/>
          <w:b/>
          <w:sz w:val="20"/>
          <w:szCs w:val="20"/>
        </w:rPr>
      </w:pPr>
      <w:r w:rsidRPr="00CE0792">
        <w:rPr>
          <w:rFonts w:ascii="Arial" w:hAnsi="Arial" w:cs="Arial"/>
          <w:b/>
          <w:sz w:val="20"/>
          <w:szCs w:val="20"/>
        </w:rPr>
        <w:t>Migration movements in the Republic of Serbia</w:t>
      </w:r>
      <w:r w:rsidR="00557DD7" w:rsidRPr="00CE0792">
        <w:rPr>
          <w:rFonts w:ascii="Arial" w:hAnsi="Arial" w:cs="Arial"/>
          <w:b/>
          <w:sz w:val="20"/>
          <w:szCs w:val="20"/>
        </w:rPr>
        <w:t>, 201</w:t>
      </w:r>
      <w:r w:rsidR="002F385C" w:rsidRPr="00CE0792">
        <w:rPr>
          <w:rFonts w:ascii="Arial" w:hAnsi="Arial" w:cs="Arial"/>
          <w:b/>
          <w:sz w:val="20"/>
          <w:szCs w:val="20"/>
        </w:rPr>
        <w:t>5</w:t>
      </w:r>
      <w:r w:rsidR="00557DD7" w:rsidRPr="00CE0792">
        <w:rPr>
          <w:rFonts w:ascii="Arial" w:hAnsi="Arial" w:cs="Arial"/>
          <w:b/>
          <w:sz w:val="20"/>
          <w:szCs w:val="20"/>
        </w:rPr>
        <w:t>–201</w:t>
      </w:r>
      <w:r w:rsidR="002F385C" w:rsidRPr="00CE0792">
        <w:rPr>
          <w:rFonts w:ascii="Arial" w:hAnsi="Arial" w:cs="Arial"/>
          <w:b/>
          <w:sz w:val="20"/>
          <w:szCs w:val="20"/>
        </w:rPr>
        <w:t>9</w:t>
      </w:r>
    </w:p>
    <w:p w14:paraId="7398CED9" w14:textId="145F42EF" w:rsidR="00557DD7" w:rsidRPr="00CE0792" w:rsidRDefault="00634BEF" w:rsidP="00557DD7">
      <w:pPr>
        <w:spacing w:before="120"/>
        <w:jc w:val="both"/>
        <w:rPr>
          <w:rFonts w:ascii="Arial" w:hAnsi="Arial" w:cs="Arial"/>
          <w:sz w:val="20"/>
          <w:szCs w:val="20"/>
        </w:rPr>
      </w:pPr>
      <w:r w:rsidRPr="00CE0792">
        <w:rPr>
          <w:rFonts w:ascii="Arial" w:hAnsi="Arial" w:cs="Arial"/>
          <w:sz w:val="20"/>
          <w:szCs w:val="20"/>
        </w:rPr>
        <w:t>Over</w:t>
      </w:r>
      <w:r w:rsidR="00557DD7" w:rsidRPr="00CE0792">
        <w:rPr>
          <w:rFonts w:ascii="Arial" w:hAnsi="Arial" w:cs="Arial"/>
          <w:sz w:val="20"/>
          <w:szCs w:val="20"/>
        </w:rPr>
        <w:t xml:space="preserve"> 201</w:t>
      </w:r>
      <w:r w:rsidR="002F385C" w:rsidRPr="00CE0792">
        <w:rPr>
          <w:rFonts w:ascii="Arial" w:hAnsi="Arial" w:cs="Arial"/>
          <w:sz w:val="20"/>
          <w:szCs w:val="20"/>
        </w:rPr>
        <w:t>5</w:t>
      </w:r>
      <w:r w:rsidR="00557DD7" w:rsidRPr="00CE0792">
        <w:rPr>
          <w:rFonts w:ascii="Arial" w:hAnsi="Arial" w:cs="Arial"/>
          <w:sz w:val="20"/>
          <w:szCs w:val="20"/>
        </w:rPr>
        <w:t>–201</w:t>
      </w:r>
      <w:r w:rsidR="002F385C" w:rsidRPr="00CE0792">
        <w:rPr>
          <w:rFonts w:ascii="Arial" w:hAnsi="Arial" w:cs="Arial"/>
          <w:sz w:val="20"/>
          <w:szCs w:val="20"/>
        </w:rPr>
        <w:t>9</w:t>
      </w:r>
      <w:r w:rsidR="005B4BF6">
        <w:rPr>
          <w:rFonts w:ascii="Arial" w:hAnsi="Arial" w:cs="Arial"/>
          <w:sz w:val="20"/>
          <w:szCs w:val="20"/>
        </w:rPr>
        <w:t xml:space="preserve"> </w:t>
      </w:r>
      <w:r w:rsidR="00187818" w:rsidRPr="00CE0792">
        <w:rPr>
          <w:rFonts w:ascii="Arial" w:hAnsi="Arial" w:cs="Arial"/>
          <w:sz w:val="20"/>
          <w:szCs w:val="20"/>
        </w:rPr>
        <w:t xml:space="preserve">Beogradski region was the only </w:t>
      </w:r>
      <w:r w:rsidR="002F385C" w:rsidRPr="00CE0792">
        <w:rPr>
          <w:rFonts w:ascii="Arial" w:hAnsi="Arial" w:cs="Arial"/>
          <w:sz w:val="20"/>
          <w:szCs w:val="20"/>
        </w:rPr>
        <w:t xml:space="preserve">one </w:t>
      </w:r>
      <w:r w:rsidR="00187818" w:rsidRPr="00CE0792">
        <w:rPr>
          <w:rFonts w:ascii="Arial" w:hAnsi="Arial" w:cs="Arial"/>
          <w:sz w:val="20"/>
          <w:szCs w:val="20"/>
        </w:rPr>
        <w:t>having</w:t>
      </w:r>
      <w:r w:rsidRPr="00CE0792">
        <w:rPr>
          <w:rFonts w:ascii="Arial" w:hAnsi="Arial" w:cs="Arial"/>
          <w:sz w:val="20"/>
          <w:szCs w:val="20"/>
        </w:rPr>
        <w:t xml:space="preserve"> a positive migration balance, amounting annually to about 7 000 persons, and contributed to the increase in the number of population in this region.</w:t>
      </w:r>
    </w:p>
    <w:p w14:paraId="4844538B" w14:textId="77777777" w:rsidR="00557DD7" w:rsidRPr="00CE0792" w:rsidRDefault="00634BEF" w:rsidP="00557DD7">
      <w:pPr>
        <w:spacing w:before="120"/>
        <w:jc w:val="both"/>
        <w:rPr>
          <w:rFonts w:ascii="Arial" w:hAnsi="Arial" w:cs="Arial"/>
          <w:sz w:val="20"/>
          <w:szCs w:val="20"/>
        </w:rPr>
      </w:pPr>
      <w:r w:rsidRPr="00CE0792">
        <w:rPr>
          <w:rFonts w:ascii="Arial" w:hAnsi="Arial" w:cs="Arial"/>
          <w:sz w:val="20"/>
          <w:szCs w:val="20"/>
        </w:rPr>
        <w:t>Region Vojvodine</w:t>
      </w:r>
      <w:r w:rsidR="002F385C" w:rsidRPr="00CE0792">
        <w:rPr>
          <w:rFonts w:ascii="Arial" w:hAnsi="Arial" w:cs="Arial"/>
          <w:sz w:val="20"/>
          <w:szCs w:val="20"/>
        </w:rPr>
        <w:t>, in the last five years,</w:t>
      </w:r>
      <w:r w:rsidRPr="00CE0792">
        <w:rPr>
          <w:rFonts w:ascii="Arial" w:hAnsi="Arial" w:cs="Arial"/>
          <w:sz w:val="20"/>
          <w:szCs w:val="20"/>
        </w:rPr>
        <w:t xml:space="preserve"> has been recording negative value of migration balance</w:t>
      </w:r>
      <w:r w:rsidR="002F385C" w:rsidRPr="00CE0792">
        <w:rPr>
          <w:rFonts w:ascii="Arial" w:hAnsi="Arial" w:cs="Arial"/>
          <w:sz w:val="20"/>
          <w:szCs w:val="20"/>
        </w:rPr>
        <w:t xml:space="preserve"> only in 2016</w:t>
      </w:r>
      <w:r w:rsidRPr="00CE0792">
        <w:rPr>
          <w:rFonts w:ascii="Arial" w:hAnsi="Arial" w:cs="Arial"/>
          <w:sz w:val="20"/>
          <w:szCs w:val="20"/>
        </w:rPr>
        <w:t>. The largest positive value was seen in 2017, amounting to 670, and the largest negative one was in 201</w:t>
      </w:r>
      <w:r w:rsidR="002F385C" w:rsidRPr="00CE0792">
        <w:rPr>
          <w:rFonts w:ascii="Arial" w:hAnsi="Arial" w:cs="Arial"/>
          <w:sz w:val="20"/>
          <w:szCs w:val="20"/>
        </w:rPr>
        <w:t>6</w:t>
      </w:r>
      <w:r w:rsidRPr="00CE0792">
        <w:rPr>
          <w:rFonts w:ascii="Arial" w:hAnsi="Arial" w:cs="Arial"/>
          <w:sz w:val="20"/>
          <w:szCs w:val="20"/>
        </w:rPr>
        <w:t xml:space="preserve">, </w:t>
      </w:r>
      <w:r w:rsidR="00557DD7" w:rsidRPr="00CE0792">
        <w:rPr>
          <w:rFonts w:ascii="Arial" w:hAnsi="Arial" w:cs="Arial"/>
          <w:sz w:val="20"/>
          <w:szCs w:val="20"/>
        </w:rPr>
        <w:t>-</w:t>
      </w:r>
      <w:r w:rsidR="002F385C" w:rsidRPr="00CE0792">
        <w:rPr>
          <w:rFonts w:ascii="Arial" w:hAnsi="Arial" w:cs="Arial"/>
          <w:sz w:val="20"/>
          <w:szCs w:val="20"/>
        </w:rPr>
        <w:t>158</w:t>
      </w:r>
      <w:r w:rsidR="00557DD7" w:rsidRPr="00CE0792">
        <w:rPr>
          <w:rFonts w:ascii="Arial" w:hAnsi="Arial" w:cs="Arial"/>
          <w:sz w:val="20"/>
          <w:szCs w:val="20"/>
        </w:rPr>
        <w:t>.</w:t>
      </w:r>
    </w:p>
    <w:p w14:paraId="0045C6F4" w14:textId="77777777" w:rsidR="00557DD7" w:rsidRPr="00CE0792" w:rsidRDefault="00634BEF" w:rsidP="00557DD7">
      <w:pPr>
        <w:shd w:val="clear" w:color="auto" w:fill="FFFFFF"/>
        <w:spacing w:before="120" w:after="120"/>
        <w:jc w:val="both"/>
        <w:rPr>
          <w:rFonts w:ascii="Arial" w:eastAsia="Calibri" w:hAnsi="Arial" w:cs="Arial"/>
          <w:sz w:val="20"/>
          <w:szCs w:val="20"/>
        </w:rPr>
      </w:pPr>
      <w:r w:rsidRPr="00CE0792">
        <w:rPr>
          <w:rFonts w:ascii="Arial" w:eastAsia="Calibri" w:hAnsi="Arial" w:cs="Arial"/>
          <w:sz w:val="20"/>
          <w:szCs w:val="20"/>
        </w:rPr>
        <w:t>Over 20</w:t>
      </w:r>
      <w:r w:rsidR="00517E1A" w:rsidRPr="00CE0792">
        <w:rPr>
          <w:rFonts w:ascii="Arial" w:eastAsia="Calibri" w:hAnsi="Arial" w:cs="Arial"/>
          <w:sz w:val="20"/>
          <w:szCs w:val="20"/>
        </w:rPr>
        <w:t>15</w:t>
      </w:r>
      <w:r w:rsidRPr="00CE0792">
        <w:rPr>
          <w:rFonts w:ascii="Arial" w:eastAsia="Calibri" w:hAnsi="Arial" w:cs="Arial"/>
          <w:sz w:val="20"/>
          <w:szCs w:val="20"/>
        </w:rPr>
        <w:t>-201</w:t>
      </w:r>
      <w:r w:rsidR="00517E1A" w:rsidRPr="00CE0792">
        <w:rPr>
          <w:rFonts w:ascii="Arial" w:eastAsia="Calibri" w:hAnsi="Arial" w:cs="Arial"/>
          <w:sz w:val="20"/>
          <w:szCs w:val="20"/>
        </w:rPr>
        <w:t>9</w:t>
      </w:r>
      <w:r w:rsidRPr="00CE0792">
        <w:rPr>
          <w:rFonts w:ascii="Arial" w:eastAsia="Calibri" w:hAnsi="Arial" w:cs="Arial"/>
          <w:sz w:val="20"/>
          <w:szCs w:val="20"/>
        </w:rPr>
        <w:t xml:space="preserve"> the number of </w:t>
      </w:r>
      <w:r w:rsidR="00187818" w:rsidRPr="00CE0792">
        <w:rPr>
          <w:rFonts w:ascii="Arial" w:eastAsia="Calibri" w:hAnsi="Arial" w:cs="Arial"/>
          <w:sz w:val="20"/>
          <w:szCs w:val="20"/>
        </w:rPr>
        <w:t>emigrants</w:t>
      </w:r>
      <w:r w:rsidRPr="00CE0792">
        <w:rPr>
          <w:rFonts w:ascii="Arial" w:eastAsia="Calibri" w:hAnsi="Arial" w:cs="Arial"/>
          <w:sz w:val="20"/>
          <w:szCs w:val="20"/>
        </w:rPr>
        <w:t xml:space="preserve"> from Region Šumadije i Zapadne Srbije was constantly increasing, compared with the number </w:t>
      </w:r>
      <w:r w:rsidR="00517E1A" w:rsidRPr="00CE0792">
        <w:rPr>
          <w:rFonts w:ascii="Arial" w:eastAsia="Calibri" w:hAnsi="Arial" w:cs="Arial"/>
          <w:sz w:val="20"/>
          <w:szCs w:val="20"/>
        </w:rPr>
        <w:t xml:space="preserve">of </w:t>
      </w:r>
      <w:r w:rsidR="00187818" w:rsidRPr="00CE0792">
        <w:rPr>
          <w:rFonts w:ascii="Arial" w:eastAsia="Calibri" w:hAnsi="Arial" w:cs="Arial"/>
          <w:sz w:val="20"/>
          <w:szCs w:val="20"/>
        </w:rPr>
        <w:t>immigrants</w:t>
      </w:r>
      <w:r w:rsidRPr="00CE0792">
        <w:rPr>
          <w:rFonts w:ascii="Arial" w:eastAsia="Calibri" w:hAnsi="Arial" w:cs="Arial"/>
          <w:sz w:val="20"/>
          <w:szCs w:val="20"/>
        </w:rPr>
        <w:t>. The migration balance was negative and amounted, on average, to about 4 000, meaning that this region los</w:t>
      </w:r>
      <w:r w:rsidR="00517E1A" w:rsidRPr="00CE0792">
        <w:rPr>
          <w:rFonts w:ascii="Arial" w:eastAsia="Calibri" w:hAnsi="Arial" w:cs="Arial"/>
          <w:sz w:val="20"/>
          <w:szCs w:val="20"/>
        </w:rPr>
        <w:t>es</w:t>
      </w:r>
      <w:r w:rsidRPr="00CE0792">
        <w:rPr>
          <w:rFonts w:ascii="Arial" w:eastAsia="Calibri" w:hAnsi="Arial" w:cs="Arial"/>
          <w:sz w:val="20"/>
          <w:szCs w:val="20"/>
        </w:rPr>
        <w:t xml:space="preserve"> 4 000 inhabitants only based on the mechanical component (internal migration).</w:t>
      </w:r>
    </w:p>
    <w:p w14:paraId="0FEE2EBF" w14:textId="77777777" w:rsidR="00557DD7" w:rsidRPr="00CE0792" w:rsidRDefault="00691057" w:rsidP="00557DD7">
      <w:pPr>
        <w:shd w:val="clear" w:color="auto" w:fill="FFFFFF"/>
        <w:spacing w:before="120" w:after="120"/>
        <w:jc w:val="both"/>
        <w:rPr>
          <w:rFonts w:ascii="Arial" w:eastAsia="Calibri" w:hAnsi="Arial" w:cs="Arial"/>
          <w:sz w:val="20"/>
          <w:szCs w:val="20"/>
        </w:rPr>
      </w:pPr>
      <w:r w:rsidRPr="00CE0792">
        <w:rPr>
          <w:rFonts w:ascii="Arial" w:eastAsia="Calibri" w:hAnsi="Arial" w:cs="Arial"/>
          <w:sz w:val="20"/>
          <w:szCs w:val="20"/>
        </w:rPr>
        <w:t>Region Južne i Istočne Srbije had a negative value of migration balance in the period from 201</w:t>
      </w:r>
      <w:r w:rsidR="00517E1A" w:rsidRPr="00CE0792">
        <w:rPr>
          <w:rFonts w:ascii="Arial" w:eastAsia="Calibri" w:hAnsi="Arial" w:cs="Arial"/>
          <w:sz w:val="20"/>
          <w:szCs w:val="20"/>
        </w:rPr>
        <w:t>5</w:t>
      </w:r>
      <w:r w:rsidRPr="00CE0792">
        <w:rPr>
          <w:rFonts w:ascii="Arial" w:eastAsia="Calibri" w:hAnsi="Arial" w:cs="Arial"/>
          <w:sz w:val="20"/>
          <w:szCs w:val="20"/>
        </w:rPr>
        <w:t xml:space="preserve"> to 201</w:t>
      </w:r>
      <w:r w:rsidR="00517E1A" w:rsidRPr="00CE0792">
        <w:rPr>
          <w:rFonts w:ascii="Arial" w:eastAsia="Calibri" w:hAnsi="Arial" w:cs="Arial"/>
          <w:sz w:val="20"/>
          <w:szCs w:val="20"/>
        </w:rPr>
        <w:t>9</w:t>
      </w:r>
      <w:r w:rsidRPr="00CE0792">
        <w:rPr>
          <w:rFonts w:ascii="Arial" w:eastAsia="Calibri" w:hAnsi="Arial" w:cs="Arial"/>
          <w:sz w:val="20"/>
          <w:szCs w:val="20"/>
        </w:rPr>
        <w:t xml:space="preserve">, which on average amounted </w:t>
      </w:r>
      <w:r w:rsidR="00517E1A" w:rsidRPr="00CE0792">
        <w:rPr>
          <w:rFonts w:ascii="Arial" w:eastAsia="Calibri" w:hAnsi="Arial" w:cs="Arial"/>
          <w:sz w:val="20"/>
          <w:szCs w:val="20"/>
        </w:rPr>
        <w:t xml:space="preserve">to </w:t>
      </w:r>
      <w:r w:rsidRPr="00CE0792">
        <w:rPr>
          <w:rFonts w:ascii="Arial" w:eastAsia="Calibri" w:hAnsi="Arial" w:cs="Arial"/>
          <w:sz w:val="20"/>
          <w:szCs w:val="20"/>
        </w:rPr>
        <w:t xml:space="preserve">about </w:t>
      </w:r>
      <w:r w:rsidR="00517E1A" w:rsidRPr="00CE0792">
        <w:rPr>
          <w:rFonts w:ascii="Arial" w:eastAsia="Calibri" w:hAnsi="Arial" w:cs="Arial"/>
          <w:sz w:val="20"/>
          <w:szCs w:val="20"/>
        </w:rPr>
        <w:t>-</w:t>
      </w:r>
      <w:r w:rsidRPr="00CE0792">
        <w:rPr>
          <w:rFonts w:ascii="Arial" w:eastAsia="Calibri" w:hAnsi="Arial" w:cs="Arial"/>
          <w:sz w:val="20"/>
          <w:szCs w:val="20"/>
        </w:rPr>
        <w:t>3 000 annually, affecting the decrease in the number of population in this region</w:t>
      </w:r>
      <w:r w:rsidR="00557DD7" w:rsidRPr="00CE0792">
        <w:rPr>
          <w:rFonts w:ascii="Arial" w:eastAsia="Calibri" w:hAnsi="Arial" w:cs="Arial"/>
          <w:sz w:val="20"/>
          <w:szCs w:val="20"/>
        </w:rPr>
        <w:t>.</w:t>
      </w:r>
    </w:p>
    <w:p w14:paraId="3F842064" w14:textId="77777777" w:rsidR="00557DD7" w:rsidRPr="00CE0792" w:rsidRDefault="00557DD7" w:rsidP="00557DD7">
      <w:pPr>
        <w:rPr>
          <w:rFonts w:ascii="Arial" w:hAnsi="Arial" w:cs="Arial"/>
          <w:sz w:val="20"/>
          <w:szCs w:val="20"/>
        </w:rPr>
      </w:pPr>
      <w:r w:rsidRPr="00CE0792">
        <w:rPr>
          <w:rFonts w:ascii="Arial" w:hAnsi="Arial" w:cs="Arial"/>
          <w:sz w:val="20"/>
          <w:szCs w:val="20"/>
        </w:rPr>
        <w:br w:type="page"/>
      </w:r>
    </w:p>
    <w:p w14:paraId="4ADB7DB7" w14:textId="77777777" w:rsidR="00557DD7" w:rsidRPr="00CE0792" w:rsidRDefault="00557DD7" w:rsidP="00557DD7">
      <w:pPr>
        <w:spacing w:after="60"/>
        <w:rPr>
          <w:rFonts w:ascii="Arial" w:hAnsi="Arial" w:cs="Arial"/>
          <w:sz w:val="20"/>
          <w:szCs w:val="20"/>
        </w:rPr>
      </w:pPr>
      <w:r w:rsidRPr="00CE0792">
        <w:rPr>
          <w:rFonts w:ascii="Arial" w:hAnsi="Arial" w:cs="Arial"/>
          <w:sz w:val="20"/>
          <w:szCs w:val="20"/>
        </w:rPr>
        <w:lastRenderedPageBreak/>
        <w:t>Та</w:t>
      </w:r>
      <w:r w:rsidR="00691057" w:rsidRPr="00CE0792">
        <w:rPr>
          <w:rFonts w:ascii="Arial" w:hAnsi="Arial" w:cs="Arial"/>
          <w:sz w:val="20"/>
          <w:szCs w:val="20"/>
        </w:rPr>
        <w:t>ble</w:t>
      </w:r>
      <w:r w:rsidRPr="00CE0792">
        <w:rPr>
          <w:rFonts w:ascii="Arial" w:hAnsi="Arial" w:cs="Arial"/>
          <w:sz w:val="20"/>
          <w:szCs w:val="20"/>
        </w:rPr>
        <w:t xml:space="preserve"> 2. </w:t>
      </w:r>
      <w:r w:rsidR="00691057" w:rsidRPr="00CE0792">
        <w:rPr>
          <w:rFonts w:ascii="Arial" w:hAnsi="Arial" w:cs="Arial"/>
          <w:sz w:val="20"/>
          <w:szCs w:val="20"/>
        </w:rPr>
        <w:t>Persons who changed residence in the Republic of Serbia</w:t>
      </w:r>
      <w:r w:rsidR="007E7C63" w:rsidRPr="00CE0792">
        <w:rPr>
          <w:rFonts w:ascii="Arial" w:hAnsi="Arial" w:cs="Arial"/>
          <w:sz w:val="20"/>
          <w:szCs w:val="20"/>
        </w:rPr>
        <w:t>, 2015</w:t>
      </w:r>
      <w:r w:rsidRPr="00CE0792">
        <w:rPr>
          <w:rFonts w:ascii="Arial" w:hAnsi="Arial" w:cs="Arial"/>
          <w:sz w:val="20"/>
          <w:szCs w:val="20"/>
        </w:rPr>
        <w:t>–201</w:t>
      </w:r>
      <w:r w:rsidR="007E7C63" w:rsidRPr="00CE0792">
        <w:rPr>
          <w:rFonts w:ascii="Arial" w:hAnsi="Arial" w:cs="Arial"/>
          <w:sz w:val="20"/>
          <w:szCs w:val="20"/>
        </w:rPr>
        <w:t>9</w:t>
      </w:r>
    </w:p>
    <w:tbl>
      <w:tblPr>
        <w:tblW w:w="8075" w:type="dxa"/>
        <w:tblInd w:w="57" w:type="dxa"/>
        <w:tblLayout w:type="fixed"/>
        <w:tblCellMar>
          <w:left w:w="28" w:type="dxa"/>
          <w:right w:w="28" w:type="dxa"/>
        </w:tblCellMar>
        <w:tblLook w:val="04A0" w:firstRow="1" w:lastRow="0" w:firstColumn="1" w:lastColumn="0" w:noHBand="0" w:noVBand="1"/>
      </w:tblPr>
      <w:tblGrid>
        <w:gridCol w:w="2315"/>
        <w:gridCol w:w="1080"/>
        <w:gridCol w:w="1170"/>
        <w:gridCol w:w="1260"/>
        <w:gridCol w:w="1080"/>
        <w:gridCol w:w="1170"/>
      </w:tblGrid>
      <w:tr w:rsidR="007E7C63" w:rsidRPr="00CE0792" w14:paraId="675F0BDD" w14:textId="77777777" w:rsidTr="007E7C63">
        <w:trPr>
          <w:trHeight w:val="254"/>
        </w:trPr>
        <w:tc>
          <w:tcPr>
            <w:tcW w:w="2315"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172BC48" w14:textId="77777777" w:rsidR="007E7C63" w:rsidRPr="00CE0792" w:rsidRDefault="007E7C63" w:rsidP="007E7C63">
            <w:pPr>
              <w:spacing w:before="120" w:after="120"/>
              <w:rPr>
                <w:rFonts w:ascii="Arial" w:hAnsi="Arial" w:cs="Arial"/>
                <w:bCs/>
                <w:sz w:val="16"/>
                <w:szCs w:val="16"/>
              </w:rPr>
            </w:pP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9ADF817" w14:textId="77777777" w:rsidR="007E7C63" w:rsidRPr="00CE0792" w:rsidRDefault="007E7C63" w:rsidP="007E7C63">
            <w:pPr>
              <w:spacing w:before="120" w:after="120"/>
              <w:jc w:val="center"/>
              <w:rPr>
                <w:rFonts w:ascii="Arial" w:hAnsi="Arial" w:cs="Arial"/>
                <w:bCs/>
                <w:sz w:val="16"/>
                <w:szCs w:val="16"/>
              </w:rPr>
            </w:pPr>
            <w:r w:rsidRPr="00CE0792">
              <w:rPr>
                <w:rFonts w:ascii="Arial" w:hAnsi="Arial" w:cs="Arial"/>
                <w:bCs/>
                <w:sz w:val="16"/>
                <w:szCs w:val="16"/>
              </w:rPr>
              <w:t>2015</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134D57" w14:textId="77777777" w:rsidR="007E7C63" w:rsidRPr="00CE0792" w:rsidRDefault="007E7C63" w:rsidP="007E7C63">
            <w:pPr>
              <w:spacing w:before="120" w:after="120"/>
              <w:jc w:val="center"/>
              <w:rPr>
                <w:rFonts w:ascii="Arial" w:hAnsi="Arial" w:cs="Arial"/>
                <w:bCs/>
                <w:sz w:val="16"/>
                <w:szCs w:val="16"/>
              </w:rPr>
            </w:pPr>
            <w:r w:rsidRPr="00CE0792">
              <w:rPr>
                <w:rFonts w:ascii="Arial" w:hAnsi="Arial" w:cs="Arial"/>
                <w:bCs/>
                <w:sz w:val="16"/>
                <w:szCs w:val="16"/>
              </w:rPr>
              <w:t>2016</w:t>
            </w:r>
          </w:p>
        </w:tc>
        <w:tc>
          <w:tcPr>
            <w:tcW w:w="1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98AEB47" w14:textId="77777777" w:rsidR="007E7C63" w:rsidRPr="00CE0792" w:rsidRDefault="007E7C63" w:rsidP="007E7C63">
            <w:pPr>
              <w:spacing w:before="120" w:after="120"/>
              <w:jc w:val="center"/>
              <w:rPr>
                <w:rFonts w:ascii="Arial" w:hAnsi="Arial" w:cs="Arial"/>
                <w:bCs/>
                <w:sz w:val="16"/>
                <w:szCs w:val="16"/>
              </w:rPr>
            </w:pPr>
            <w:r w:rsidRPr="00CE0792">
              <w:rPr>
                <w:rFonts w:ascii="Arial" w:hAnsi="Arial" w:cs="Arial"/>
                <w:bCs/>
                <w:sz w:val="16"/>
                <w:szCs w:val="16"/>
              </w:rPr>
              <w:t>2017</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170F98F" w14:textId="77777777" w:rsidR="007E7C63" w:rsidRPr="00CE0792" w:rsidRDefault="007E7C63" w:rsidP="007E7C63">
            <w:pPr>
              <w:spacing w:before="120" w:after="120"/>
              <w:jc w:val="center"/>
              <w:rPr>
                <w:rFonts w:ascii="Arial" w:hAnsi="Arial" w:cs="Arial"/>
                <w:bCs/>
                <w:sz w:val="16"/>
                <w:szCs w:val="16"/>
              </w:rPr>
            </w:pPr>
            <w:r w:rsidRPr="00CE0792">
              <w:rPr>
                <w:rFonts w:ascii="Arial" w:hAnsi="Arial" w:cs="Arial"/>
                <w:bCs/>
                <w:sz w:val="16"/>
                <w:szCs w:val="16"/>
              </w:rPr>
              <w:t>2018</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3622929B" w14:textId="77777777" w:rsidR="007E7C63" w:rsidRPr="00CE0792" w:rsidRDefault="007E7C63" w:rsidP="007E7C63">
            <w:pPr>
              <w:spacing w:before="120" w:after="120"/>
              <w:jc w:val="center"/>
              <w:rPr>
                <w:rFonts w:ascii="Arial" w:hAnsi="Arial" w:cs="Arial"/>
                <w:bCs/>
                <w:sz w:val="16"/>
                <w:szCs w:val="16"/>
              </w:rPr>
            </w:pPr>
            <w:r w:rsidRPr="00CE0792">
              <w:rPr>
                <w:rFonts w:ascii="Arial" w:hAnsi="Arial" w:cs="Arial"/>
                <w:bCs/>
                <w:sz w:val="16"/>
                <w:szCs w:val="16"/>
              </w:rPr>
              <w:t>2019</w:t>
            </w:r>
          </w:p>
        </w:tc>
      </w:tr>
      <w:tr w:rsidR="007E7C63" w:rsidRPr="00CE0792" w14:paraId="5A025963" w14:textId="77777777" w:rsidTr="004D4E87">
        <w:trPr>
          <w:trHeight w:val="254"/>
        </w:trPr>
        <w:tc>
          <w:tcPr>
            <w:tcW w:w="8075" w:type="dxa"/>
            <w:gridSpan w:val="6"/>
            <w:tcBorders>
              <w:top w:val="single" w:sz="4" w:space="0" w:color="808080" w:themeColor="background1" w:themeShade="80"/>
            </w:tcBorders>
            <w:shd w:val="clear" w:color="auto" w:fill="auto"/>
            <w:noWrap/>
            <w:vAlign w:val="center"/>
            <w:hideMark/>
          </w:tcPr>
          <w:p w14:paraId="44570908" w14:textId="77777777" w:rsidR="007E7C63" w:rsidRPr="00CE0792" w:rsidRDefault="007E7C63" w:rsidP="007E7C63">
            <w:pPr>
              <w:spacing w:before="60" w:after="60"/>
              <w:jc w:val="center"/>
              <w:rPr>
                <w:rFonts w:ascii="Arial" w:hAnsi="Arial" w:cs="Arial"/>
                <w:b/>
                <w:bCs/>
                <w:sz w:val="16"/>
                <w:szCs w:val="16"/>
              </w:rPr>
            </w:pPr>
            <w:r w:rsidRPr="00CE0792">
              <w:rPr>
                <w:rFonts w:ascii="Arial" w:hAnsi="Arial" w:cs="Arial"/>
                <w:b/>
                <w:bCs/>
                <w:sz w:val="16"/>
                <w:szCs w:val="16"/>
              </w:rPr>
              <w:t>Beogradski region</w:t>
            </w:r>
          </w:p>
        </w:tc>
      </w:tr>
      <w:tr w:rsidR="007E7C63" w:rsidRPr="00CE0792" w14:paraId="5219B93B" w14:textId="77777777" w:rsidTr="00847B97">
        <w:trPr>
          <w:trHeight w:val="230"/>
        </w:trPr>
        <w:tc>
          <w:tcPr>
            <w:tcW w:w="2315" w:type="dxa"/>
            <w:tcBorders>
              <w:right w:val="single" w:sz="4" w:space="0" w:color="808080" w:themeColor="background1" w:themeShade="80"/>
            </w:tcBorders>
            <w:shd w:val="clear" w:color="auto" w:fill="F2F2F2" w:themeFill="background1" w:themeFillShade="F2"/>
            <w:noWrap/>
            <w:vAlign w:val="center"/>
            <w:hideMark/>
          </w:tcPr>
          <w:p w14:paraId="272C10DF" w14:textId="77777777" w:rsidR="007E7C63" w:rsidRPr="00CE0792" w:rsidRDefault="007E7C63" w:rsidP="007E7C63">
            <w:pPr>
              <w:spacing w:before="60" w:after="60"/>
              <w:rPr>
                <w:rFonts w:ascii="Arial" w:hAnsi="Arial" w:cs="Arial"/>
                <w:sz w:val="16"/>
                <w:szCs w:val="16"/>
              </w:rPr>
            </w:pPr>
            <w:r w:rsidRPr="00CE0792">
              <w:rPr>
                <w:rFonts w:ascii="Arial" w:hAnsi="Arial" w:cs="Arial"/>
                <w:sz w:val="16"/>
                <w:szCs w:val="16"/>
              </w:rPr>
              <w:t>Immigration</w:t>
            </w:r>
          </w:p>
        </w:tc>
        <w:tc>
          <w:tcPr>
            <w:tcW w:w="1080" w:type="dxa"/>
            <w:tcBorders>
              <w:left w:val="single" w:sz="4" w:space="0" w:color="808080" w:themeColor="background1" w:themeShade="80"/>
            </w:tcBorders>
            <w:shd w:val="clear" w:color="auto" w:fill="F2F2F2" w:themeFill="background1" w:themeFillShade="F2"/>
            <w:noWrap/>
            <w:vAlign w:val="center"/>
            <w:hideMark/>
          </w:tcPr>
          <w:p w14:paraId="608FEFAF"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51548</w:t>
            </w:r>
          </w:p>
        </w:tc>
        <w:tc>
          <w:tcPr>
            <w:tcW w:w="1170" w:type="dxa"/>
            <w:shd w:val="clear" w:color="auto" w:fill="F2F2F2" w:themeFill="background1" w:themeFillShade="F2"/>
            <w:noWrap/>
            <w:vAlign w:val="center"/>
            <w:hideMark/>
          </w:tcPr>
          <w:p w14:paraId="0CEB0104"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50971</w:t>
            </w:r>
          </w:p>
        </w:tc>
        <w:tc>
          <w:tcPr>
            <w:tcW w:w="1260" w:type="dxa"/>
            <w:shd w:val="clear" w:color="auto" w:fill="F2F2F2" w:themeFill="background1" w:themeFillShade="F2"/>
            <w:noWrap/>
            <w:vAlign w:val="center"/>
            <w:hideMark/>
          </w:tcPr>
          <w:p w14:paraId="2E92B445"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49494</w:t>
            </w:r>
          </w:p>
        </w:tc>
        <w:tc>
          <w:tcPr>
            <w:tcW w:w="1080" w:type="dxa"/>
            <w:shd w:val="clear" w:color="auto" w:fill="F2F2F2" w:themeFill="background1" w:themeFillShade="F2"/>
            <w:noWrap/>
            <w:vAlign w:val="center"/>
            <w:hideMark/>
          </w:tcPr>
          <w:p w14:paraId="4D1A8F49"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50982</w:t>
            </w:r>
          </w:p>
        </w:tc>
        <w:tc>
          <w:tcPr>
            <w:tcW w:w="1170" w:type="dxa"/>
            <w:shd w:val="clear" w:color="auto" w:fill="F2F2F2" w:themeFill="background1" w:themeFillShade="F2"/>
            <w:noWrap/>
            <w:vAlign w:val="center"/>
            <w:hideMark/>
          </w:tcPr>
          <w:p w14:paraId="0EF7C3A8"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52964</w:t>
            </w:r>
          </w:p>
        </w:tc>
      </w:tr>
      <w:tr w:rsidR="007E7C63" w:rsidRPr="00CE0792" w14:paraId="5718C23F" w14:textId="77777777" w:rsidTr="00847B97">
        <w:trPr>
          <w:trHeight w:val="254"/>
        </w:trPr>
        <w:tc>
          <w:tcPr>
            <w:tcW w:w="2315" w:type="dxa"/>
            <w:tcBorders>
              <w:right w:val="single" w:sz="4" w:space="0" w:color="808080" w:themeColor="background1" w:themeShade="80"/>
            </w:tcBorders>
            <w:shd w:val="clear" w:color="auto" w:fill="auto"/>
            <w:noWrap/>
            <w:vAlign w:val="center"/>
            <w:hideMark/>
          </w:tcPr>
          <w:p w14:paraId="3FE3E4ED" w14:textId="77777777" w:rsidR="007E7C63" w:rsidRPr="00CE0792" w:rsidRDefault="007E7C63" w:rsidP="007E7C63">
            <w:pPr>
              <w:spacing w:before="60" w:after="60"/>
              <w:rPr>
                <w:rFonts w:ascii="Arial" w:hAnsi="Arial" w:cs="Arial"/>
                <w:sz w:val="16"/>
                <w:szCs w:val="16"/>
              </w:rPr>
            </w:pPr>
            <w:r w:rsidRPr="00CE0792">
              <w:rPr>
                <w:rFonts w:ascii="Arial" w:hAnsi="Arial" w:cs="Arial"/>
                <w:sz w:val="16"/>
                <w:szCs w:val="16"/>
              </w:rPr>
              <w:t>Emigration</w:t>
            </w:r>
          </w:p>
        </w:tc>
        <w:tc>
          <w:tcPr>
            <w:tcW w:w="1080" w:type="dxa"/>
            <w:tcBorders>
              <w:left w:val="single" w:sz="4" w:space="0" w:color="808080" w:themeColor="background1" w:themeShade="80"/>
            </w:tcBorders>
            <w:shd w:val="clear" w:color="auto" w:fill="auto"/>
            <w:noWrap/>
            <w:vAlign w:val="center"/>
            <w:hideMark/>
          </w:tcPr>
          <w:p w14:paraId="24D21F6E"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44239</w:t>
            </w:r>
          </w:p>
        </w:tc>
        <w:tc>
          <w:tcPr>
            <w:tcW w:w="1170" w:type="dxa"/>
            <w:shd w:val="clear" w:color="auto" w:fill="auto"/>
            <w:noWrap/>
            <w:vAlign w:val="center"/>
            <w:hideMark/>
          </w:tcPr>
          <w:p w14:paraId="2C0C95CE"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44467</w:t>
            </w:r>
          </w:p>
        </w:tc>
        <w:tc>
          <w:tcPr>
            <w:tcW w:w="1260" w:type="dxa"/>
            <w:shd w:val="clear" w:color="auto" w:fill="auto"/>
            <w:noWrap/>
            <w:vAlign w:val="center"/>
            <w:hideMark/>
          </w:tcPr>
          <w:p w14:paraId="79DBC750"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43057</w:t>
            </w:r>
          </w:p>
        </w:tc>
        <w:tc>
          <w:tcPr>
            <w:tcW w:w="1080" w:type="dxa"/>
            <w:shd w:val="clear" w:color="auto" w:fill="auto"/>
            <w:noWrap/>
            <w:vAlign w:val="center"/>
            <w:hideMark/>
          </w:tcPr>
          <w:p w14:paraId="7F7A5333"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44004</w:t>
            </w:r>
          </w:p>
        </w:tc>
        <w:tc>
          <w:tcPr>
            <w:tcW w:w="1170" w:type="dxa"/>
            <w:shd w:val="clear" w:color="auto" w:fill="auto"/>
            <w:noWrap/>
            <w:vAlign w:val="center"/>
            <w:hideMark/>
          </w:tcPr>
          <w:p w14:paraId="12D6D792"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45240</w:t>
            </w:r>
          </w:p>
        </w:tc>
      </w:tr>
      <w:tr w:rsidR="007E7C63" w:rsidRPr="00CE0792" w14:paraId="57100561" w14:textId="77777777" w:rsidTr="00847B97">
        <w:trPr>
          <w:trHeight w:val="254"/>
        </w:trPr>
        <w:tc>
          <w:tcPr>
            <w:tcW w:w="2315" w:type="dxa"/>
            <w:tcBorders>
              <w:right w:val="single" w:sz="4" w:space="0" w:color="808080" w:themeColor="background1" w:themeShade="80"/>
            </w:tcBorders>
            <w:shd w:val="clear" w:color="auto" w:fill="F2F2F2" w:themeFill="background1" w:themeFillShade="F2"/>
            <w:noWrap/>
            <w:vAlign w:val="center"/>
            <w:hideMark/>
          </w:tcPr>
          <w:p w14:paraId="6BE0CC4B" w14:textId="77777777" w:rsidR="007E7C63" w:rsidRPr="00CE0792" w:rsidRDefault="007E7C63" w:rsidP="007E7C63">
            <w:pPr>
              <w:spacing w:before="60" w:after="60"/>
              <w:rPr>
                <w:rFonts w:ascii="Arial" w:hAnsi="Arial" w:cs="Arial"/>
                <w:sz w:val="16"/>
                <w:szCs w:val="16"/>
              </w:rPr>
            </w:pPr>
            <w:r w:rsidRPr="00CE0792">
              <w:rPr>
                <w:rFonts w:ascii="Arial" w:hAnsi="Arial" w:cs="Arial"/>
                <w:sz w:val="16"/>
                <w:szCs w:val="16"/>
              </w:rPr>
              <w:t>Migration balance</w:t>
            </w:r>
          </w:p>
        </w:tc>
        <w:tc>
          <w:tcPr>
            <w:tcW w:w="1080" w:type="dxa"/>
            <w:tcBorders>
              <w:left w:val="single" w:sz="4" w:space="0" w:color="808080" w:themeColor="background1" w:themeShade="80"/>
            </w:tcBorders>
            <w:shd w:val="clear" w:color="auto" w:fill="F2F2F2" w:themeFill="background1" w:themeFillShade="F2"/>
            <w:noWrap/>
            <w:vAlign w:val="center"/>
            <w:hideMark/>
          </w:tcPr>
          <w:p w14:paraId="2A0A382F"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7309</w:t>
            </w:r>
          </w:p>
        </w:tc>
        <w:tc>
          <w:tcPr>
            <w:tcW w:w="1170" w:type="dxa"/>
            <w:shd w:val="clear" w:color="auto" w:fill="F2F2F2" w:themeFill="background1" w:themeFillShade="F2"/>
            <w:noWrap/>
            <w:vAlign w:val="center"/>
            <w:hideMark/>
          </w:tcPr>
          <w:p w14:paraId="651A1BF1"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6504</w:t>
            </w:r>
          </w:p>
        </w:tc>
        <w:tc>
          <w:tcPr>
            <w:tcW w:w="1260" w:type="dxa"/>
            <w:shd w:val="clear" w:color="auto" w:fill="F2F2F2" w:themeFill="background1" w:themeFillShade="F2"/>
            <w:noWrap/>
            <w:vAlign w:val="center"/>
            <w:hideMark/>
          </w:tcPr>
          <w:p w14:paraId="35AEE796"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6437</w:t>
            </w:r>
          </w:p>
        </w:tc>
        <w:tc>
          <w:tcPr>
            <w:tcW w:w="1080" w:type="dxa"/>
            <w:shd w:val="clear" w:color="auto" w:fill="F2F2F2" w:themeFill="background1" w:themeFillShade="F2"/>
            <w:noWrap/>
            <w:vAlign w:val="center"/>
            <w:hideMark/>
          </w:tcPr>
          <w:p w14:paraId="11F722B6"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6978</w:t>
            </w:r>
          </w:p>
        </w:tc>
        <w:tc>
          <w:tcPr>
            <w:tcW w:w="1170" w:type="dxa"/>
            <w:shd w:val="clear" w:color="auto" w:fill="F2F2F2" w:themeFill="background1" w:themeFillShade="F2"/>
            <w:noWrap/>
            <w:vAlign w:val="center"/>
            <w:hideMark/>
          </w:tcPr>
          <w:p w14:paraId="50FB62F4"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7724</w:t>
            </w:r>
          </w:p>
        </w:tc>
      </w:tr>
      <w:tr w:rsidR="007E7C63" w:rsidRPr="00CE0792" w14:paraId="6EC8D722" w14:textId="77777777" w:rsidTr="004D4E87">
        <w:trPr>
          <w:trHeight w:val="254"/>
        </w:trPr>
        <w:tc>
          <w:tcPr>
            <w:tcW w:w="8075" w:type="dxa"/>
            <w:gridSpan w:val="6"/>
            <w:shd w:val="clear" w:color="auto" w:fill="auto"/>
            <w:noWrap/>
            <w:vAlign w:val="center"/>
            <w:hideMark/>
          </w:tcPr>
          <w:p w14:paraId="1CAB32CE" w14:textId="77777777" w:rsidR="007E7C63" w:rsidRPr="00CE0792" w:rsidRDefault="007E7C63" w:rsidP="007E7C63">
            <w:pPr>
              <w:spacing w:before="60" w:after="60"/>
              <w:jc w:val="center"/>
              <w:rPr>
                <w:rFonts w:ascii="Arial" w:hAnsi="Arial" w:cs="Arial"/>
                <w:b/>
                <w:bCs/>
                <w:sz w:val="16"/>
                <w:szCs w:val="16"/>
              </w:rPr>
            </w:pPr>
            <w:r w:rsidRPr="00CE0792">
              <w:rPr>
                <w:rFonts w:ascii="Arial" w:hAnsi="Arial" w:cs="Arial"/>
                <w:b/>
                <w:bCs/>
                <w:sz w:val="16"/>
                <w:szCs w:val="16"/>
              </w:rPr>
              <w:t>Region Vojvodine</w:t>
            </w:r>
          </w:p>
        </w:tc>
      </w:tr>
      <w:tr w:rsidR="007E7C63" w:rsidRPr="00CE0792" w14:paraId="52702270" w14:textId="77777777" w:rsidTr="00847B97">
        <w:trPr>
          <w:trHeight w:val="254"/>
        </w:trPr>
        <w:tc>
          <w:tcPr>
            <w:tcW w:w="2315" w:type="dxa"/>
            <w:tcBorders>
              <w:right w:val="single" w:sz="4" w:space="0" w:color="808080" w:themeColor="background1" w:themeShade="80"/>
            </w:tcBorders>
            <w:shd w:val="clear" w:color="auto" w:fill="F2F2F2" w:themeFill="background1" w:themeFillShade="F2"/>
            <w:noWrap/>
            <w:vAlign w:val="center"/>
            <w:hideMark/>
          </w:tcPr>
          <w:p w14:paraId="29F22C70" w14:textId="77777777" w:rsidR="007E7C63" w:rsidRPr="00CE0792" w:rsidRDefault="007E7C63" w:rsidP="007E7C63">
            <w:pPr>
              <w:spacing w:before="60" w:after="60"/>
              <w:rPr>
                <w:rFonts w:ascii="Arial" w:hAnsi="Arial" w:cs="Arial"/>
                <w:sz w:val="16"/>
                <w:szCs w:val="16"/>
              </w:rPr>
            </w:pPr>
            <w:r w:rsidRPr="00CE0792">
              <w:rPr>
                <w:rFonts w:ascii="Arial" w:hAnsi="Arial" w:cs="Arial"/>
                <w:sz w:val="16"/>
                <w:szCs w:val="16"/>
              </w:rPr>
              <w:t>Immigration</w:t>
            </w:r>
          </w:p>
        </w:tc>
        <w:tc>
          <w:tcPr>
            <w:tcW w:w="1080" w:type="dxa"/>
            <w:tcBorders>
              <w:left w:val="single" w:sz="4" w:space="0" w:color="808080" w:themeColor="background1" w:themeShade="80"/>
            </w:tcBorders>
            <w:shd w:val="clear" w:color="auto" w:fill="F2F2F2" w:themeFill="background1" w:themeFillShade="F2"/>
            <w:noWrap/>
            <w:vAlign w:val="center"/>
            <w:hideMark/>
          </w:tcPr>
          <w:p w14:paraId="4A9F8C8B"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28105</w:t>
            </w:r>
          </w:p>
        </w:tc>
        <w:tc>
          <w:tcPr>
            <w:tcW w:w="1170" w:type="dxa"/>
            <w:shd w:val="clear" w:color="auto" w:fill="F2F2F2" w:themeFill="background1" w:themeFillShade="F2"/>
            <w:noWrap/>
            <w:vAlign w:val="center"/>
            <w:hideMark/>
          </w:tcPr>
          <w:p w14:paraId="65DF91C0"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27960</w:t>
            </w:r>
          </w:p>
        </w:tc>
        <w:tc>
          <w:tcPr>
            <w:tcW w:w="1260" w:type="dxa"/>
            <w:shd w:val="clear" w:color="auto" w:fill="F2F2F2" w:themeFill="background1" w:themeFillShade="F2"/>
            <w:noWrap/>
            <w:vAlign w:val="center"/>
            <w:hideMark/>
          </w:tcPr>
          <w:p w14:paraId="4CE76A1C"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27362</w:t>
            </w:r>
          </w:p>
        </w:tc>
        <w:tc>
          <w:tcPr>
            <w:tcW w:w="1080" w:type="dxa"/>
            <w:shd w:val="clear" w:color="auto" w:fill="F2F2F2" w:themeFill="background1" w:themeFillShade="F2"/>
            <w:noWrap/>
            <w:vAlign w:val="center"/>
            <w:hideMark/>
          </w:tcPr>
          <w:p w14:paraId="64DE9B92"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27772</w:t>
            </w:r>
          </w:p>
        </w:tc>
        <w:tc>
          <w:tcPr>
            <w:tcW w:w="1170" w:type="dxa"/>
            <w:shd w:val="clear" w:color="auto" w:fill="F2F2F2" w:themeFill="background1" w:themeFillShade="F2"/>
            <w:noWrap/>
            <w:vAlign w:val="center"/>
            <w:hideMark/>
          </w:tcPr>
          <w:p w14:paraId="4B03235A"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28729</w:t>
            </w:r>
          </w:p>
        </w:tc>
      </w:tr>
      <w:tr w:rsidR="007E7C63" w:rsidRPr="00CE0792" w14:paraId="34E40631" w14:textId="77777777" w:rsidTr="00847B97">
        <w:trPr>
          <w:trHeight w:val="254"/>
        </w:trPr>
        <w:tc>
          <w:tcPr>
            <w:tcW w:w="2315" w:type="dxa"/>
            <w:tcBorders>
              <w:right w:val="single" w:sz="4" w:space="0" w:color="808080" w:themeColor="background1" w:themeShade="80"/>
            </w:tcBorders>
            <w:shd w:val="clear" w:color="auto" w:fill="auto"/>
            <w:noWrap/>
            <w:vAlign w:val="center"/>
            <w:hideMark/>
          </w:tcPr>
          <w:p w14:paraId="32E60E5C" w14:textId="77777777" w:rsidR="007E7C63" w:rsidRPr="00CE0792" w:rsidRDefault="007E7C63" w:rsidP="007E7C63">
            <w:pPr>
              <w:spacing w:before="60" w:after="60"/>
              <w:rPr>
                <w:rFonts w:ascii="Arial" w:hAnsi="Arial" w:cs="Arial"/>
                <w:sz w:val="16"/>
                <w:szCs w:val="16"/>
              </w:rPr>
            </w:pPr>
            <w:r w:rsidRPr="00CE0792">
              <w:rPr>
                <w:rFonts w:ascii="Arial" w:hAnsi="Arial" w:cs="Arial"/>
                <w:sz w:val="16"/>
                <w:szCs w:val="16"/>
              </w:rPr>
              <w:t>Emigration</w:t>
            </w:r>
          </w:p>
        </w:tc>
        <w:tc>
          <w:tcPr>
            <w:tcW w:w="1080" w:type="dxa"/>
            <w:tcBorders>
              <w:left w:val="single" w:sz="4" w:space="0" w:color="808080" w:themeColor="background1" w:themeShade="80"/>
            </w:tcBorders>
            <w:shd w:val="clear" w:color="auto" w:fill="auto"/>
            <w:noWrap/>
            <w:vAlign w:val="center"/>
            <w:hideMark/>
          </w:tcPr>
          <w:p w14:paraId="3EC1B9F0"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28056</w:t>
            </w:r>
          </w:p>
        </w:tc>
        <w:tc>
          <w:tcPr>
            <w:tcW w:w="1170" w:type="dxa"/>
            <w:shd w:val="clear" w:color="auto" w:fill="auto"/>
            <w:noWrap/>
            <w:vAlign w:val="center"/>
            <w:hideMark/>
          </w:tcPr>
          <w:p w14:paraId="2906EFD9"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28118</w:t>
            </w:r>
          </w:p>
        </w:tc>
        <w:tc>
          <w:tcPr>
            <w:tcW w:w="1260" w:type="dxa"/>
            <w:shd w:val="clear" w:color="auto" w:fill="auto"/>
            <w:noWrap/>
            <w:vAlign w:val="center"/>
            <w:hideMark/>
          </w:tcPr>
          <w:p w14:paraId="0A2C3280"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26692</w:t>
            </w:r>
          </w:p>
        </w:tc>
        <w:tc>
          <w:tcPr>
            <w:tcW w:w="1080" w:type="dxa"/>
            <w:shd w:val="clear" w:color="auto" w:fill="auto"/>
            <w:noWrap/>
            <w:vAlign w:val="center"/>
            <w:hideMark/>
          </w:tcPr>
          <w:p w14:paraId="5C9A03BB"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27464</w:t>
            </w:r>
          </w:p>
        </w:tc>
        <w:tc>
          <w:tcPr>
            <w:tcW w:w="1170" w:type="dxa"/>
            <w:shd w:val="clear" w:color="auto" w:fill="auto"/>
            <w:noWrap/>
            <w:vAlign w:val="center"/>
            <w:hideMark/>
          </w:tcPr>
          <w:p w14:paraId="1B8E15B8"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28210</w:t>
            </w:r>
          </w:p>
        </w:tc>
      </w:tr>
      <w:tr w:rsidR="007E7C63" w:rsidRPr="00CE0792" w14:paraId="1D448132" w14:textId="77777777" w:rsidTr="00847B97">
        <w:trPr>
          <w:trHeight w:val="254"/>
        </w:trPr>
        <w:tc>
          <w:tcPr>
            <w:tcW w:w="2315" w:type="dxa"/>
            <w:tcBorders>
              <w:right w:val="single" w:sz="4" w:space="0" w:color="808080" w:themeColor="background1" w:themeShade="80"/>
            </w:tcBorders>
            <w:shd w:val="clear" w:color="auto" w:fill="F2F2F2" w:themeFill="background1" w:themeFillShade="F2"/>
            <w:noWrap/>
            <w:vAlign w:val="center"/>
            <w:hideMark/>
          </w:tcPr>
          <w:p w14:paraId="2ACE512E" w14:textId="77777777" w:rsidR="007E7C63" w:rsidRPr="00CE0792" w:rsidRDefault="007E7C63" w:rsidP="007E7C63">
            <w:pPr>
              <w:spacing w:before="60" w:after="60"/>
              <w:rPr>
                <w:rFonts w:ascii="Arial" w:hAnsi="Arial" w:cs="Arial"/>
                <w:sz w:val="16"/>
                <w:szCs w:val="16"/>
              </w:rPr>
            </w:pPr>
            <w:r w:rsidRPr="00CE0792">
              <w:rPr>
                <w:rFonts w:ascii="Arial" w:hAnsi="Arial" w:cs="Arial"/>
                <w:sz w:val="16"/>
                <w:szCs w:val="16"/>
              </w:rPr>
              <w:t>Migration balance</w:t>
            </w:r>
          </w:p>
        </w:tc>
        <w:tc>
          <w:tcPr>
            <w:tcW w:w="1080" w:type="dxa"/>
            <w:tcBorders>
              <w:left w:val="single" w:sz="4" w:space="0" w:color="808080" w:themeColor="background1" w:themeShade="80"/>
            </w:tcBorders>
            <w:shd w:val="clear" w:color="auto" w:fill="F2F2F2" w:themeFill="background1" w:themeFillShade="F2"/>
            <w:noWrap/>
            <w:vAlign w:val="center"/>
            <w:hideMark/>
          </w:tcPr>
          <w:p w14:paraId="480D2136"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49</w:t>
            </w:r>
          </w:p>
        </w:tc>
        <w:tc>
          <w:tcPr>
            <w:tcW w:w="1170" w:type="dxa"/>
            <w:shd w:val="clear" w:color="auto" w:fill="F2F2F2" w:themeFill="background1" w:themeFillShade="F2"/>
            <w:noWrap/>
            <w:vAlign w:val="center"/>
            <w:hideMark/>
          </w:tcPr>
          <w:p w14:paraId="3ABFE3BE"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-158</w:t>
            </w:r>
          </w:p>
        </w:tc>
        <w:tc>
          <w:tcPr>
            <w:tcW w:w="1260" w:type="dxa"/>
            <w:shd w:val="clear" w:color="auto" w:fill="F2F2F2" w:themeFill="background1" w:themeFillShade="F2"/>
            <w:noWrap/>
            <w:vAlign w:val="center"/>
            <w:hideMark/>
          </w:tcPr>
          <w:p w14:paraId="6E90C2AB"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670</w:t>
            </w:r>
          </w:p>
        </w:tc>
        <w:tc>
          <w:tcPr>
            <w:tcW w:w="1080" w:type="dxa"/>
            <w:shd w:val="clear" w:color="auto" w:fill="F2F2F2" w:themeFill="background1" w:themeFillShade="F2"/>
            <w:noWrap/>
            <w:vAlign w:val="center"/>
            <w:hideMark/>
          </w:tcPr>
          <w:p w14:paraId="4289015F"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308</w:t>
            </w:r>
          </w:p>
        </w:tc>
        <w:tc>
          <w:tcPr>
            <w:tcW w:w="1170" w:type="dxa"/>
            <w:shd w:val="clear" w:color="auto" w:fill="F2F2F2" w:themeFill="background1" w:themeFillShade="F2"/>
            <w:noWrap/>
            <w:vAlign w:val="center"/>
            <w:hideMark/>
          </w:tcPr>
          <w:p w14:paraId="1D067F0B"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519</w:t>
            </w:r>
          </w:p>
        </w:tc>
      </w:tr>
      <w:tr w:rsidR="007E7C63" w:rsidRPr="00CE0792" w14:paraId="3F1AABFD" w14:textId="77777777" w:rsidTr="004D4E87">
        <w:trPr>
          <w:trHeight w:val="254"/>
        </w:trPr>
        <w:tc>
          <w:tcPr>
            <w:tcW w:w="8075" w:type="dxa"/>
            <w:gridSpan w:val="6"/>
            <w:shd w:val="clear" w:color="auto" w:fill="auto"/>
            <w:vAlign w:val="center"/>
            <w:hideMark/>
          </w:tcPr>
          <w:p w14:paraId="681D177B" w14:textId="77777777" w:rsidR="007E7C63" w:rsidRPr="00CE0792" w:rsidRDefault="007E7C63" w:rsidP="007E7C63">
            <w:pPr>
              <w:spacing w:before="60" w:after="60"/>
              <w:jc w:val="center"/>
              <w:rPr>
                <w:rFonts w:ascii="Arial" w:hAnsi="Arial" w:cs="Arial"/>
                <w:b/>
                <w:bCs/>
                <w:sz w:val="16"/>
                <w:szCs w:val="16"/>
              </w:rPr>
            </w:pPr>
            <w:r w:rsidRPr="00CE0792">
              <w:rPr>
                <w:rFonts w:ascii="Arial" w:hAnsi="Arial" w:cs="Arial"/>
                <w:b/>
                <w:bCs/>
                <w:sz w:val="16"/>
                <w:szCs w:val="16"/>
              </w:rPr>
              <w:t>Region Šumadije i  Zapadne Srbije</w:t>
            </w:r>
          </w:p>
        </w:tc>
      </w:tr>
      <w:tr w:rsidR="007E7C63" w:rsidRPr="00CE0792" w14:paraId="27C2F473" w14:textId="77777777" w:rsidTr="00847B97">
        <w:trPr>
          <w:trHeight w:val="254"/>
        </w:trPr>
        <w:tc>
          <w:tcPr>
            <w:tcW w:w="2315" w:type="dxa"/>
            <w:tcBorders>
              <w:right w:val="single" w:sz="4" w:space="0" w:color="808080" w:themeColor="background1" w:themeShade="80"/>
            </w:tcBorders>
            <w:shd w:val="clear" w:color="auto" w:fill="F2F2F2" w:themeFill="background1" w:themeFillShade="F2"/>
            <w:noWrap/>
            <w:vAlign w:val="center"/>
            <w:hideMark/>
          </w:tcPr>
          <w:p w14:paraId="7D44EEBC" w14:textId="77777777" w:rsidR="007E7C63" w:rsidRPr="00CE0792" w:rsidRDefault="007E7C63" w:rsidP="007E7C63">
            <w:pPr>
              <w:spacing w:before="60" w:after="60"/>
              <w:rPr>
                <w:rFonts w:ascii="Arial" w:hAnsi="Arial" w:cs="Arial"/>
                <w:sz w:val="16"/>
                <w:szCs w:val="16"/>
              </w:rPr>
            </w:pPr>
            <w:r w:rsidRPr="00CE0792">
              <w:rPr>
                <w:rFonts w:ascii="Arial" w:hAnsi="Arial" w:cs="Arial"/>
                <w:sz w:val="16"/>
                <w:szCs w:val="16"/>
              </w:rPr>
              <w:t>Immigration</w:t>
            </w:r>
          </w:p>
        </w:tc>
        <w:tc>
          <w:tcPr>
            <w:tcW w:w="1080" w:type="dxa"/>
            <w:tcBorders>
              <w:left w:val="single" w:sz="4" w:space="0" w:color="808080" w:themeColor="background1" w:themeShade="80"/>
            </w:tcBorders>
            <w:shd w:val="clear" w:color="auto" w:fill="F2F2F2" w:themeFill="background1" w:themeFillShade="F2"/>
            <w:noWrap/>
            <w:vAlign w:val="center"/>
            <w:hideMark/>
          </w:tcPr>
          <w:p w14:paraId="58879CBB"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26173</w:t>
            </w:r>
          </w:p>
        </w:tc>
        <w:tc>
          <w:tcPr>
            <w:tcW w:w="1170" w:type="dxa"/>
            <w:shd w:val="clear" w:color="auto" w:fill="F2F2F2" w:themeFill="background1" w:themeFillShade="F2"/>
            <w:noWrap/>
            <w:vAlign w:val="center"/>
            <w:hideMark/>
          </w:tcPr>
          <w:p w14:paraId="65948447"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27446</w:t>
            </w:r>
          </w:p>
        </w:tc>
        <w:tc>
          <w:tcPr>
            <w:tcW w:w="1260" w:type="dxa"/>
            <w:shd w:val="clear" w:color="auto" w:fill="F2F2F2" w:themeFill="background1" w:themeFillShade="F2"/>
            <w:noWrap/>
            <w:vAlign w:val="center"/>
            <w:hideMark/>
          </w:tcPr>
          <w:p w14:paraId="0DA3898A"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24964</w:t>
            </w:r>
          </w:p>
        </w:tc>
        <w:tc>
          <w:tcPr>
            <w:tcW w:w="1080" w:type="dxa"/>
            <w:shd w:val="clear" w:color="auto" w:fill="F2F2F2" w:themeFill="background1" w:themeFillShade="F2"/>
            <w:noWrap/>
            <w:vAlign w:val="center"/>
            <w:hideMark/>
          </w:tcPr>
          <w:p w14:paraId="55E01C44"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25056</w:t>
            </w:r>
          </w:p>
        </w:tc>
        <w:tc>
          <w:tcPr>
            <w:tcW w:w="1170" w:type="dxa"/>
            <w:shd w:val="clear" w:color="auto" w:fill="F2F2F2" w:themeFill="background1" w:themeFillShade="F2"/>
            <w:noWrap/>
            <w:vAlign w:val="center"/>
            <w:hideMark/>
          </w:tcPr>
          <w:p w14:paraId="11A95232"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26536</w:t>
            </w:r>
          </w:p>
        </w:tc>
      </w:tr>
      <w:tr w:rsidR="007E7C63" w:rsidRPr="00CE0792" w14:paraId="3F566C9C" w14:textId="77777777" w:rsidTr="00847B97">
        <w:trPr>
          <w:trHeight w:val="254"/>
        </w:trPr>
        <w:tc>
          <w:tcPr>
            <w:tcW w:w="2315" w:type="dxa"/>
            <w:tcBorders>
              <w:right w:val="single" w:sz="4" w:space="0" w:color="808080" w:themeColor="background1" w:themeShade="80"/>
            </w:tcBorders>
            <w:shd w:val="clear" w:color="auto" w:fill="auto"/>
            <w:noWrap/>
            <w:vAlign w:val="center"/>
            <w:hideMark/>
          </w:tcPr>
          <w:p w14:paraId="7D28A0A9" w14:textId="77777777" w:rsidR="007E7C63" w:rsidRPr="00CE0792" w:rsidRDefault="007E7C63" w:rsidP="007E7C63">
            <w:pPr>
              <w:spacing w:before="60" w:after="60"/>
              <w:rPr>
                <w:rFonts w:ascii="Arial" w:hAnsi="Arial" w:cs="Arial"/>
                <w:sz w:val="16"/>
                <w:szCs w:val="16"/>
              </w:rPr>
            </w:pPr>
            <w:r w:rsidRPr="00CE0792">
              <w:rPr>
                <w:rFonts w:ascii="Arial" w:hAnsi="Arial" w:cs="Arial"/>
                <w:sz w:val="16"/>
                <w:szCs w:val="16"/>
              </w:rPr>
              <w:t>Emigration</w:t>
            </w:r>
          </w:p>
        </w:tc>
        <w:tc>
          <w:tcPr>
            <w:tcW w:w="1080" w:type="dxa"/>
            <w:tcBorders>
              <w:left w:val="single" w:sz="4" w:space="0" w:color="808080" w:themeColor="background1" w:themeShade="80"/>
            </w:tcBorders>
            <w:shd w:val="clear" w:color="auto" w:fill="auto"/>
            <w:noWrap/>
            <w:vAlign w:val="center"/>
            <w:hideMark/>
          </w:tcPr>
          <w:p w14:paraId="1AA87F23"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30478</w:t>
            </w:r>
          </w:p>
        </w:tc>
        <w:tc>
          <w:tcPr>
            <w:tcW w:w="1170" w:type="dxa"/>
            <w:shd w:val="clear" w:color="auto" w:fill="auto"/>
            <w:noWrap/>
            <w:vAlign w:val="center"/>
            <w:hideMark/>
          </w:tcPr>
          <w:p w14:paraId="4D22326A"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30922</w:t>
            </w:r>
          </w:p>
        </w:tc>
        <w:tc>
          <w:tcPr>
            <w:tcW w:w="1260" w:type="dxa"/>
            <w:shd w:val="clear" w:color="auto" w:fill="auto"/>
            <w:noWrap/>
            <w:vAlign w:val="center"/>
            <w:hideMark/>
          </w:tcPr>
          <w:p w14:paraId="33F4D809"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29051</w:t>
            </w:r>
          </w:p>
        </w:tc>
        <w:tc>
          <w:tcPr>
            <w:tcW w:w="1080" w:type="dxa"/>
            <w:shd w:val="clear" w:color="auto" w:fill="auto"/>
            <w:noWrap/>
            <w:vAlign w:val="center"/>
            <w:hideMark/>
          </w:tcPr>
          <w:p w14:paraId="5310AEB4"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29106</w:t>
            </w:r>
          </w:p>
        </w:tc>
        <w:tc>
          <w:tcPr>
            <w:tcW w:w="1170" w:type="dxa"/>
            <w:shd w:val="clear" w:color="auto" w:fill="auto"/>
            <w:noWrap/>
            <w:vAlign w:val="center"/>
            <w:hideMark/>
          </w:tcPr>
          <w:p w14:paraId="420B1CA3"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31133</w:t>
            </w:r>
          </w:p>
        </w:tc>
      </w:tr>
      <w:tr w:rsidR="007E7C63" w:rsidRPr="00CE0792" w14:paraId="3F7869A1" w14:textId="77777777" w:rsidTr="00847B97">
        <w:trPr>
          <w:trHeight w:val="254"/>
        </w:trPr>
        <w:tc>
          <w:tcPr>
            <w:tcW w:w="2315" w:type="dxa"/>
            <w:tcBorders>
              <w:right w:val="single" w:sz="4" w:space="0" w:color="808080" w:themeColor="background1" w:themeShade="80"/>
            </w:tcBorders>
            <w:shd w:val="clear" w:color="auto" w:fill="F2F2F2" w:themeFill="background1" w:themeFillShade="F2"/>
            <w:noWrap/>
            <w:vAlign w:val="center"/>
            <w:hideMark/>
          </w:tcPr>
          <w:p w14:paraId="71917CE1" w14:textId="77777777" w:rsidR="007E7C63" w:rsidRPr="00CE0792" w:rsidRDefault="007E7C63" w:rsidP="007E7C63">
            <w:pPr>
              <w:spacing w:before="60" w:after="60"/>
              <w:rPr>
                <w:rFonts w:ascii="Arial" w:hAnsi="Arial" w:cs="Arial"/>
                <w:sz w:val="16"/>
                <w:szCs w:val="16"/>
              </w:rPr>
            </w:pPr>
            <w:r w:rsidRPr="00CE0792">
              <w:rPr>
                <w:rFonts w:ascii="Arial" w:hAnsi="Arial" w:cs="Arial"/>
                <w:sz w:val="16"/>
                <w:szCs w:val="16"/>
              </w:rPr>
              <w:t>Migration balance</w:t>
            </w:r>
          </w:p>
        </w:tc>
        <w:tc>
          <w:tcPr>
            <w:tcW w:w="1080" w:type="dxa"/>
            <w:tcBorders>
              <w:left w:val="single" w:sz="4" w:space="0" w:color="808080" w:themeColor="background1" w:themeShade="80"/>
            </w:tcBorders>
            <w:shd w:val="clear" w:color="auto" w:fill="F2F2F2" w:themeFill="background1" w:themeFillShade="F2"/>
            <w:noWrap/>
            <w:vAlign w:val="center"/>
            <w:hideMark/>
          </w:tcPr>
          <w:p w14:paraId="7570A644"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-4305</w:t>
            </w:r>
          </w:p>
        </w:tc>
        <w:tc>
          <w:tcPr>
            <w:tcW w:w="1170" w:type="dxa"/>
            <w:shd w:val="clear" w:color="auto" w:fill="F2F2F2" w:themeFill="background1" w:themeFillShade="F2"/>
            <w:noWrap/>
            <w:vAlign w:val="center"/>
            <w:hideMark/>
          </w:tcPr>
          <w:p w14:paraId="7DA77982"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-3476</w:t>
            </w:r>
          </w:p>
        </w:tc>
        <w:tc>
          <w:tcPr>
            <w:tcW w:w="1260" w:type="dxa"/>
            <w:shd w:val="clear" w:color="auto" w:fill="F2F2F2" w:themeFill="background1" w:themeFillShade="F2"/>
            <w:noWrap/>
            <w:vAlign w:val="center"/>
            <w:hideMark/>
          </w:tcPr>
          <w:p w14:paraId="1CED6558"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-4087</w:t>
            </w:r>
          </w:p>
        </w:tc>
        <w:tc>
          <w:tcPr>
            <w:tcW w:w="1080" w:type="dxa"/>
            <w:shd w:val="clear" w:color="auto" w:fill="F2F2F2" w:themeFill="background1" w:themeFillShade="F2"/>
            <w:noWrap/>
            <w:vAlign w:val="center"/>
            <w:hideMark/>
          </w:tcPr>
          <w:p w14:paraId="5A5590D9"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-4050</w:t>
            </w:r>
          </w:p>
        </w:tc>
        <w:tc>
          <w:tcPr>
            <w:tcW w:w="1170" w:type="dxa"/>
            <w:shd w:val="clear" w:color="auto" w:fill="F2F2F2" w:themeFill="background1" w:themeFillShade="F2"/>
            <w:noWrap/>
            <w:vAlign w:val="center"/>
            <w:hideMark/>
          </w:tcPr>
          <w:p w14:paraId="1FA2B14C"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-4597</w:t>
            </w:r>
          </w:p>
        </w:tc>
      </w:tr>
      <w:tr w:rsidR="007E7C63" w:rsidRPr="00CE0792" w14:paraId="0803FC0F" w14:textId="77777777" w:rsidTr="004D4E87">
        <w:trPr>
          <w:trHeight w:val="254"/>
        </w:trPr>
        <w:tc>
          <w:tcPr>
            <w:tcW w:w="8075" w:type="dxa"/>
            <w:gridSpan w:val="6"/>
            <w:shd w:val="clear" w:color="auto" w:fill="auto"/>
            <w:vAlign w:val="center"/>
            <w:hideMark/>
          </w:tcPr>
          <w:p w14:paraId="09792819" w14:textId="77777777" w:rsidR="007E7C63" w:rsidRPr="00CE0792" w:rsidRDefault="007E7C63" w:rsidP="007E7C63">
            <w:pPr>
              <w:spacing w:before="60" w:after="60"/>
              <w:jc w:val="center"/>
              <w:rPr>
                <w:rFonts w:ascii="Arial" w:hAnsi="Arial" w:cs="Arial"/>
                <w:b/>
                <w:bCs/>
                <w:sz w:val="16"/>
                <w:szCs w:val="16"/>
              </w:rPr>
            </w:pPr>
            <w:r w:rsidRPr="00CE0792">
              <w:rPr>
                <w:rFonts w:ascii="Arial" w:hAnsi="Arial" w:cs="Arial"/>
                <w:b/>
                <w:bCs/>
                <w:sz w:val="16"/>
                <w:szCs w:val="16"/>
              </w:rPr>
              <w:t>Region Južne i Istočne Srbije</w:t>
            </w:r>
          </w:p>
        </w:tc>
      </w:tr>
      <w:tr w:rsidR="007E7C63" w:rsidRPr="00CE0792" w14:paraId="484F5EAC" w14:textId="77777777" w:rsidTr="00847B97">
        <w:trPr>
          <w:trHeight w:val="254"/>
        </w:trPr>
        <w:tc>
          <w:tcPr>
            <w:tcW w:w="2315" w:type="dxa"/>
            <w:tcBorders>
              <w:right w:val="single" w:sz="4" w:space="0" w:color="808080" w:themeColor="background1" w:themeShade="80"/>
            </w:tcBorders>
            <w:shd w:val="clear" w:color="auto" w:fill="F2F2F2" w:themeFill="background1" w:themeFillShade="F2"/>
            <w:noWrap/>
            <w:vAlign w:val="center"/>
            <w:hideMark/>
          </w:tcPr>
          <w:p w14:paraId="1BE98F09" w14:textId="77777777" w:rsidR="007E7C63" w:rsidRPr="00CE0792" w:rsidRDefault="007E7C63" w:rsidP="007E7C63">
            <w:pPr>
              <w:spacing w:before="60" w:after="60"/>
              <w:rPr>
                <w:rFonts w:ascii="Arial" w:hAnsi="Arial" w:cs="Arial"/>
                <w:sz w:val="16"/>
                <w:szCs w:val="16"/>
              </w:rPr>
            </w:pPr>
            <w:r w:rsidRPr="00CE0792">
              <w:rPr>
                <w:rFonts w:ascii="Arial" w:hAnsi="Arial" w:cs="Arial"/>
                <w:sz w:val="16"/>
                <w:szCs w:val="16"/>
              </w:rPr>
              <w:t>Immigration</w:t>
            </w:r>
          </w:p>
        </w:tc>
        <w:tc>
          <w:tcPr>
            <w:tcW w:w="1080" w:type="dxa"/>
            <w:tcBorders>
              <w:left w:val="single" w:sz="4" w:space="0" w:color="808080" w:themeColor="background1" w:themeShade="80"/>
            </w:tcBorders>
            <w:shd w:val="clear" w:color="auto" w:fill="F2F2F2" w:themeFill="background1" w:themeFillShade="F2"/>
            <w:noWrap/>
            <w:vAlign w:val="center"/>
            <w:hideMark/>
          </w:tcPr>
          <w:p w14:paraId="6A211FF6"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19189</w:t>
            </w:r>
          </w:p>
        </w:tc>
        <w:tc>
          <w:tcPr>
            <w:tcW w:w="1170" w:type="dxa"/>
            <w:shd w:val="clear" w:color="auto" w:fill="F2F2F2" w:themeFill="background1" w:themeFillShade="F2"/>
            <w:noWrap/>
            <w:vAlign w:val="center"/>
            <w:hideMark/>
          </w:tcPr>
          <w:p w14:paraId="13D41C74"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19305</w:t>
            </w:r>
          </w:p>
        </w:tc>
        <w:tc>
          <w:tcPr>
            <w:tcW w:w="1260" w:type="dxa"/>
            <w:shd w:val="clear" w:color="auto" w:fill="F2F2F2" w:themeFill="background1" w:themeFillShade="F2"/>
            <w:noWrap/>
            <w:vAlign w:val="center"/>
            <w:hideMark/>
          </w:tcPr>
          <w:p w14:paraId="4B5439D3"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18535</w:t>
            </w:r>
          </w:p>
        </w:tc>
        <w:tc>
          <w:tcPr>
            <w:tcW w:w="1080" w:type="dxa"/>
            <w:shd w:val="clear" w:color="auto" w:fill="F2F2F2" w:themeFill="background1" w:themeFillShade="F2"/>
            <w:noWrap/>
            <w:vAlign w:val="center"/>
            <w:hideMark/>
          </w:tcPr>
          <w:p w14:paraId="793B2984"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18383</w:t>
            </w:r>
          </w:p>
        </w:tc>
        <w:tc>
          <w:tcPr>
            <w:tcW w:w="1170" w:type="dxa"/>
            <w:shd w:val="clear" w:color="auto" w:fill="F2F2F2" w:themeFill="background1" w:themeFillShade="F2"/>
            <w:noWrap/>
            <w:vAlign w:val="center"/>
            <w:hideMark/>
          </w:tcPr>
          <w:p w14:paraId="6DB4B34C"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19192</w:t>
            </w:r>
          </w:p>
        </w:tc>
      </w:tr>
      <w:tr w:rsidR="007E7C63" w:rsidRPr="00CE0792" w14:paraId="5A2046DC" w14:textId="77777777" w:rsidTr="00847B97">
        <w:trPr>
          <w:trHeight w:val="254"/>
        </w:trPr>
        <w:tc>
          <w:tcPr>
            <w:tcW w:w="2315" w:type="dxa"/>
            <w:tcBorders>
              <w:right w:val="single" w:sz="4" w:space="0" w:color="808080" w:themeColor="background1" w:themeShade="80"/>
            </w:tcBorders>
            <w:shd w:val="clear" w:color="auto" w:fill="auto"/>
            <w:noWrap/>
            <w:vAlign w:val="center"/>
            <w:hideMark/>
          </w:tcPr>
          <w:p w14:paraId="27EFD443" w14:textId="77777777" w:rsidR="007E7C63" w:rsidRPr="00CE0792" w:rsidRDefault="007E7C63" w:rsidP="007E7C63">
            <w:pPr>
              <w:spacing w:before="60" w:after="60"/>
              <w:rPr>
                <w:rFonts w:ascii="Arial" w:hAnsi="Arial" w:cs="Arial"/>
                <w:sz w:val="16"/>
                <w:szCs w:val="16"/>
              </w:rPr>
            </w:pPr>
            <w:r w:rsidRPr="00CE0792">
              <w:rPr>
                <w:rFonts w:ascii="Arial" w:hAnsi="Arial" w:cs="Arial"/>
                <w:sz w:val="16"/>
                <w:szCs w:val="16"/>
              </w:rPr>
              <w:t>Emigration</w:t>
            </w:r>
          </w:p>
        </w:tc>
        <w:tc>
          <w:tcPr>
            <w:tcW w:w="1080" w:type="dxa"/>
            <w:tcBorders>
              <w:left w:val="single" w:sz="4" w:space="0" w:color="808080" w:themeColor="background1" w:themeShade="80"/>
            </w:tcBorders>
            <w:shd w:val="clear" w:color="auto" w:fill="auto"/>
            <w:noWrap/>
            <w:vAlign w:val="center"/>
            <w:hideMark/>
          </w:tcPr>
          <w:p w14:paraId="36AED7C5"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22242</w:t>
            </w:r>
          </w:p>
        </w:tc>
        <w:tc>
          <w:tcPr>
            <w:tcW w:w="1170" w:type="dxa"/>
            <w:shd w:val="clear" w:color="auto" w:fill="auto"/>
            <w:noWrap/>
            <w:vAlign w:val="center"/>
            <w:hideMark/>
          </w:tcPr>
          <w:p w14:paraId="6C987AB4"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22175</w:t>
            </w:r>
          </w:p>
        </w:tc>
        <w:tc>
          <w:tcPr>
            <w:tcW w:w="1260" w:type="dxa"/>
            <w:shd w:val="clear" w:color="auto" w:fill="auto"/>
            <w:noWrap/>
            <w:vAlign w:val="center"/>
            <w:hideMark/>
          </w:tcPr>
          <w:p w14:paraId="30A838F0"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21555</w:t>
            </w:r>
          </w:p>
        </w:tc>
        <w:tc>
          <w:tcPr>
            <w:tcW w:w="1080" w:type="dxa"/>
            <w:shd w:val="clear" w:color="auto" w:fill="auto"/>
            <w:noWrap/>
            <w:vAlign w:val="center"/>
            <w:hideMark/>
          </w:tcPr>
          <w:p w14:paraId="409D183E"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21619</w:t>
            </w:r>
          </w:p>
        </w:tc>
        <w:tc>
          <w:tcPr>
            <w:tcW w:w="1170" w:type="dxa"/>
            <w:shd w:val="clear" w:color="auto" w:fill="auto"/>
            <w:noWrap/>
            <w:vAlign w:val="center"/>
            <w:hideMark/>
          </w:tcPr>
          <w:p w14:paraId="65B7E02F"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22838</w:t>
            </w:r>
          </w:p>
        </w:tc>
      </w:tr>
      <w:tr w:rsidR="007E7C63" w:rsidRPr="00CE0792" w14:paraId="42719A9A" w14:textId="77777777" w:rsidTr="00847B97">
        <w:trPr>
          <w:trHeight w:val="254"/>
        </w:trPr>
        <w:tc>
          <w:tcPr>
            <w:tcW w:w="2315" w:type="dxa"/>
            <w:tcBorders>
              <w:right w:val="single" w:sz="4" w:space="0" w:color="808080" w:themeColor="background1" w:themeShade="80"/>
            </w:tcBorders>
            <w:shd w:val="clear" w:color="auto" w:fill="F2F2F2" w:themeFill="background1" w:themeFillShade="F2"/>
            <w:noWrap/>
            <w:vAlign w:val="center"/>
            <w:hideMark/>
          </w:tcPr>
          <w:p w14:paraId="234B5352" w14:textId="77777777" w:rsidR="007E7C63" w:rsidRPr="00CE0792" w:rsidRDefault="007E7C63" w:rsidP="007E7C63">
            <w:pPr>
              <w:spacing w:before="60" w:after="60"/>
              <w:rPr>
                <w:rFonts w:ascii="Arial" w:hAnsi="Arial" w:cs="Arial"/>
                <w:sz w:val="16"/>
                <w:szCs w:val="16"/>
              </w:rPr>
            </w:pPr>
            <w:r w:rsidRPr="00CE0792">
              <w:rPr>
                <w:rFonts w:ascii="Arial" w:hAnsi="Arial" w:cs="Arial"/>
                <w:sz w:val="16"/>
                <w:szCs w:val="16"/>
              </w:rPr>
              <w:t>Migration balance</w:t>
            </w:r>
          </w:p>
        </w:tc>
        <w:tc>
          <w:tcPr>
            <w:tcW w:w="1080" w:type="dxa"/>
            <w:tcBorders>
              <w:left w:val="single" w:sz="4" w:space="0" w:color="808080" w:themeColor="background1" w:themeShade="80"/>
            </w:tcBorders>
            <w:shd w:val="clear" w:color="auto" w:fill="F2F2F2" w:themeFill="background1" w:themeFillShade="F2"/>
            <w:noWrap/>
            <w:vAlign w:val="center"/>
            <w:hideMark/>
          </w:tcPr>
          <w:p w14:paraId="1BC82BC3"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-3053</w:t>
            </w:r>
          </w:p>
        </w:tc>
        <w:tc>
          <w:tcPr>
            <w:tcW w:w="1170" w:type="dxa"/>
            <w:shd w:val="clear" w:color="auto" w:fill="F2F2F2" w:themeFill="background1" w:themeFillShade="F2"/>
            <w:noWrap/>
            <w:vAlign w:val="center"/>
            <w:hideMark/>
          </w:tcPr>
          <w:p w14:paraId="69438971"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-2870</w:t>
            </w:r>
          </w:p>
        </w:tc>
        <w:tc>
          <w:tcPr>
            <w:tcW w:w="1260" w:type="dxa"/>
            <w:shd w:val="clear" w:color="auto" w:fill="F2F2F2" w:themeFill="background1" w:themeFillShade="F2"/>
            <w:noWrap/>
            <w:vAlign w:val="center"/>
            <w:hideMark/>
          </w:tcPr>
          <w:p w14:paraId="5EFC9754"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-3020</w:t>
            </w:r>
          </w:p>
        </w:tc>
        <w:tc>
          <w:tcPr>
            <w:tcW w:w="1080" w:type="dxa"/>
            <w:shd w:val="clear" w:color="auto" w:fill="F2F2F2" w:themeFill="background1" w:themeFillShade="F2"/>
            <w:noWrap/>
            <w:vAlign w:val="center"/>
            <w:hideMark/>
          </w:tcPr>
          <w:p w14:paraId="1B466535"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-3236</w:t>
            </w:r>
          </w:p>
        </w:tc>
        <w:tc>
          <w:tcPr>
            <w:tcW w:w="1170" w:type="dxa"/>
            <w:shd w:val="clear" w:color="auto" w:fill="F2F2F2" w:themeFill="background1" w:themeFillShade="F2"/>
            <w:noWrap/>
            <w:vAlign w:val="center"/>
            <w:hideMark/>
          </w:tcPr>
          <w:p w14:paraId="76A5671C" w14:textId="77777777" w:rsidR="007E7C63" w:rsidRPr="00CE0792" w:rsidRDefault="007E7C63" w:rsidP="007E7C63">
            <w:pPr>
              <w:spacing w:before="60" w:after="60"/>
              <w:ind w:right="227"/>
              <w:jc w:val="right"/>
              <w:rPr>
                <w:rFonts w:ascii="Arial" w:hAnsi="Arial" w:cs="Arial"/>
                <w:color w:val="000000"/>
                <w:sz w:val="16"/>
                <w:szCs w:val="16"/>
              </w:rPr>
            </w:pPr>
            <w:r w:rsidRPr="00CE0792">
              <w:rPr>
                <w:rFonts w:ascii="Arial" w:hAnsi="Arial" w:cs="Arial"/>
                <w:color w:val="000000"/>
                <w:sz w:val="16"/>
                <w:szCs w:val="16"/>
              </w:rPr>
              <w:t>-3646</w:t>
            </w:r>
          </w:p>
        </w:tc>
      </w:tr>
      <w:tr w:rsidR="007E7C63" w:rsidRPr="00CE0792" w14:paraId="3CB16F09" w14:textId="77777777" w:rsidTr="00017AA0">
        <w:trPr>
          <w:trHeight w:val="254"/>
        </w:trPr>
        <w:tc>
          <w:tcPr>
            <w:tcW w:w="8075" w:type="dxa"/>
            <w:gridSpan w:val="6"/>
            <w:shd w:val="clear" w:color="auto" w:fill="auto"/>
            <w:noWrap/>
            <w:vAlign w:val="center"/>
          </w:tcPr>
          <w:p w14:paraId="1B44E27C" w14:textId="77777777" w:rsidR="007E7C63" w:rsidRPr="00CE0792" w:rsidRDefault="007E7C63" w:rsidP="007E7C63">
            <w:pPr>
              <w:spacing w:before="60" w:after="60"/>
              <w:jc w:val="center"/>
              <w:rPr>
                <w:rFonts w:ascii="Arial" w:hAnsi="Arial" w:cs="Arial"/>
                <w:b/>
                <w:bCs/>
                <w:sz w:val="16"/>
                <w:szCs w:val="16"/>
              </w:rPr>
            </w:pPr>
            <w:r w:rsidRPr="00CE0792">
              <w:rPr>
                <w:rFonts w:ascii="Arial" w:hAnsi="Arial" w:cs="Arial"/>
                <w:b/>
                <w:bCs/>
                <w:sz w:val="16"/>
                <w:szCs w:val="16"/>
              </w:rPr>
              <w:t>Region Kosovo i Metohija</w:t>
            </w:r>
          </w:p>
        </w:tc>
      </w:tr>
      <w:tr w:rsidR="007E7C63" w:rsidRPr="00CE0792" w14:paraId="008F7DFD" w14:textId="77777777" w:rsidTr="00847B97">
        <w:trPr>
          <w:trHeight w:val="254"/>
        </w:trPr>
        <w:tc>
          <w:tcPr>
            <w:tcW w:w="2315" w:type="dxa"/>
            <w:tcBorders>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14:paraId="7DFD8AC0" w14:textId="77777777" w:rsidR="007E7C63" w:rsidRPr="00CE0792" w:rsidRDefault="007E7C63" w:rsidP="007E7C63">
            <w:pPr>
              <w:spacing w:before="60" w:after="60"/>
              <w:rPr>
                <w:rFonts w:ascii="Arial" w:hAnsi="Arial" w:cs="Arial"/>
                <w:sz w:val="16"/>
                <w:szCs w:val="16"/>
              </w:rPr>
            </w:pPr>
            <w:r w:rsidRPr="00CE0792">
              <w:rPr>
                <w:rFonts w:ascii="Arial" w:hAnsi="Arial" w:cs="Arial"/>
                <w:sz w:val="16"/>
                <w:szCs w:val="16"/>
              </w:rPr>
              <w:t>Total</w:t>
            </w:r>
          </w:p>
        </w:tc>
        <w:tc>
          <w:tcPr>
            <w:tcW w:w="1080" w:type="dxa"/>
            <w:tcBorders>
              <w:left w:val="single" w:sz="4" w:space="0" w:color="808080" w:themeColor="background1" w:themeShade="80"/>
              <w:bottom w:val="single" w:sz="4" w:space="0" w:color="808080" w:themeColor="background1" w:themeShade="80"/>
            </w:tcBorders>
            <w:shd w:val="clear" w:color="auto" w:fill="F2F2F2" w:themeFill="background1" w:themeFillShade="F2"/>
            <w:noWrap/>
            <w:vAlign w:val="center"/>
          </w:tcPr>
          <w:p w14:paraId="02C0E9D4" w14:textId="77777777" w:rsidR="007E7C63" w:rsidRPr="00CE0792" w:rsidRDefault="007E7C63" w:rsidP="007E7C63">
            <w:pPr>
              <w:spacing w:before="60" w:after="60"/>
              <w:ind w:right="227"/>
              <w:jc w:val="right"/>
              <w:rPr>
                <w:rFonts w:ascii="Arial" w:hAnsi="Arial" w:cs="Arial"/>
                <w:sz w:val="16"/>
                <w:szCs w:val="16"/>
              </w:rPr>
            </w:pPr>
            <w:r w:rsidRPr="00CE0792">
              <w:rPr>
                <w:rFonts w:ascii="Arial" w:hAnsi="Arial" w:cs="Arial"/>
                <w:sz w:val="16"/>
                <w:szCs w:val="16"/>
              </w:rPr>
              <w:t>…</w:t>
            </w:r>
          </w:p>
        </w:tc>
        <w:tc>
          <w:tcPr>
            <w:tcW w:w="1170" w:type="dxa"/>
            <w:tcBorders>
              <w:bottom w:val="single" w:sz="4" w:space="0" w:color="808080" w:themeColor="background1" w:themeShade="80"/>
            </w:tcBorders>
            <w:shd w:val="clear" w:color="auto" w:fill="F2F2F2" w:themeFill="background1" w:themeFillShade="F2"/>
            <w:noWrap/>
            <w:vAlign w:val="center"/>
          </w:tcPr>
          <w:p w14:paraId="3DD72A14" w14:textId="77777777" w:rsidR="007E7C63" w:rsidRPr="00CE0792" w:rsidRDefault="007E7C63" w:rsidP="007E7C63">
            <w:pPr>
              <w:spacing w:before="60" w:after="60"/>
              <w:ind w:right="227"/>
              <w:jc w:val="right"/>
              <w:rPr>
                <w:rFonts w:ascii="Arial" w:hAnsi="Arial" w:cs="Arial"/>
                <w:sz w:val="16"/>
                <w:szCs w:val="16"/>
              </w:rPr>
            </w:pPr>
            <w:r w:rsidRPr="00CE0792">
              <w:rPr>
                <w:rFonts w:ascii="Arial" w:hAnsi="Arial" w:cs="Arial"/>
                <w:sz w:val="16"/>
                <w:szCs w:val="16"/>
              </w:rPr>
              <w:t>…</w:t>
            </w:r>
          </w:p>
        </w:tc>
        <w:tc>
          <w:tcPr>
            <w:tcW w:w="1260" w:type="dxa"/>
            <w:tcBorders>
              <w:bottom w:val="single" w:sz="4" w:space="0" w:color="808080" w:themeColor="background1" w:themeShade="80"/>
            </w:tcBorders>
            <w:shd w:val="clear" w:color="auto" w:fill="F2F2F2" w:themeFill="background1" w:themeFillShade="F2"/>
            <w:noWrap/>
            <w:vAlign w:val="center"/>
          </w:tcPr>
          <w:p w14:paraId="027626BA" w14:textId="77777777" w:rsidR="007E7C63" w:rsidRPr="00CE0792" w:rsidRDefault="007E7C63" w:rsidP="007E7C63">
            <w:pPr>
              <w:spacing w:before="60" w:after="60"/>
              <w:ind w:right="227"/>
              <w:jc w:val="right"/>
              <w:rPr>
                <w:rFonts w:ascii="Arial" w:hAnsi="Arial" w:cs="Arial"/>
                <w:sz w:val="16"/>
                <w:szCs w:val="16"/>
              </w:rPr>
            </w:pPr>
            <w:r w:rsidRPr="00CE0792">
              <w:rPr>
                <w:rFonts w:ascii="Arial" w:hAnsi="Arial" w:cs="Arial"/>
                <w:sz w:val="16"/>
                <w:szCs w:val="16"/>
              </w:rPr>
              <w:t>…</w:t>
            </w:r>
          </w:p>
        </w:tc>
        <w:tc>
          <w:tcPr>
            <w:tcW w:w="1080" w:type="dxa"/>
            <w:tcBorders>
              <w:bottom w:val="single" w:sz="4" w:space="0" w:color="808080" w:themeColor="background1" w:themeShade="80"/>
            </w:tcBorders>
            <w:shd w:val="clear" w:color="auto" w:fill="F2F2F2" w:themeFill="background1" w:themeFillShade="F2"/>
            <w:noWrap/>
            <w:vAlign w:val="center"/>
          </w:tcPr>
          <w:p w14:paraId="09B84F71" w14:textId="77777777" w:rsidR="007E7C63" w:rsidRPr="00CE0792" w:rsidRDefault="007E7C63" w:rsidP="007E7C63">
            <w:pPr>
              <w:spacing w:before="60" w:after="60"/>
              <w:ind w:right="227"/>
              <w:jc w:val="right"/>
              <w:rPr>
                <w:rFonts w:ascii="Arial" w:hAnsi="Arial" w:cs="Arial"/>
                <w:sz w:val="16"/>
                <w:szCs w:val="16"/>
              </w:rPr>
            </w:pPr>
            <w:r w:rsidRPr="00CE0792">
              <w:rPr>
                <w:rFonts w:ascii="Arial" w:hAnsi="Arial" w:cs="Arial"/>
                <w:sz w:val="16"/>
                <w:szCs w:val="16"/>
              </w:rPr>
              <w:t>…</w:t>
            </w:r>
          </w:p>
        </w:tc>
        <w:tc>
          <w:tcPr>
            <w:tcW w:w="1170" w:type="dxa"/>
            <w:tcBorders>
              <w:bottom w:val="single" w:sz="4" w:space="0" w:color="808080" w:themeColor="background1" w:themeShade="80"/>
            </w:tcBorders>
            <w:shd w:val="clear" w:color="auto" w:fill="F2F2F2" w:themeFill="background1" w:themeFillShade="F2"/>
            <w:noWrap/>
            <w:vAlign w:val="center"/>
          </w:tcPr>
          <w:p w14:paraId="7ECC596C" w14:textId="77777777" w:rsidR="007E7C63" w:rsidRPr="00CE0792" w:rsidRDefault="007E7C63" w:rsidP="007E7C63">
            <w:pPr>
              <w:spacing w:before="60" w:after="60"/>
              <w:ind w:right="227"/>
              <w:jc w:val="right"/>
              <w:rPr>
                <w:rFonts w:ascii="Arial" w:hAnsi="Arial" w:cs="Arial"/>
                <w:sz w:val="16"/>
                <w:szCs w:val="16"/>
              </w:rPr>
            </w:pPr>
            <w:r w:rsidRPr="00CE0792">
              <w:rPr>
                <w:rFonts w:ascii="Arial" w:hAnsi="Arial" w:cs="Arial"/>
                <w:sz w:val="16"/>
                <w:szCs w:val="16"/>
              </w:rPr>
              <w:t>…</w:t>
            </w:r>
          </w:p>
        </w:tc>
      </w:tr>
    </w:tbl>
    <w:p w14:paraId="1BE0FD8C" w14:textId="77777777" w:rsidR="00557DD7" w:rsidRPr="00CE0792" w:rsidRDefault="00557DD7" w:rsidP="00557DD7">
      <w:pPr>
        <w:jc w:val="both"/>
        <w:rPr>
          <w:rFonts w:ascii="Arial" w:hAnsi="Arial" w:cs="Arial"/>
          <w:sz w:val="20"/>
          <w:szCs w:val="20"/>
        </w:rPr>
      </w:pPr>
    </w:p>
    <w:p w14:paraId="216BA4E7" w14:textId="77777777" w:rsidR="00557DD7" w:rsidRPr="00CE0792" w:rsidRDefault="00557DD7" w:rsidP="00557DD7">
      <w:pPr>
        <w:jc w:val="both"/>
        <w:rPr>
          <w:rFonts w:ascii="Arial" w:hAnsi="Arial" w:cs="Arial"/>
          <w:sz w:val="20"/>
          <w:szCs w:val="20"/>
        </w:rPr>
      </w:pPr>
    </w:p>
    <w:p w14:paraId="39A1E402" w14:textId="77777777" w:rsidR="00557DD7" w:rsidRPr="00CE0792" w:rsidRDefault="00557DD7" w:rsidP="00557DD7">
      <w:pPr>
        <w:spacing w:before="360"/>
        <w:jc w:val="both"/>
        <w:rPr>
          <w:rFonts w:ascii="Arial" w:hAnsi="Arial" w:cs="Arial"/>
          <w:b/>
          <w:sz w:val="20"/>
          <w:szCs w:val="20"/>
        </w:rPr>
      </w:pPr>
      <w:r w:rsidRPr="00CE0792">
        <w:rPr>
          <w:rFonts w:ascii="Arial" w:hAnsi="Arial" w:cs="Arial"/>
          <w:b/>
          <w:sz w:val="20"/>
          <w:szCs w:val="20"/>
        </w:rPr>
        <w:t>Ме</w:t>
      </w:r>
      <w:r w:rsidR="00691057" w:rsidRPr="00CE0792">
        <w:rPr>
          <w:rFonts w:ascii="Arial" w:hAnsi="Arial" w:cs="Arial"/>
          <w:b/>
          <w:sz w:val="20"/>
          <w:szCs w:val="20"/>
        </w:rPr>
        <w:t>thodological explanations</w:t>
      </w:r>
    </w:p>
    <w:p w14:paraId="12B4F7C2" w14:textId="77777777" w:rsidR="00557DD7" w:rsidRPr="00CE0792" w:rsidRDefault="00691057" w:rsidP="00557DD7">
      <w:pPr>
        <w:shd w:val="clear" w:color="auto" w:fill="FFFFFF"/>
        <w:spacing w:before="120" w:after="120"/>
        <w:jc w:val="both"/>
        <w:rPr>
          <w:rFonts w:ascii="Arial" w:hAnsi="Arial" w:cs="Arial"/>
          <w:sz w:val="20"/>
          <w:szCs w:val="20"/>
          <w:shd w:val="clear" w:color="auto" w:fill="FFFFFF"/>
        </w:rPr>
      </w:pPr>
      <w:r w:rsidRPr="00CE0792">
        <w:rPr>
          <w:rFonts w:ascii="Arial" w:hAnsi="Arial" w:cs="Arial"/>
          <w:sz w:val="20"/>
          <w:szCs w:val="20"/>
          <w:shd w:val="clear" w:color="auto" w:fill="FFFFFF"/>
        </w:rPr>
        <w:t xml:space="preserve">Internal population migration is an annual survey </w:t>
      </w:r>
      <w:r w:rsidR="00B45B0D" w:rsidRPr="00CE0792">
        <w:rPr>
          <w:rFonts w:ascii="Arial" w:hAnsi="Arial" w:cs="Arial"/>
          <w:sz w:val="20"/>
          <w:szCs w:val="20"/>
          <w:shd w:val="clear" w:color="auto" w:fill="FFFFFF"/>
        </w:rPr>
        <w:t>covering the main demographic data on persons who have changed residence, i.e. have moved permanently from the previous place (</w:t>
      </w:r>
      <w:r w:rsidR="002F2306" w:rsidRPr="00CE0792">
        <w:rPr>
          <w:rFonts w:ascii="Arial" w:hAnsi="Arial" w:cs="Arial"/>
          <w:sz w:val="20"/>
          <w:szCs w:val="20"/>
          <w:shd w:val="clear" w:color="auto" w:fill="FFFFFF"/>
        </w:rPr>
        <w:t>settlement</w:t>
      </w:r>
      <w:r w:rsidR="00B45B0D" w:rsidRPr="00CE0792">
        <w:rPr>
          <w:rFonts w:ascii="Arial" w:hAnsi="Arial" w:cs="Arial"/>
          <w:sz w:val="20"/>
          <w:szCs w:val="20"/>
          <w:shd w:val="clear" w:color="auto" w:fill="FFFFFF"/>
        </w:rPr>
        <w:t xml:space="preserve">) of </w:t>
      </w:r>
      <w:r w:rsidR="002F2306" w:rsidRPr="00CE0792">
        <w:rPr>
          <w:rFonts w:ascii="Arial" w:hAnsi="Arial" w:cs="Arial"/>
          <w:sz w:val="20"/>
          <w:szCs w:val="20"/>
          <w:shd w:val="clear" w:color="auto" w:fill="FFFFFF"/>
        </w:rPr>
        <w:t xml:space="preserve">permanent </w:t>
      </w:r>
      <w:r w:rsidR="00B45B0D" w:rsidRPr="00CE0792">
        <w:rPr>
          <w:rFonts w:ascii="Arial" w:hAnsi="Arial" w:cs="Arial"/>
          <w:sz w:val="20"/>
          <w:szCs w:val="20"/>
          <w:shd w:val="clear" w:color="auto" w:fill="FFFFFF"/>
        </w:rPr>
        <w:t>residence</w:t>
      </w:r>
      <w:r w:rsidR="002F2306" w:rsidRPr="00CE0792">
        <w:rPr>
          <w:rFonts w:ascii="Arial" w:hAnsi="Arial" w:cs="Arial"/>
          <w:sz w:val="20"/>
          <w:szCs w:val="20"/>
          <w:shd w:val="clear" w:color="auto" w:fill="FFFFFF"/>
        </w:rPr>
        <w:t xml:space="preserve"> to another place (settlement) in the territory of the Republic of Serbia. The Ministry of Interior is in charge of data collection for persons who have changed residence.</w:t>
      </w:r>
    </w:p>
    <w:p w14:paraId="43919329" w14:textId="77777777" w:rsidR="00557DD7" w:rsidRPr="00CE0792" w:rsidRDefault="00CE0792" w:rsidP="00557DD7">
      <w:pPr>
        <w:shd w:val="clear" w:color="auto" w:fill="FFFFFF"/>
        <w:spacing w:before="120" w:after="120"/>
        <w:jc w:val="both"/>
        <w:rPr>
          <w:rFonts w:ascii="Arial" w:hAnsi="Arial" w:cs="Arial"/>
          <w:sz w:val="20"/>
          <w:szCs w:val="20"/>
          <w:shd w:val="clear" w:color="auto" w:fill="FFFFFF"/>
        </w:rPr>
      </w:pPr>
      <w:r w:rsidRPr="00CE0792">
        <w:rPr>
          <w:rFonts w:ascii="Arial" w:hAnsi="Arial" w:cs="Arial"/>
          <w:sz w:val="20"/>
          <w:szCs w:val="20"/>
          <w:shd w:val="clear" w:color="auto" w:fill="FFFFFF"/>
        </w:rPr>
        <w:t xml:space="preserve">As laid in the Law on Residence of Citizens (“Official Gazette of the RS “, number 87/2011), </w:t>
      </w:r>
      <w:r w:rsidRPr="00CE0792">
        <w:rPr>
          <w:rFonts w:ascii="Arial" w:hAnsi="Arial" w:cs="Arial"/>
          <w:i/>
          <w:sz w:val="20"/>
          <w:szCs w:val="20"/>
          <w:shd w:val="clear" w:color="auto" w:fill="FFFFFF"/>
        </w:rPr>
        <w:t>residence</w:t>
      </w:r>
      <w:r>
        <w:rPr>
          <w:rFonts w:ascii="Arial" w:hAnsi="Arial" w:cs="Arial"/>
          <w:i/>
          <w:sz w:val="20"/>
          <w:szCs w:val="20"/>
          <w:shd w:val="clear" w:color="auto" w:fill="FFFFFF"/>
        </w:rPr>
        <w:t xml:space="preserve"> </w:t>
      </w:r>
      <w:r w:rsidRPr="00CE0792">
        <w:rPr>
          <w:rFonts w:ascii="Arial" w:hAnsi="Arial" w:cs="Arial"/>
          <w:sz w:val="20"/>
          <w:szCs w:val="20"/>
          <w:shd w:val="clear" w:color="auto" w:fill="FFFFFF"/>
        </w:rPr>
        <w:t>is “the place where a citizen has settled down with the intent to live in permanently, i.e. the place where is the centre of her/his activities, professional, economic, social and other relationships that prove her/hi permanent link with the place she/he has settled in “.</w:t>
      </w:r>
    </w:p>
    <w:p w14:paraId="42C762E3" w14:textId="77777777" w:rsidR="00557DD7" w:rsidRPr="00CE0792" w:rsidRDefault="008C71BC" w:rsidP="00557DD7">
      <w:pPr>
        <w:shd w:val="clear" w:color="auto" w:fill="FFFFFF"/>
        <w:spacing w:before="120" w:after="120"/>
        <w:jc w:val="both"/>
        <w:rPr>
          <w:rFonts w:ascii="Arial" w:hAnsi="Arial" w:cs="Arial"/>
          <w:sz w:val="20"/>
          <w:szCs w:val="20"/>
        </w:rPr>
      </w:pPr>
      <w:r w:rsidRPr="00CE0792">
        <w:rPr>
          <w:rFonts w:ascii="Arial" w:hAnsi="Arial" w:cs="Arial"/>
          <w:i/>
          <w:sz w:val="20"/>
          <w:szCs w:val="20"/>
        </w:rPr>
        <w:t xml:space="preserve">Migration balance of </w:t>
      </w:r>
      <w:r w:rsidR="00CE0792" w:rsidRPr="00CE0792">
        <w:rPr>
          <w:rFonts w:ascii="Arial" w:hAnsi="Arial" w:cs="Arial"/>
          <w:i/>
          <w:sz w:val="20"/>
          <w:szCs w:val="20"/>
        </w:rPr>
        <w:t>population</w:t>
      </w:r>
      <w:r w:rsidR="00CE0792" w:rsidRPr="00CE0792">
        <w:rPr>
          <w:rFonts w:ascii="Arial" w:hAnsi="Arial" w:cs="Arial"/>
          <w:sz w:val="20"/>
          <w:szCs w:val="20"/>
        </w:rPr>
        <w:t xml:space="preserve"> is</w:t>
      </w:r>
      <w:r w:rsidRPr="00CE0792">
        <w:rPr>
          <w:rFonts w:ascii="Arial" w:hAnsi="Arial" w:cs="Arial"/>
          <w:sz w:val="20"/>
          <w:szCs w:val="20"/>
        </w:rPr>
        <w:t xml:space="preserve"> the difference between the number of </w:t>
      </w:r>
      <w:r w:rsidR="009D3BC4" w:rsidRPr="00CE0792">
        <w:rPr>
          <w:rFonts w:ascii="Arial" w:hAnsi="Arial" w:cs="Arial"/>
          <w:sz w:val="20"/>
          <w:szCs w:val="20"/>
        </w:rPr>
        <w:t>immigrat</w:t>
      </w:r>
      <w:r w:rsidR="00517E1A" w:rsidRPr="00CE0792">
        <w:rPr>
          <w:rFonts w:ascii="Arial" w:hAnsi="Arial" w:cs="Arial"/>
          <w:sz w:val="20"/>
          <w:szCs w:val="20"/>
        </w:rPr>
        <w:t>ed</w:t>
      </w:r>
      <w:r w:rsidRPr="00CE0792">
        <w:rPr>
          <w:rFonts w:ascii="Arial" w:hAnsi="Arial" w:cs="Arial"/>
          <w:sz w:val="20"/>
          <w:szCs w:val="20"/>
        </w:rPr>
        <w:t xml:space="preserve"> and </w:t>
      </w:r>
      <w:r w:rsidR="00CE0792" w:rsidRPr="00CE0792">
        <w:rPr>
          <w:rFonts w:ascii="Arial" w:hAnsi="Arial" w:cs="Arial"/>
          <w:sz w:val="20"/>
          <w:szCs w:val="20"/>
        </w:rPr>
        <w:t>emigrated population</w:t>
      </w:r>
      <w:r w:rsidR="00517E1A" w:rsidRPr="00CE0792">
        <w:rPr>
          <w:rFonts w:ascii="Arial" w:hAnsi="Arial" w:cs="Arial"/>
          <w:sz w:val="20"/>
          <w:szCs w:val="20"/>
        </w:rPr>
        <w:t xml:space="preserve"> </w:t>
      </w:r>
      <w:r w:rsidRPr="00CE0792">
        <w:rPr>
          <w:rFonts w:ascii="Arial" w:hAnsi="Arial" w:cs="Arial"/>
          <w:sz w:val="20"/>
          <w:szCs w:val="20"/>
        </w:rPr>
        <w:t>in a territory</w:t>
      </w:r>
      <w:r w:rsidR="00557DD7" w:rsidRPr="00CE0792">
        <w:rPr>
          <w:rFonts w:ascii="Arial" w:hAnsi="Arial" w:cs="Arial"/>
          <w:sz w:val="20"/>
          <w:szCs w:val="20"/>
        </w:rPr>
        <w:t>.</w:t>
      </w:r>
    </w:p>
    <w:p w14:paraId="762973E1" w14:textId="77777777" w:rsidR="00557DD7" w:rsidRPr="00CE0792" w:rsidRDefault="008C71BC" w:rsidP="00557DD7">
      <w:pPr>
        <w:shd w:val="clear" w:color="auto" w:fill="FFFFFF"/>
        <w:spacing w:before="120" w:after="120"/>
        <w:jc w:val="both"/>
        <w:rPr>
          <w:rFonts w:ascii="Arial" w:hAnsi="Arial" w:cs="Arial"/>
          <w:sz w:val="20"/>
          <w:szCs w:val="20"/>
        </w:rPr>
      </w:pPr>
      <w:r w:rsidRPr="00CE0792">
        <w:rPr>
          <w:rFonts w:ascii="Arial" w:hAnsi="Arial" w:cs="Arial"/>
          <w:sz w:val="20"/>
          <w:szCs w:val="20"/>
        </w:rPr>
        <w:t>Starting from 1998 the Statistical Office of the Republic of Serbia has not available data for AP Kosovo and Metohija therefore these data are not included in the coverage for the Republic of Serbia (total).</w:t>
      </w:r>
    </w:p>
    <w:p w14:paraId="2F4F81A4" w14:textId="77777777" w:rsidR="00557DD7" w:rsidRPr="00CE0792" w:rsidRDefault="00557DD7" w:rsidP="00557DD7">
      <w:pPr>
        <w:shd w:val="clear" w:color="auto" w:fill="FFFFFF"/>
        <w:spacing w:before="120" w:after="120"/>
        <w:jc w:val="both"/>
        <w:rPr>
          <w:rFonts w:ascii="Arial" w:hAnsi="Arial" w:cs="Arial"/>
          <w:sz w:val="18"/>
          <w:szCs w:val="18"/>
        </w:rPr>
      </w:pPr>
    </w:p>
    <w:p w14:paraId="182D30A5" w14:textId="77777777" w:rsidR="00557DD7" w:rsidRPr="00CE0792" w:rsidRDefault="00557DD7" w:rsidP="00557DD7">
      <w:pPr>
        <w:shd w:val="clear" w:color="auto" w:fill="FFFFFF"/>
        <w:spacing w:before="120" w:after="120"/>
        <w:jc w:val="both"/>
        <w:rPr>
          <w:rFonts w:ascii="Arial" w:hAnsi="Arial" w:cs="Arial"/>
          <w:sz w:val="18"/>
          <w:szCs w:val="18"/>
        </w:rPr>
      </w:pPr>
    </w:p>
    <w:p w14:paraId="18AFE909" w14:textId="77777777" w:rsidR="00557DD7" w:rsidRPr="00CE0792" w:rsidRDefault="00557DD7" w:rsidP="00557DD7">
      <w:pPr>
        <w:shd w:val="clear" w:color="auto" w:fill="FFFFFF"/>
        <w:spacing w:before="120" w:after="120"/>
        <w:jc w:val="both"/>
        <w:rPr>
          <w:rFonts w:ascii="Arial" w:hAnsi="Arial" w:cs="Arial"/>
          <w:sz w:val="18"/>
          <w:szCs w:val="18"/>
        </w:rPr>
      </w:pPr>
    </w:p>
    <w:p w14:paraId="2F8BAF80" w14:textId="77777777" w:rsidR="00557DD7" w:rsidRPr="00CE0792" w:rsidRDefault="00557DD7" w:rsidP="00557DD7">
      <w:pPr>
        <w:shd w:val="clear" w:color="auto" w:fill="FFFFFF"/>
        <w:spacing w:before="120" w:after="120"/>
        <w:jc w:val="both"/>
        <w:rPr>
          <w:rFonts w:ascii="Arial" w:hAnsi="Arial" w:cs="Arial"/>
          <w:sz w:val="18"/>
          <w:szCs w:val="18"/>
        </w:rPr>
      </w:pPr>
    </w:p>
    <w:p w14:paraId="1CD881F1" w14:textId="77777777" w:rsidR="00125ECC" w:rsidRPr="00CE0792" w:rsidRDefault="00125ECC" w:rsidP="00557DD7">
      <w:pPr>
        <w:shd w:val="clear" w:color="auto" w:fill="FFFFFF"/>
        <w:spacing w:before="120" w:after="120"/>
        <w:jc w:val="both"/>
        <w:rPr>
          <w:rFonts w:ascii="Arial" w:hAnsi="Arial" w:cs="Arial"/>
          <w:sz w:val="18"/>
          <w:szCs w:val="18"/>
        </w:rPr>
      </w:pPr>
    </w:p>
    <w:p w14:paraId="38FDB61F" w14:textId="77777777" w:rsidR="00125ECC" w:rsidRPr="00CE0792" w:rsidRDefault="00125ECC" w:rsidP="00557DD7">
      <w:pPr>
        <w:shd w:val="clear" w:color="auto" w:fill="FFFFFF"/>
        <w:spacing w:before="120" w:after="120"/>
        <w:jc w:val="both"/>
        <w:rPr>
          <w:rFonts w:ascii="Arial" w:hAnsi="Arial" w:cs="Arial"/>
          <w:sz w:val="18"/>
          <w:szCs w:val="18"/>
        </w:rPr>
      </w:pPr>
    </w:p>
    <w:p w14:paraId="7840863F" w14:textId="77777777" w:rsidR="00125ECC" w:rsidRPr="00CE0792" w:rsidRDefault="00125ECC" w:rsidP="00557DD7">
      <w:pPr>
        <w:shd w:val="clear" w:color="auto" w:fill="FFFFFF"/>
        <w:spacing w:before="120" w:after="120"/>
        <w:jc w:val="both"/>
        <w:rPr>
          <w:rFonts w:ascii="Arial" w:hAnsi="Arial" w:cs="Arial"/>
          <w:sz w:val="18"/>
          <w:szCs w:val="18"/>
        </w:rPr>
      </w:pPr>
    </w:p>
    <w:p w14:paraId="5E6B078F" w14:textId="77777777" w:rsidR="00125ECC" w:rsidRPr="00CE0792" w:rsidRDefault="00125ECC" w:rsidP="00557DD7">
      <w:pPr>
        <w:shd w:val="clear" w:color="auto" w:fill="FFFFFF"/>
        <w:spacing w:before="120" w:after="120"/>
        <w:jc w:val="both"/>
        <w:rPr>
          <w:rFonts w:ascii="Arial" w:hAnsi="Arial" w:cs="Arial"/>
          <w:sz w:val="18"/>
          <w:szCs w:val="18"/>
        </w:rPr>
      </w:pPr>
    </w:p>
    <w:p w14:paraId="4B0DEFB6" w14:textId="77777777" w:rsidR="00125ECC" w:rsidRPr="00CE0792" w:rsidRDefault="00125ECC" w:rsidP="00557DD7">
      <w:pPr>
        <w:shd w:val="clear" w:color="auto" w:fill="FFFFFF"/>
        <w:spacing w:before="120" w:after="120"/>
        <w:jc w:val="both"/>
        <w:rPr>
          <w:rFonts w:ascii="Arial" w:hAnsi="Arial" w:cs="Arial"/>
          <w:sz w:val="18"/>
          <w:szCs w:val="18"/>
        </w:rPr>
      </w:pPr>
    </w:p>
    <w:p w14:paraId="70B1EF22" w14:textId="77777777" w:rsidR="000D4B6D" w:rsidRPr="00CE0792" w:rsidRDefault="000D4B6D">
      <w:pPr>
        <w:rPr>
          <w:sz w:val="6"/>
          <w:szCs w:val="6"/>
        </w:rPr>
      </w:pPr>
    </w:p>
    <w:p w14:paraId="752FD945" w14:textId="77777777" w:rsidR="00EE5E12" w:rsidRPr="00CE0792" w:rsidRDefault="00EE5E12">
      <w:pPr>
        <w:rPr>
          <w:sz w:val="6"/>
          <w:szCs w:val="6"/>
        </w:rPr>
      </w:pPr>
    </w:p>
    <w:tbl>
      <w:tblPr>
        <w:tblW w:w="0" w:type="auto"/>
        <w:jc w:val="center"/>
        <w:tblBorders>
          <w:top w:val="single" w:sz="4" w:space="0" w:color="808080"/>
        </w:tblBorders>
        <w:tblCellMar>
          <w:left w:w="28" w:type="dxa"/>
          <w:right w:w="28" w:type="dxa"/>
        </w:tblCellMar>
        <w:tblLook w:val="04A0" w:firstRow="1" w:lastRow="0" w:firstColumn="1" w:lastColumn="0" w:noHBand="0" w:noVBand="1"/>
      </w:tblPr>
      <w:tblGrid>
        <w:gridCol w:w="8435"/>
      </w:tblGrid>
      <w:tr w:rsidR="0043636E" w:rsidRPr="00CE0792" w14:paraId="14EA5DB4" w14:textId="77777777">
        <w:trPr>
          <w:jc w:val="center"/>
        </w:trPr>
        <w:tc>
          <w:tcPr>
            <w:tcW w:w="8435" w:type="dxa"/>
            <w:shd w:val="clear" w:color="auto" w:fill="auto"/>
          </w:tcPr>
          <w:p w14:paraId="47AF17E3" w14:textId="77777777" w:rsidR="0043636E" w:rsidRPr="00CE0792" w:rsidRDefault="00F36C92" w:rsidP="0044344C">
            <w:pPr>
              <w:spacing w:before="60"/>
              <w:jc w:val="center"/>
              <w:rPr>
                <w:rFonts w:ascii="Arial" w:hAnsi="Arial" w:cs="Arial"/>
                <w:iCs/>
                <w:sz w:val="18"/>
                <w:szCs w:val="18"/>
              </w:rPr>
            </w:pPr>
            <w:r w:rsidRPr="00CE0792">
              <w:rPr>
                <w:rFonts w:ascii="Arial" w:hAnsi="Arial" w:cs="Arial"/>
                <w:iCs/>
                <w:sz w:val="18"/>
                <w:szCs w:val="18"/>
              </w:rPr>
              <w:t>Contact</w:t>
            </w:r>
            <w:r w:rsidR="0043636E" w:rsidRPr="00CE0792">
              <w:rPr>
                <w:rFonts w:ascii="Arial" w:hAnsi="Arial" w:cs="Arial"/>
                <w:iCs/>
                <w:sz w:val="18"/>
                <w:szCs w:val="18"/>
              </w:rPr>
              <w:t xml:space="preserve">: </w:t>
            </w:r>
            <w:hyperlink r:id="rId11" w:history="1">
              <w:r w:rsidR="00894348" w:rsidRPr="00CE0792">
                <w:rPr>
                  <w:rStyle w:val="Hyperlink"/>
                  <w:rFonts w:ascii="Arial" w:hAnsi="Arial" w:cs="Arial"/>
                  <w:iCs/>
                  <w:color w:val="auto"/>
                  <w:sz w:val="18"/>
                  <w:szCs w:val="18"/>
                  <w:u w:val="none"/>
                </w:rPr>
                <w:t>gordana.bjelobrk@stat.gov.rs</w:t>
              </w:r>
            </w:hyperlink>
            <w:r w:rsidR="0043636E" w:rsidRPr="00CE0792">
              <w:rPr>
                <w:rFonts w:ascii="Arial" w:hAnsi="Arial" w:cs="Arial"/>
                <w:iCs/>
                <w:sz w:val="18"/>
                <w:szCs w:val="18"/>
              </w:rPr>
              <w:t xml:space="preserve">, </w:t>
            </w:r>
            <w:r w:rsidR="004963C3" w:rsidRPr="00CE0792">
              <w:rPr>
                <w:rFonts w:ascii="Arial" w:hAnsi="Arial" w:cs="Arial"/>
                <w:iCs/>
                <w:sz w:val="18"/>
                <w:szCs w:val="18"/>
              </w:rPr>
              <w:t>tel</w:t>
            </w:r>
            <w:r w:rsidR="00762B7D" w:rsidRPr="00CE0792">
              <w:rPr>
                <w:rFonts w:ascii="Arial" w:hAnsi="Arial" w:cs="Arial"/>
                <w:iCs/>
                <w:sz w:val="18"/>
                <w:szCs w:val="18"/>
              </w:rPr>
              <w:t xml:space="preserve">.: 011 </w:t>
            </w:r>
            <w:r w:rsidR="0043636E" w:rsidRPr="00CE0792">
              <w:rPr>
                <w:rFonts w:ascii="Arial" w:hAnsi="Arial" w:cs="Arial"/>
                <w:iCs/>
                <w:sz w:val="18"/>
                <w:szCs w:val="18"/>
              </w:rPr>
              <w:t xml:space="preserve">24-12-922, </w:t>
            </w:r>
            <w:r w:rsidRPr="00CE0792">
              <w:rPr>
                <w:rFonts w:ascii="Arial" w:hAnsi="Arial" w:cs="Arial"/>
                <w:iCs/>
                <w:sz w:val="18"/>
                <w:szCs w:val="18"/>
              </w:rPr>
              <w:t>Ext.</w:t>
            </w:r>
            <w:r w:rsidR="00B724AB" w:rsidRPr="00CE0792">
              <w:rPr>
                <w:rFonts w:ascii="Arial" w:hAnsi="Arial" w:cs="Arial"/>
                <w:iCs/>
                <w:sz w:val="18"/>
                <w:szCs w:val="18"/>
              </w:rPr>
              <w:t>372</w:t>
            </w:r>
          </w:p>
          <w:p w14:paraId="233447FE" w14:textId="77777777" w:rsidR="004878DB" w:rsidRPr="00CE0792" w:rsidRDefault="004878DB" w:rsidP="004878DB">
            <w:pPr>
              <w:jc w:val="center"/>
              <w:rPr>
                <w:rFonts w:ascii="Arial" w:hAnsi="Arial" w:cs="Arial"/>
                <w:sz w:val="18"/>
                <w:szCs w:val="18"/>
              </w:rPr>
            </w:pPr>
            <w:r w:rsidRPr="00CE0792">
              <w:rPr>
                <w:rFonts w:ascii="Arial" w:hAnsi="Arial" w:cs="Arial"/>
                <w:sz w:val="18"/>
                <w:szCs w:val="18"/>
              </w:rPr>
              <w:t xml:space="preserve">Published and printed by: Statistical Office of the </w:t>
            </w:r>
            <w:r w:rsidR="008C71BC" w:rsidRPr="00CE0792">
              <w:rPr>
                <w:rFonts w:ascii="Arial" w:hAnsi="Arial" w:cs="Arial"/>
                <w:sz w:val="18"/>
                <w:szCs w:val="18"/>
              </w:rPr>
              <w:t>Republic of Serbia, Milana Rakić</w:t>
            </w:r>
            <w:r w:rsidRPr="00CE0792">
              <w:rPr>
                <w:rFonts w:ascii="Arial" w:hAnsi="Arial" w:cs="Arial"/>
                <w:sz w:val="18"/>
                <w:szCs w:val="18"/>
              </w:rPr>
              <w:t>a 5, 11050 Belgrade</w:t>
            </w:r>
          </w:p>
          <w:p w14:paraId="27BA9DA9" w14:textId="77777777" w:rsidR="004878DB" w:rsidRPr="00CE0792" w:rsidRDefault="004878DB" w:rsidP="004878DB">
            <w:pPr>
              <w:jc w:val="center"/>
              <w:rPr>
                <w:rFonts w:ascii="Arial" w:hAnsi="Arial" w:cs="Arial"/>
                <w:sz w:val="18"/>
                <w:szCs w:val="18"/>
              </w:rPr>
            </w:pPr>
            <w:r w:rsidRPr="00CE0792">
              <w:rPr>
                <w:rFonts w:ascii="Arial" w:hAnsi="Arial" w:cs="Arial"/>
                <w:sz w:val="18"/>
                <w:szCs w:val="18"/>
              </w:rPr>
              <w:t xml:space="preserve">Phone: +381 11 2412922 (telephone exchange) ● Fax: +381 11 2411260 ● www.stat.gov.rs  </w:t>
            </w:r>
          </w:p>
          <w:p w14:paraId="3D3F33B0" w14:textId="77777777" w:rsidR="004878DB" w:rsidRPr="00CE0792" w:rsidRDefault="004878DB" w:rsidP="004878DB">
            <w:pPr>
              <w:jc w:val="center"/>
              <w:rPr>
                <w:rFonts w:ascii="Arial" w:hAnsi="Arial" w:cs="Arial"/>
                <w:sz w:val="18"/>
                <w:szCs w:val="18"/>
              </w:rPr>
            </w:pPr>
            <w:r w:rsidRPr="00CE0792">
              <w:rPr>
                <w:rFonts w:ascii="Arial" w:hAnsi="Arial" w:cs="Arial"/>
                <w:sz w:val="18"/>
                <w:szCs w:val="18"/>
              </w:rPr>
              <w:t>Responsible: Dr Miladin Kovačević, Director</w:t>
            </w:r>
          </w:p>
          <w:p w14:paraId="3CAEB1DE" w14:textId="77777777" w:rsidR="00F36C92" w:rsidRPr="00CE0792" w:rsidRDefault="00A257C3" w:rsidP="00A257C3">
            <w:pPr>
              <w:tabs>
                <w:tab w:val="center" w:pos="4189"/>
                <w:tab w:val="right" w:pos="8379"/>
              </w:tabs>
              <w:rPr>
                <w:rFonts w:ascii="Arial" w:hAnsi="Arial" w:cs="Arial"/>
                <w:iCs/>
                <w:sz w:val="18"/>
                <w:szCs w:val="18"/>
              </w:rPr>
            </w:pPr>
            <w:r>
              <w:rPr>
                <w:rFonts w:ascii="Arial" w:hAnsi="Arial" w:cs="Arial"/>
                <w:sz w:val="18"/>
                <w:szCs w:val="18"/>
              </w:rPr>
              <w:tab/>
            </w:r>
            <w:r w:rsidR="004878DB" w:rsidRPr="00CE0792">
              <w:rPr>
                <w:rFonts w:ascii="Arial" w:hAnsi="Arial" w:cs="Arial"/>
                <w:sz w:val="18"/>
                <w:szCs w:val="18"/>
              </w:rPr>
              <w:t>Circulation: 20 • Issued annually</w:t>
            </w:r>
            <w:r>
              <w:rPr>
                <w:rFonts w:ascii="Arial" w:hAnsi="Arial" w:cs="Arial"/>
                <w:sz w:val="18"/>
                <w:szCs w:val="18"/>
              </w:rPr>
              <w:tab/>
            </w:r>
          </w:p>
        </w:tc>
      </w:tr>
    </w:tbl>
    <w:p w14:paraId="7E1983E0" w14:textId="77777777" w:rsidR="0043636E" w:rsidRPr="00CE0792" w:rsidRDefault="0043636E" w:rsidP="000D4B6D">
      <w:pPr>
        <w:rPr>
          <w:rFonts w:ascii="Arial" w:hAnsi="Arial" w:cs="Arial"/>
          <w:b/>
          <w:sz w:val="2"/>
          <w:szCs w:val="2"/>
        </w:rPr>
      </w:pPr>
    </w:p>
    <w:sectPr w:rsidR="0043636E" w:rsidRPr="00CE0792" w:rsidSect="00B437C8">
      <w:footerReference w:type="even" r:id="rId12"/>
      <w:footerReference w:type="default" r:id="rId13"/>
      <w:pgSz w:w="11907" w:h="16840" w:code="9"/>
      <w:pgMar w:top="851" w:right="851" w:bottom="851"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ACFA5" w14:textId="77777777" w:rsidR="00546503" w:rsidRDefault="00546503" w:rsidP="00776930">
      <w:r>
        <w:separator/>
      </w:r>
    </w:p>
  </w:endnote>
  <w:endnote w:type="continuationSeparator" w:id="0">
    <w:p w14:paraId="01174967" w14:textId="77777777" w:rsidR="00546503" w:rsidRDefault="00546503" w:rsidP="0077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insideH w:val="single" w:sz="4" w:space="0" w:color="auto"/>
      </w:tblBorders>
      <w:tblCellMar>
        <w:left w:w="28" w:type="dxa"/>
        <w:right w:w="28" w:type="dxa"/>
      </w:tblCellMar>
      <w:tblLook w:val="01E0" w:firstRow="1" w:lastRow="1" w:firstColumn="1" w:lastColumn="1" w:noHBand="0" w:noVBand="0"/>
    </w:tblPr>
    <w:tblGrid>
      <w:gridCol w:w="5125"/>
      <w:gridCol w:w="5136"/>
    </w:tblGrid>
    <w:tr w:rsidR="00597742" w:rsidRPr="00776930" w14:paraId="3DF86EE1" w14:textId="77777777">
      <w:trPr>
        <w:jc w:val="center"/>
      </w:trPr>
      <w:tc>
        <w:tcPr>
          <w:tcW w:w="5210" w:type="dxa"/>
          <w:tcBorders>
            <w:left w:val="nil"/>
            <w:bottom w:val="nil"/>
            <w:right w:val="nil"/>
          </w:tcBorders>
          <w:shd w:val="clear" w:color="auto" w:fill="auto"/>
        </w:tcPr>
        <w:p w14:paraId="4521B814" w14:textId="19A56DE9" w:rsidR="00597742" w:rsidRPr="00776930" w:rsidRDefault="00E71BDC" w:rsidP="00776930">
          <w:pPr>
            <w:spacing w:before="60"/>
            <w:rPr>
              <w:rFonts w:ascii="Arial" w:hAnsi="Arial" w:cs="Arial"/>
              <w:caps/>
              <w:sz w:val="16"/>
              <w:szCs w:val="16"/>
            </w:rPr>
          </w:pPr>
          <w:r w:rsidRPr="00776930">
            <w:rPr>
              <w:rFonts w:ascii="Arial" w:hAnsi="Arial" w:cs="Arial"/>
              <w:caps/>
              <w:sz w:val="16"/>
              <w:szCs w:val="16"/>
            </w:rPr>
            <w:fldChar w:fldCharType="begin"/>
          </w:r>
          <w:r w:rsidR="00597742" w:rsidRPr="00776930">
            <w:rPr>
              <w:rFonts w:ascii="Arial" w:hAnsi="Arial" w:cs="Arial"/>
              <w:caps/>
              <w:sz w:val="16"/>
              <w:szCs w:val="16"/>
            </w:rPr>
            <w:instrText xml:space="preserve"> PAGE </w:instrText>
          </w:r>
          <w:r w:rsidRPr="00776930">
            <w:rPr>
              <w:rFonts w:ascii="Arial" w:hAnsi="Arial" w:cs="Arial"/>
              <w:caps/>
              <w:sz w:val="16"/>
              <w:szCs w:val="16"/>
            </w:rPr>
            <w:fldChar w:fldCharType="separate"/>
          </w:r>
          <w:r w:rsidR="00F51480">
            <w:rPr>
              <w:rFonts w:ascii="Arial" w:hAnsi="Arial" w:cs="Arial"/>
              <w:caps/>
              <w:noProof/>
              <w:sz w:val="16"/>
              <w:szCs w:val="16"/>
            </w:rPr>
            <w:t>2</w:t>
          </w:r>
          <w:r w:rsidRPr="00776930">
            <w:rPr>
              <w:rFonts w:ascii="Arial" w:hAnsi="Arial" w:cs="Arial"/>
              <w:caps/>
              <w:sz w:val="16"/>
              <w:szCs w:val="16"/>
            </w:rPr>
            <w:fldChar w:fldCharType="end"/>
          </w:r>
        </w:p>
      </w:tc>
      <w:tc>
        <w:tcPr>
          <w:tcW w:w="5211" w:type="dxa"/>
          <w:tcBorders>
            <w:left w:val="nil"/>
            <w:bottom w:val="nil"/>
          </w:tcBorders>
          <w:shd w:val="clear" w:color="auto" w:fill="auto"/>
        </w:tcPr>
        <w:p w14:paraId="399FAE8F" w14:textId="0882AAB3" w:rsidR="00597742" w:rsidRPr="00776930" w:rsidRDefault="00597742" w:rsidP="007E7C63">
          <w:pPr>
            <w:spacing w:before="60"/>
            <w:jc w:val="right"/>
            <w:rPr>
              <w:rFonts w:ascii="Arial" w:hAnsi="Arial" w:cs="Arial"/>
              <w:caps/>
              <w:sz w:val="16"/>
              <w:szCs w:val="16"/>
              <w:lang w:val="sr-Latn-CS"/>
            </w:rPr>
          </w:pPr>
          <w:r w:rsidRPr="00776930">
            <w:rPr>
              <w:rFonts w:ascii="Arial" w:hAnsi="Arial" w:cs="Arial"/>
              <w:caps/>
              <w:sz w:val="16"/>
              <w:szCs w:val="16"/>
            </w:rPr>
            <w:t>SER</w:t>
          </w:r>
          <w:r w:rsidRPr="006246A2">
            <w:rPr>
              <w:rFonts w:ascii="Arial" w:hAnsi="Arial" w:cs="Arial"/>
              <w:caps/>
              <w:sz w:val="16"/>
              <w:szCs w:val="16"/>
            </w:rPr>
            <w:t>B</w:t>
          </w:r>
          <w:r w:rsidR="007E7C63">
            <w:rPr>
              <w:rFonts w:ascii="Arial" w:hAnsi="Arial" w:cs="Arial"/>
              <w:sz w:val="16"/>
              <w:szCs w:val="16"/>
            </w:rPr>
            <w:t>191</w:t>
          </w:r>
          <w:r w:rsidR="004F05A5">
            <w:rPr>
              <w:rFonts w:ascii="Arial" w:hAnsi="Arial" w:cs="Arial"/>
              <w:sz w:val="16"/>
              <w:szCs w:val="16"/>
            </w:rPr>
            <w:t xml:space="preserve"> </w:t>
          </w:r>
          <w:r w:rsidRPr="00776930">
            <w:rPr>
              <w:rFonts w:ascii="Arial" w:hAnsi="Arial" w:cs="Arial"/>
              <w:caps/>
              <w:sz w:val="16"/>
              <w:szCs w:val="16"/>
              <w:lang w:val="sr-Latn-CS"/>
            </w:rPr>
            <w:t>SN</w:t>
          </w:r>
          <w:r w:rsidRPr="00776930">
            <w:rPr>
              <w:rFonts w:ascii="Arial" w:hAnsi="Arial" w:cs="Arial"/>
              <w:caps/>
              <w:sz w:val="16"/>
              <w:szCs w:val="16"/>
            </w:rPr>
            <w:t>6</w:t>
          </w:r>
          <w:r w:rsidRPr="00776930">
            <w:rPr>
              <w:rFonts w:ascii="Arial" w:hAnsi="Arial" w:cs="Arial"/>
              <w:caps/>
              <w:sz w:val="16"/>
              <w:szCs w:val="16"/>
              <w:lang w:val="sr-Cyrl-CS"/>
            </w:rPr>
            <w:t xml:space="preserve">0 </w:t>
          </w:r>
          <w:r w:rsidR="007E7C63">
            <w:rPr>
              <w:rFonts w:ascii="Arial" w:hAnsi="Arial" w:cs="Arial"/>
              <w:caps/>
              <w:sz w:val="16"/>
              <w:szCs w:val="16"/>
            </w:rPr>
            <w:t>100720</w:t>
          </w:r>
        </w:p>
      </w:tc>
    </w:tr>
  </w:tbl>
  <w:p w14:paraId="7EC279C9" w14:textId="77777777" w:rsidR="00597742" w:rsidRPr="00776930" w:rsidRDefault="00597742">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insideH w:val="single" w:sz="4" w:space="0" w:color="auto"/>
      </w:tblBorders>
      <w:tblCellMar>
        <w:left w:w="28" w:type="dxa"/>
        <w:right w:w="28" w:type="dxa"/>
      </w:tblCellMar>
      <w:tblLook w:val="01E0" w:firstRow="1" w:lastRow="1" w:firstColumn="1" w:lastColumn="1" w:noHBand="0" w:noVBand="0"/>
    </w:tblPr>
    <w:tblGrid>
      <w:gridCol w:w="5135"/>
      <w:gridCol w:w="5126"/>
    </w:tblGrid>
    <w:tr w:rsidR="00597742" w:rsidRPr="00776930" w14:paraId="1723926A" w14:textId="77777777">
      <w:trPr>
        <w:jc w:val="center"/>
      </w:trPr>
      <w:tc>
        <w:tcPr>
          <w:tcW w:w="5210" w:type="dxa"/>
          <w:tcBorders>
            <w:bottom w:val="nil"/>
            <w:right w:val="nil"/>
          </w:tcBorders>
          <w:shd w:val="clear" w:color="auto" w:fill="auto"/>
        </w:tcPr>
        <w:p w14:paraId="43792858" w14:textId="4A4404B0" w:rsidR="00597742" w:rsidRPr="00776930" w:rsidRDefault="00597742" w:rsidP="007E7C63">
          <w:pPr>
            <w:spacing w:before="60"/>
            <w:rPr>
              <w:rFonts w:ascii="Arial" w:hAnsi="Arial" w:cs="Arial"/>
              <w:caps/>
              <w:sz w:val="16"/>
              <w:szCs w:val="16"/>
              <w:lang w:val="sr-Latn-CS"/>
            </w:rPr>
          </w:pPr>
          <w:r w:rsidRPr="00776930">
            <w:rPr>
              <w:rFonts w:ascii="Arial" w:hAnsi="Arial" w:cs="Arial"/>
              <w:caps/>
              <w:sz w:val="16"/>
              <w:szCs w:val="16"/>
            </w:rPr>
            <w:t>SER</w:t>
          </w:r>
          <w:r w:rsidRPr="006246A2">
            <w:rPr>
              <w:rFonts w:ascii="Arial" w:hAnsi="Arial" w:cs="Arial"/>
              <w:caps/>
              <w:sz w:val="16"/>
              <w:szCs w:val="16"/>
            </w:rPr>
            <w:t>B</w:t>
          </w:r>
          <w:r w:rsidR="007E7C63">
            <w:rPr>
              <w:rFonts w:ascii="Arial" w:hAnsi="Arial" w:cs="Arial"/>
              <w:caps/>
              <w:sz w:val="16"/>
              <w:szCs w:val="16"/>
            </w:rPr>
            <w:t>191</w:t>
          </w:r>
          <w:r w:rsidR="004F05A5">
            <w:rPr>
              <w:rFonts w:ascii="Arial" w:hAnsi="Arial" w:cs="Arial"/>
              <w:caps/>
              <w:sz w:val="16"/>
              <w:szCs w:val="16"/>
            </w:rPr>
            <w:t xml:space="preserve"> </w:t>
          </w:r>
          <w:r w:rsidRPr="00776930">
            <w:rPr>
              <w:rFonts w:ascii="Arial" w:hAnsi="Arial" w:cs="Arial"/>
              <w:caps/>
              <w:sz w:val="16"/>
              <w:szCs w:val="16"/>
              <w:lang w:val="sr-Latn-CS"/>
            </w:rPr>
            <w:t>SN</w:t>
          </w:r>
          <w:r w:rsidRPr="00776930">
            <w:rPr>
              <w:rFonts w:ascii="Arial" w:hAnsi="Arial" w:cs="Arial"/>
              <w:caps/>
              <w:sz w:val="16"/>
              <w:szCs w:val="16"/>
            </w:rPr>
            <w:t>6</w:t>
          </w:r>
          <w:r w:rsidRPr="00776930">
            <w:rPr>
              <w:rFonts w:ascii="Arial" w:hAnsi="Arial" w:cs="Arial"/>
              <w:caps/>
              <w:sz w:val="16"/>
              <w:szCs w:val="16"/>
              <w:lang w:val="sr-Cyrl-CS"/>
            </w:rPr>
            <w:t xml:space="preserve">0 </w:t>
          </w:r>
          <w:r w:rsidR="007E7C63">
            <w:rPr>
              <w:rFonts w:ascii="Arial" w:hAnsi="Arial" w:cs="Arial"/>
              <w:caps/>
              <w:sz w:val="16"/>
              <w:szCs w:val="16"/>
            </w:rPr>
            <w:t>100720</w:t>
          </w:r>
        </w:p>
      </w:tc>
      <w:tc>
        <w:tcPr>
          <w:tcW w:w="5211" w:type="dxa"/>
          <w:tcBorders>
            <w:left w:val="nil"/>
            <w:bottom w:val="nil"/>
          </w:tcBorders>
          <w:shd w:val="clear" w:color="auto" w:fill="auto"/>
        </w:tcPr>
        <w:p w14:paraId="1A0D9BED" w14:textId="226008FE" w:rsidR="00597742" w:rsidRPr="00776930" w:rsidRDefault="00E71BDC" w:rsidP="00776930">
          <w:pPr>
            <w:spacing w:before="60"/>
            <w:jc w:val="right"/>
            <w:rPr>
              <w:rFonts w:ascii="Arial" w:hAnsi="Arial" w:cs="Arial"/>
              <w:caps/>
              <w:sz w:val="16"/>
              <w:szCs w:val="16"/>
            </w:rPr>
          </w:pPr>
          <w:r w:rsidRPr="00776930">
            <w:rPr>
              <w:rFonts w:ascii="Arial" w:hAnsi="Arial" w:cs="Arial"/>
              <w:caps/>
              <w:sz w:val="16"/>
              <w:szCs w:val="16"/>
            </w:rPr>
            <w:fldChar w:fldCharType="begin"/>
          </w:r>
          <w:r w:rsidR="00597742" w:rsidRPr="00776930">
            <w:rPr>
              <w:rFonts w:ascii="Arial" w:hAnsi="Arial" w:cs="Arial"/>
              <w:caps/>
              <w:sz w:val="16"/>
              <w:szCs w:val="16"/>
            </w:rPr>
            <w:instrText xml:space="preserve"> PAGE </w:instrText>
          </w:r>
          <w:r w:rsidRPr="00776930">
            <w:rPr>
              <w:rFonts w:ascii="Arial" w:hAnsi="Arial" w:cs="Arial"/>
              <w:caps/>
              <w:sz w:val="16"/>
              <w:szCs w:val="16"/>
            </w:rPr>
            <w:fldChar w:fldCharType="separate"/>
          </w:r>
          <w:r w:rsidR="00F51480">
            <w:rPr>
              <w:rFonts w:ascii="Arial" w:hAnsi="Arial" w:cs="Arial"/>
              <w:caps/>
              <w:noProof/>
              <w:sz w:val="16"/>
              <w:szCs w:val="16"/>
            </w:rPr>
            <w:t>3</w:t>
          </w:r>
          <w:r w:rsidRPr="00776930">
            <w:rPr>
              <w:rFonts w:ascii="Arial" w:hAnsi="Arial" w:cs="Arial"/>
              <w:caps/>
              <w:sz w:val="16"/>
              <w:szCs w:val="16"/>
            </w:rPr>
            <w:fldChar w:fldCharType="end"/>
          </w:r>
        </w:p>
      </w:tc>
    </w:tr>
  </w:tbl>
  <w:p w14:paraId="4AB4B2A4" w14:textId="77777777" w:rsidR="00597742" w:rsidRPr="00776930" w:rsidRDefault="0059774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C1839" w14:textId="77777777" w:rsidR="00546503" w:rsidRDefault="00546503" w:rsidP="00776930">
      <w:r>
        <w:separator/>
      </w:r>
    </w:p>
  </w:footnote>
  <w:footnote w:type="continuationSeparator" w:id="0">
    <w:p w14:paraId="35C6E0BC" w14:textId="77777777" w:rsidR="00546503" w:rsidRDefault="00546503" w:rsidP="00776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37357"/>
    <w:multiLevelType w:val="hybridMultilevel"/>
    <w:tmpl w:val="B936D380"/>
    <w:lvl w:ilvl="0" w:tplc="102CECB0">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2BB91520"/>
    <w:multiLevelType w:val="hybridMultilevel"/>
    <w:tmpl w:val="1C9E5FD0"/>
    <w:lvl w:ilvl="0" w:tplc="1580262E">
      <w:start w:val="1"/>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7713E"/>
    <w:multiLevelType w:val="hybridMultilevel"/>
    <w:tmpl w:val="15BC10D4"/>
    <w:lvl w:ilvl="0" w:tplc="F0A80850">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 w15:restartNumberingAfterBreak="0">
    <w:nsid w:val="3B377F59"/>
    <w:multiLevelType w:val="hybridMultilevel"/>
    <w:tmpl w:val="E9CE1D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A5397"/>
    <w:multiLevelType w:val="hybridMultilevel"/>
    <w:tmpl w:val="D0EA228C"/>
    <w:lvl w:ilvl="0" w:tplc="3E465492">
      <w:start w:val="1"/>
      <w:numFmt w:val="decimal"/>
      <w:lvlText w:val="%1)"/>
      <w:lvlJc w:val="left"/>
      <w:pPr>
        <w:ind w:left="1080" w:hanging="360"/>
      </w:pPr>
      <w:rPr>
        <w:rFonts w:ascii="Arial" w:hAnsi="Arial" w:cs="Arial"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2C4BC6"/>
    <w:multiLevelType w:val="hybridMultilevel"/>
    <w:tmpl w:val="4E381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C7C96"/>
    <w:rsid w:val="00000805"/>
    <w:rsid w:val="000008BA"/>
    <w:rsid w:val="00004365"/>
    <w:rsid w:val="0000700D"/>
    <w:rsid w:val="00010172"/>
    <w:rsid w:val="000107F0"/>
    <w:rsid w:val="00017093"/>
    <w:rsid w:val="000267C0"/>
    <w:rsid w:val="00035998"/>
    <w:rsid w:val="000373EC"/>
    <w:rsid w:val="0004353B"/>
    <w:rsid w:val="00043DFD"/>
    <w:rsid w:val="00045CC8"/>
    <w:rsid w:val="00045E3B"/>
    <w:rsid w:val="00060A24"/>
    <w:rsid w:val="00061675"/>
    <w:rsid w:val="00061C1A"/>
    <w:rsid w:val="000636C3"/>
    <w:rsid w:val="00071670"/>
    <w:rsid w:val="0007512F"/>
    <w:rsid w:val="000959D1"/>
    <w:rsid w:val="00096983"/>
    <w:rsid w:val="000A4C39"/>
    <w:rsid w:val="000B04FE"/>
    <w:rsid w:val="000C207D"/>
    <w:rsid w:val="000C2867"/>
    <w:rsid w:val="000C4A1B"/>
    <w:rsid w:val="000C7C7E"/>
    <w:rsid w:val="000D4B6D"/>
    <w:rsid w:val="000E2730"/>
    <w:rsid w:val="000E5441"/>
    <w:rsid w:val="000E54D9"/>
    <w:rsid w:val="000E58C0"/>
    <w:rsid w:val="000E73AD"/>
    <w:rsid w:val="000F16CD"/>
    <w:rsid w:val="000F3311"/>
    <w:rsid w:val="000F6A5C"/>
    <w:rsid w:val="00125ECC"/>
    <w:rsid w:val="00135A39"/>
    <w:rsid w:val="00141968"/>
    <w:rsid w:val="00143486"/>
    <w:rsid w:val="001523C9"/>
    <w:rsid w:val="0016361C"/>
    <w:rsid w:val="0017640F"/>
    <w:rsid w:val="00177A00"/>
    <w:rsid w:val="00177B87"/>
    <w:rsid w:val="00180DDF"/>
    <w:rsid w:val="00187818"/>
    <w:rsid w:val="001971D0"/>
    <w:rsid w:val="001A0F1D"/>
    <w:rsid w:val="001A33DC"/>
    <w:rsid w:val="001A3471"/>
    <w:rsid w:val="001B55CE"/>
    <w:rsid w:val="001B7BD4"/>
    <w:rsid w:val="001D0C6E"/>
    <w:rsid w:val="001E3381"/>
    <w:rsid w:val="001E4F44"/>
    <w:rsid w:val="001E7FE5"/>
    <w:rsid w:val="001F66C6"/>
    <w:rsid w:val="0021518F"/>
    <w:rsid w:val="002167C8"/>
    <w:rsid w:val="0022026E"/>
    <w:rsid w:val="00221144"/>
    <w:rsid w:val="00230572"/>
    <w:rsid w:val="0023455C"/>
    <w:rsid w:val="00243DB4"/>
    <w:rsid w:val="00257288"/>
    <w:rsid w:val="0027112C"/>
    <w:rsid w:val="0028385F"/>
    <w:rsid w:val="0029409E"/>
    <w:rsid w:val="002A1DB1"/>
    <w:rsid w:val="002A2706"/>
    <w:rsid w:val="002A34AC"/>
    <w:rsid w:val="002B5E00"/>
    <w:rsid w:val="002D1FE0"/>
    <w:rsid w:val="002D3948"/>
    <w:rsid w:val="002F10EC"/>
    <w:rsid w:val="002F2306"/>
    <w:rsid w:val="002F323F"/>
    <w:rsid w:val="002F385C"/>
    <w:rsid w:val="0031000F"/>
    <w:rsid w:val="003141F9"/>
    <w:rsid w:val="003226E9"/>
    <w:rsid w:val="00327DCE"/>
    <w:rsid w:val="00330218"/>
    <w:rsid w:val="00334A74"/>
    <w:rsid w:val="003439BE"/>
    <w:rsid w:val="00347576"/>
    <w:rsid w:val="00347D13"/>
    <w:rsid w:val="0035786D"/>
    <w:rsid w:val="00364BB8"/>
    <w:rsid w:val="00371046"/>
    <w:rsid w:val="00382F5A"/>
    <w:rsid w:val="00385D8D"/>
    <w:rsid w:val="00391071"/>
    <w:rsid w:val="003945B1"/>
    <w:rsid w:val="00395479"/>
    <w:rsid w:val="003A220C"/>
    <w:rsid w:val="003A287B"/>
    <w:rsid w:val="003A514F"/>
    <w:rsid w:val="003B005F"/>
    <w:rsid w:val="003B0C67"/>
    <w:rsid w:val="003B2B27"/>
    <w:rsid w:val="003B785B"/>
    <w:rsid w:val="003C23C1"/>
    <w:rsid w:val="003C522B"/>
    <w:rsid w:val="003D0037"/>
    <w:rsid w:val="003E66D4"/>
    <w:rsid w:val="003E68CA"/>
    <w:rsid w:val="003E7822"/>
    <w:rsid w:val="003F0C0B"/>
    <w:rsid w:val="003F2F8E"/>
    <w:rsid w:val="003F356F"/>
    <w:rsid w:val="003F4312"/>
    <w:rsid w:val="004130E9"/>
    <w:rsid w:val="00414143"/>
    <w:rsid w:val="00422110"/>
    <w:rsid w:val="004222E6"/>
    <w:rsid w:val="00423F6B"/>
    <w:rsid w:val="0042562F"/>
    <w:rsid w:val="00426F9E"/>
    <w:rsid w:val="004348B2"/>
    <w:rsid w:val="0043636E"/>
    <w:rsid w:val="00442AD1"/>
    <w:rsid w:val="0044344C"/>
    <w:rsid w:val="00461C63"/>
    <w:rsid w:val="00480E02"/>
    <w:rsid w:val="00481F9A"/>
    <w:rsid w:val="00482542"/>
    <w:rsid w:val="004874AF"/>
    <w:rsid w:val="004878DB"/>
    <w:rsid w:val="004963C3"/>
    <w:rsid w:val="004B0178"/>
    <w:rsid w:val="004B1EA9"/>
    <w:rsid w:val="004D24D1"/>
    <w:rsid w:val="004D2D8E"/>
    <w:rsid w:val="004D3900"/>
    <w:rsid w:val="004E1CE0"/>
    <w:rsid w:val="004E28DB"/>
    <w:rsid w:val="004E2D14"/>
    <w:rsid w:val="004E5313"/>
    <w:rsid w:val="004F05A5"/>
    <w:rsid w:val="004F44DC"/>
    <w:rsid w:val="0050052F"/>
    <w:rsid w:val="005126A0"/>
    <w:rsid w:val="00512835"/>
    <w:rsid w:val="00516D84"/>
    <w:rsid w:val="00517E1A"/>
    <w:rsid w:val="00523A1C"/>
    <w:rsid w:val="00530C55"/>
    <w:rsid w:val="00536C51"/>
    <w:rsid w:val="0054059A"/>
    <w:rsid w:val="00541DDC"/>
    <w:rsid w:val="00546503"/>
    <w:rsid w:val="00557DD7"/>
    <w:rsid w:val="005810BC"/>
    <w:rsid w:val="00582E38"/>
    <w:rsid w:val="00582EC9"/>
    <w:rsid w:val="00583D17"/>
    <w:rsid w:val="00596627"/>
    <w:rsid w:val="00597742"/>
    <w:rsid w:val="005A7BA5"/>
    <w:rsid w:val="005B4BF6"/>
    <w:rsid w:val="005B7EB4"/>
    <w:rsid w:val="005C6D13"/>
    <w:rsid w:val="005D1AE6"/>
    <w:rsid w:val="005D2394"/>
    <w:rsid w:val="005E51D9"/>
    <w:rsid w:val="006009B6"/>
    <w:rsid w:val="006064B9"/>
    <w:rsid w:val="0061065E"/>
    <w:rsid w:val="00622073"/>
    <w:rsid w:val="006246A2"/>
    <w:rsid w:val="00626931"/>
    <w:rsid w:val="00634BEF"/>
    <w:rsid w:val="00635EBA"/>
    <w:rsid w:val="00636E82"/>
    <w:rsid w:val="00644DBA"/>
    <w:rsid w:val="00656299"/>
    <w:rsid w:val="00664E6B"/>
    <w:rsid w:val="00666F5B"/>
    <w:rsid w:val="00667238"/>
    <w:rsid w:val="0067095E"/>
    <w:rsid w:val="0067490B"/>
    <w:rsid w:val="00676256"/>
    <w:rsid w:val="00682354"/>
    <w:rsid w:val="0068387E"/>
    <w:rsid w:val="006849A5"/>
    <w:rsid w:val="006879B4"/>
    <w:rsid w:val="00691057"/>
    <w:rsid w:val="00693ABD"/>
    <w:rsid w:val="00695628"/>
    <w:rsid w:val="006A0D51"/>
    <w:rsid w:val="006B17AE"/>
    <w:rsid w:val="006D372F"/>
    <w:rsid w:val="006D3F09"/>
    <w:rsid w:val="006D62D1"/>
    <w:rsid w:val="006E28AB"/>
    <w:rsid w:val="006E373B"/>
    <w:rsid w:val="006F2B4B"/>
    <w:rsid w:val="0070380F"/>
    <w:rsid w:val="007051C2"/>
    <w:rsid w:val="007342FE"/>
    <w:rsid w:val="00746849"/>
    <w:rsid w:val="00762B7D"/>
    <w:rsid w:val="007708E3"/>
    <w:rsid w:val="00776930"/>
    <w:rsid w:val="00780432"/>
    <w:rsid w:val="00784D37"/>
    <w:rsid w:val="0078695B"/>
    <w:rsid w:val="00791A29"/>
    <w:rsid w:val="00795C5A"/>
    <w:rsid w:val="00796F6D"/>
    <w:rsid w:val="0079726C"/>
    <w:rsid w:val="00797734"/>
    <w:rsid w:val="007B3290"/>
    <w:rsid w:val="007B44C6"/>
    <w:rsid w:val="007B6F2F"/>
    <w:rsid w:val="007D42C1"/>
    <w:rsid w:val="007D6610"/>
    <w:rsid w:val="007D6D98"/>
    <w:rsid w:val="007D7A77"/>
    <w:rsid w:val="007E713A"/>
    <w:rsid w:val="007E7C63"/>
    <w:rsid w:val="007F1731"/>
    <w:rsid w:val="007F2A97"/>
    <w:rsid w:val="00830017"/>
    <w:rsid w:val="0084769F"/>
    <w:rsid w:val="00847B97"/>
    <w:rsid w:val="008507C0"/>
    <w:rsid w:val="00877394"/>
    <w:rsid w:val="00881DC4"/>
    <w:rsid w:val="00894348"/>
    <w:rsid w:val="00895996"/>
    <w:rsid w:val="008A30C2"/>
    <w:rsid w:val="008A397F"/>
    <w:rsid w:val="008B045C"/>
    <w:rsid w:val="008B15B3"/>
    <w:rsid w:val="008B2D68"/>
    <w:rsid w:val="008B50E6"/>
    <w:rsid w:val="008C1F73"/>
    <w:rsid w:val="008C71BC"/>
    <w:rsid w:val="008C77FC"/>
    <w:rsid w:val="008D02A7"/>
    <w:rsid w:val="008D2F46"/>
    <w:rsid w:val="008F79D3"/>
    <w:rsid w:val="0091025B"/>
    <w:rsid w:val="00913112"/>
    <w:rsid w:val="00932099"/>
    <w:rsid w:val="00941869"/>
    <w:rsid w:val="0094408B"/>
    <w:rsid w:val="009506FE"/>
    <w:rsid w:val="00950E7A"/>
    <w:rsid w:val="009534E1"/>
    <w:rsid w:val="00955671"/>
    <w:rsid w:val="00955674"/>
    <w:rsid w:val="00962DC4"/>
    <w:rsid w:val="00971DFC"/>
    <w:rsid w:val="009860FC"/>
    <w:rsid w:val="00986D4C"/>
    <w:rsid w:val="0098709C"/>
    <w:rsid w:val="00991B17"/>
    <w:rsid w:val="00992B33"/>
    <w:rsid w:val="009A042B"/>
    <w:rsid w:val="009A153F"/>
    <w:rsid w:val="009B115E"/>
    <w:rsid w:val="009B71B2"/>
    <w:rsid w:val="009D0A9E"/>
    <w:rsid w:val="009D3BC4"/>
    <w:rsid w:val="009D49C5"/>
    <w:rsid w:val="009E3C53"/>
    <w:rsid w:val="009E3E67"/>
    <w:rsid w:val="00A069D5"/>
    <w:rsid w:val="00A10688"/>
    <w:rsid w:val="00A1191C"/>
    <w:rsid w:val="00A24056"/>
    <w:rsid w:val="00A257C3"/>
    <w:rsid w:val="00A32F68"/>
    <w:rsid w:val="00A41F66"/>
    <w:rsid w:val="00A46E59"/>
    <w:rsid w:val="00A52103"/>
    <w:rsid w:val="00A54BEE"/>
    <w:rsid w:val="00A5641B"/>
    <w:rsid w:val="00A57319"/>
    <w:rsid w:val="00A605BF"/>
    <w:rsid w:val="00A758FA"/>
    <w:rsid w:val="00A83EC4"/>
    <w:rsid w:val="00A875CB"/>
    <w:rsid w:val="00A87FCC"/>
    <w:rsid w:val="00A96CCE"/>
    <w:rsid w:val="00AB4470"/>
    <w:rsid w:val="00AB5F03"/>
    <w:rsid w:val="00AC3CA9"/>
    <w:rsid w:val="00AD0A29"/>
    <w:rsid w:val="00AD70F5"/>
    <w:rsid w:val="00AE0A9D"/>
    <w:rsid w:val="00AE24A5"/>
    <w:rsid w:val="00AE3DEA"/>
    <w:rsid w:val="00AE5912"/>
    <w:rsid w:val="00B02CC3"/>
    <w:rsid w:val="00B14E14"/>
    <w:rsid w:val="00B17922"/>
    <w:rsid w:val="00B20D72"/>
    <w:rsid w:val="00B33F1C"/>
    <w:rsid w:val="00B34542"/>
    <w:rsid w:val="00B351AB"/>
    <w:rsid w:val="00B36C8C"/>
    <w:rsid w:val="00B401C9"/>
    <w:rsid w:val="00B4034D"/>
    <w:rsid w:val="00B431E5"/>
    <w:rsid w:val="00B437C8"/>
    <w:rsid w:val="00B43AB2"/>
    <w:rsid w:val="00B45B0D"/>
    <w:rsid w:val="00B503BA"/>
    <w:rsid w:val="00B51CE7"/>
    <w:rsid w:val="00B52B56"/>
    <w:rsid w:val="00B549B7"/>
    <w:rsid w:val="00B63CC8"/>
    <w:rsid w:val="00B65E18"/>
    <w:rsid w:val="00B7240C"/>
    <w:rsid w:val="00B724AB"/>
    <w:rsid w:val="00B72EAD"/>
    <w:rsid w:val="00B77E4E"/>
    <w:rsid w:val="00B82480"/>
    <w:rsid w:val="00B82D9D"/>
    <w:rsid w:val="00B8364B"/>
    <w:rsid w:val="00B91502"/>
    <w:rsid w:val="00B94FB5"/>
    <w:rsid w:val="00BA01DE"/>
    <w:rsid w:val="00BA0634"/>
    <w:rsid w:val="00BB4E89"/>
    <w:rsid w:val="00BC629F"/>
    <w:rsid w:val="00BC6A2D"/>
    <w:rsid w:val="00BD5BAB"/>
    <w:rsid w:val="00BE39A5"/>
    <w:rsid w:val="00BF1F09"/>
    <w:rsid w:val="00BF2586"/>
    <w:rsid w:val="00BF3681"/>
    <w:rsid w:val="00BF4D82"/>
    <w:rsid w:val="00C17878"/>
    <w:rsid w:val="00C2548D"/>
    <w:rsid w:val="00C3342F"/>
    <w:rsid w:val="00C366BE"/>
    <w:rsid w:val="00C650D5"/>
    <w:rsid w:val="00C714BF"/>
    <w:rsid w:val="00C90AC8"/>
    <w:rsid w:val="00C9388B"/>
    <w:rsid w:val="00C93FB5"/>
    <w:rsid w:val="00C950CD"/>
    <w:rsid w:val="00CA3604"/>
    <w:rsid w:val="00CA41CB"/>
    <w:rsid w:val="00CA5FD1"/>
    <w:rsid w:val="00CB44FE"/>
    <w:rsid w:val="00CB797E"/>
    <w:rsid w:val="00CC3A80"/>
    <w:rsid w:val="00CE0792"/>
    <w:rsid w:val="00CF17C2"/>
    <w:rsid w:val="00CF6D3E"/>
    <w:rsid w:val="00CF7B06"/>
    <w:rsid w:val="00D01300"/>
    <w:rsid w:val="00D017DD"/>
    <w:rsid w:val="00D01D13"/>
    <w:rsid w:val="00D02D63"/>
    <w:rsid w:val="00D11E7A"/>
    <w:rsid w:val="00D16550"/>
    <w:rsid w:val="00D17DB6"/>
    <w:rsid w:val="00D27C1D"/>
    <w:rsid w:val="00D31289"/>
    <w:rsid w:val="00D362E1"/>
    <w:rsid w:val="00D43461"/>
    <w:rsid w:val="00D52D45"/>
    <w:rsid w:val="00D56505"/>
    <w:rsid w:val="00D57255"/>
    <w:rsid w:val="00D62C6F"/>
    <w:rsid w:val="00D6445B"/>
    <w:rsid w:val="00D850AE"/>
    <w:rsid w:val="00D85412"/>
    <w:rsid w:val="00D93CD4"/>
    <w:rsid w:val="00D95EAE"/>
    <w:rsid w:val="00DA1411"/>
    <w:rsid w:val="00DA7BBE"/>
    <w:rsid w:val="00DB4CC7"/>
    <w:rsid w:val="00DB7086"/>
    <w:rsid w:val="00DC6211"/>
    <w:rsid w:val="00DD0176"/>
    <w:rsid w:val="00DD068B"/>
    <w:rsid w:val="00DD1986"/>
    <w:rsid w:val="00DE331E"/>
    <w:rsid w:val="00DE698C"/>
    <w:rsid w:val="00DF0D14"/>
    <w:rsid w:val="00DF12BA"/>
    <w:rsid w:val="00DF70CC"/>
    <w:rsid w:val="00E11CA8"/>
    <w:rsid w:val="00E23526"/>
    <w:rsid w:val="00E26663"/>
    <w:rsid w:val="00E363C6"/>
    <w:rsid w:val="00E403E0"/>
    <w:rsid w:val="00E431AD"/>
    <w:rsid w:val="00E47A00"/>
    <w:rsid w:val="00E51B93"/>
    <w:rsid w:val="00E622A6"/>
    <w:rsid w:val="00E66349"/>
    <w:rsid w:val="00E66592"/>
    <w:rsid w:val="00E719E6"/>
    <w:rsid w:val="00E71BDC"/>
    <w:rsid w:val="00E749A5"/>
    <w:rsid w:val="00E859EC"/>
    <w:rsid w:val="00E85C4E"/>
    <w:rsid w:val="00E9477B"/>
    <w:rsid w:val="00EA5BDA"/>
    <w:rsid w:val="00EA5C3B"/>
    <w:rsid w:val="00EB5F20"/>
    <w:rsid w:val="00EB71C6"/>
    <w:rsid w:val="00EC1777"/>
    <w:rsid w:val="00EC55FD"/>
    <w:rsid w:val="00EC7C96"/>
    <w:rsid w:val="00ED6835"/>
    <w:rsid w:val="00EE10B2"/>
    <w:rsid w:val="00EE5E12"/>
    <w:rsid w:val="00EF3698"/>
    <w:rsid w:val="00F05276"/>
    <w:rsid w:val="00F14210"/>
    <w:rsid w:val="00F20C75"/>
    <w:rsid w:val="00F231BB"/>
    <w:rsid w:val="00F244FC"/>
    <w:rsid w:val="00F36C92"/>
    <w:rsid w:val="00F51480"/>
    <w:rsid w:val="00F633A5"/>
    <w:rsid w:val="00F67932"/>
    <w:rsid w:val="00F7116C"/>
    <w:rsid w:val="00F768BC"/>
    <w:rsid w:val="00F84717"/>
    <w:rsid w:val="00FA0D26"/>
    <w:rsid w:val="00FA2B0F"/>
    <w:rsid w:val="00FB65AA"/>
    <w:rsid w:val="00FB6D31"/>
    <w:rsid w:val="00FC0148"/>
    <w:rsid w:val="00FC2CE7"/>
    <w:rsid w:val="00FC3E33"/>
    <w:rsid w:val="00FD6C6C"/>
    <w:rsid w:val="00FE0A6C"/>
    <w:rsid w:val="00FE105F"/>
    <w:rsid w:val="00FE356C"/>
    <w:rsid w:val="00FE4D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4097"/>
    <o:shapelayout v:ext="edit">
      <o:idmap v:ext="edit" data="1"/>
    </o:shapelayout>
  </w:shapeDefaults>
  <w:decimalSymbol w:val="."/>
  <w:listSeparator w:val=","/>
  <w14:docId w14:val="5A1ACA50"/>
  <w15:docId w15:val="{E5680AA1-B973-4DB3-ADA6-995FB56C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D14"/>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
    <w:name w:val="Car Car"/>
    <w:basedOn w:val="Normal"/>
    <w:rsid w:val="00E719E6"/>
    <w:pPr>
      <w:spacing w:after="160" w:line="240" w:lineRule="exact"/>
    </w:pPr>
    <w:rPr>
      <w:rFonts w:ascii="Verdana" w:hAnsi="Verdana"/>
      <w:i/>
      <w:sz w:val="20"/>
      <w:szCs w:val="20"/>
    </w:rPr>
  </w:style>
  <w:style w:type="character" w:styleId="Hyperlink">
    <w:name w:val="Hyperlink"/>
    <w:uiPriority w:val="99"/>
    <w:rsid w:val="00E719E6"/>
    <w:rPr>
      <w:color w:val="0000FF"/>
      <w:u w:val="single"/>
    </w:rPr>
  </w:style>
  <w:style w:type="character" w:styleId="FollowedHyperlink">
    <w:name w:val="FollowedHyperlink"/>
    <w:uiPriority w:val="99"/>
    <w:unhideWhenUsed/>
    <w:rsid w:val="009506FE"/>
    <w:rPr>
      <w:color w:val="800080"/>
      <w:u w:val="single"/>
    </w:rPr>
  </w:style>
  <w:style w:type="paragraph" w:styleId="BalloonText">
    <w:name w:val="Balloon Text"/>
    <w:basedOn w:val="Normal"/>
    <w:link w:val="BalloonTextChar"/>
    <w:rsid w:val="00BE39A5"/>
    <w:rPr>
      <w:rFonts w:ascii="Tahoma" w:hAnsi="Tahoma" w:cs="Tahoma"/>
      <w:sz w:val="16"/>
      <w:szCs w:val="16"/>
    </w:rPr>
  </w:style>
  <w:style w:type="character" w:customStyle="1" w:styleId="BalloonTextChar">
    <w:name w:val="Balloon Text Char"/>
    <w:link w:val="BalloonText"/>
    <w:rsid w:val="00BE39A5"/>
    <w:rPr>
      <w:rFonts w:ascii="Tahoma" w:hAnsi="Tahoma" w:cs="Tahoma"/>
      <w:sz w:val="16"/>
      <w:szCs w:val="16"/>
    </w:rPr>
  </w:style>
  <w:style w:type="table" w:styleId="TableGrid">
    <w:name w:val="Table Grid"/>
    <w:basedOn w:val="TableNormal"/>
    <w:rsid w:val="00D17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F36C92"/>
    <w:pPr>
      <w:spacing w:after="160" w:line="240" w:lineRule="exact"/>
    </w:pPr>
    <w:rPr>
      <w:rFonts w:ascii="Verdana" w:hAnsi="Verdana"/>
      <w:i/>
      <w:sz w:val="20"/>
      <w:szCs w:val="20"/>
    </w:rPr>
  </w:style>
  <w:style w:type="paragraph" w:styleId="Header">
    <w:name w:val="header"/>
    <w:basedOn w:val="Normal"/>
    <w:link w:val="HeaderChar"/>
    <w:rsid w:val="00776930"/>
    <w:pPr>
      <w:tabs>
        <w:tab w:val="center" w:pos="4680"/>
        <w:tab w:val="right" w:pos="9360"/>
      </w:tabs>
    </w:pPr>
  </w:style>
  <w:style w:type="character" w:customStyle="1" w:styleId="HeaderChar">
    <w:name w:val="Header Char"/>
    <w:link w:val="Header"/>
    <w:rsid w:val="00776930"/>
    <w:rPr>
      <w:sz w:val="24"/>
      <w:szCs w:val="24"/>
    </w:rPr>
  </w:style>
  <w:style w:type="paragraph" w:styleId="Footer">
    <w:name w:val="footer"/>
    <w:basedOn w:val="Normal"/>
    <w:link w:val="FooterChar"/>
    <w:uiPriority w:val="99"/>
    <w:rsid w:val="00776930"/>
    <w:pPr>
      <w:tabs>
        <w:tab w:val="center" w:pos="4680"/>
        <w:tab w:val="right" w:pos="9360"/>
      </w:tabs>
    </w:pPr>
  </w:style>
  <w:style w:type="character" w:customStyle="1" w:styleId="FooterChar">
    <w:name w:val="Footer Char"/>
    <w:link w:val="Footer"/>
    <w:uiPriority w:val="99"/>
    <w:rsid w:val="00776930"/>
    <w:rPr>
      <w:sz w:val="24"/>
      <w:szCs w:val="24"/>
    </w:rPr>
  </w:style>
  <w:style w:type="character" w:styleId="SubtleEmphasis">
    <w:name w:val="Subtle Emphasis"/>
    <w:uiPriority w:val="19"/>
    <w:qFormat/>
    <w:rsid w:val="00B437C8"/>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9477">
      <w:bodyDiv w:val="1"/>
      <w:marLeft w:val="0"/>
      <w:marRight w:val="0"/>
      <w:marTop w:val="0"/>
      <w:marBottom w:val="0"/>
      <w:divBdr>
        <w:top w:val="none" w:sz="0" w:space="0" w:color="auto"/>
        <w:left w:val="none" w:sz="0" w:space="0" w:color="auto"/>
        <w:bottom w:val="none" w:sz="0" w:space="0" w:color="auto"/>
        <w:right w:val="none" w:sz="0" w:space="0" w:color="auto"/>
      </w:divBdr>
    </w:div>
    <w:div w:id="51738947">
      <w:bodyDiv w:val="1"/>
      <w:marLeft w:val="0"/>
      <w:marRight w:val="0"/>
      <w:marTop w:val="0"/>
      <w:marBottom w:val="0"/>
      <w:divBdr>
        <w:top w:val="none" w:sz="0" w:space="0" w:color="auto"/>
        <w:left w:val="none" w:sz="0" w:space="0" w:color="auto"/>
        <w:bottom w:val="none" w:sz="0" w:space="0" w:color="auto"/>
        <w:right w:val="none" w:sz="0" w:space="0" w:color="auto"/>
      </w:divBdr>
    </w:div>
    <w:div w:id="488057036">
      <w:bodyDiv w:val="1"/>
      <w:marLeft w:val="0"/>
      <w:marRight w:val="0"/>
      <w:marTop w:val="0"/>
      <w:marBottom w:val="0"/>
      <w:divBdr>
        <w:top w:val="none" w:sz="0" w:space="0" w:color="auto"/>
        <w:left w:val="none" w:sz="0" w:space="0" w:color="auto"/>
        <w:bottom w:val="none" w:sz="0" w:space="0" w:color="auto"/>
        <w:right w:val="none" w:sz="0" w:space="0" w:color="auto"/>
      </w:divBdr>
    </w:div>
    <w:div w:id="535192305">
      <w:bodyDiv w:val="1"/>
      <w:marLeft w:val="0"/>
      <w:marRight w:val="0"/>
      <w:marTop w:val="0"/>
      <w:marBottom w:val="0"/>
      <w:divBdr>
        <w:top w:val="none" w:sz="0" w:space="0" w:color="auto"/>
        <w:left w:val="none" w:sz="0" w:space="0" w:color="auto"/>
        <w:bottom w:val="none" w:sz="0" w:space="0" w:color="auto"/>
        <w:right w:val="none" w:sz="0" w:space="0" w:color="auto"/>
      </w:divBdr>
    </w:div>
    <w:div w:id="543061814">
      <w:bodyDiv w:val="1"/>
      <w:marLeft w:val="0"/>
      <w:marRight w:val="0"/>
      <w:marTop w:val="0"/>
      <w:marBottom w:val="0"/>
      <w:divBdr>
        <w:top w:val="none" w:sz="0" w:space="0" w:color="auto"/>
        <w:left w:val="none" w:sz="0" w:space="0" w:color="auto"/>
        <w:bottom w:val="none" w:sz="0" w:space="0" w:color="auto"/>
        <w:right w:val="none" w:sz="0" w:space="0" w:color="auto"/>
      </w:divBdr>
    </w:div>
    <w:div w:id="659694590">
      <w:bodyDiv w:val="1"/>
      <w:marLeft w:val="0"/>
      <w:marRight w:val="0"/>
      <w:marTop w:val="0"/>
      <w:marBottom w:val="0"/>
      <w:divBdr>
        <w:top w:val="none" w:sz="0" w:space="0" w:color="auto"/>
        <w:left w:val="none" w:sz="0" w:space="0" w:color="auto"/>
        <w:bottom w:val="none" w:sz="0" w:space="0" w:color="auto"/>
        <w:right w:val="none" w:sz="0" w:space="0" w:color="auto"/>
      </w:divBdr>
    </w:div>
    <w:div w:id="1014646419">
      <w:bodyDiv w:val="1"/>
      <w:marLeft w:val="0"/>
      <w:marRight w:val="0"/>
      <w:marTop w:val="0"/>
      <w:marBottom w:val="0"/>
      <w:divBdr>
        <w:top w:val="none" w:sz="0" w:space="0" w:color="auto"/>
        <w:left w:val="none" w:sz="0" w:space="0" w:color="auto"/>
        <w:bottom w:val="none" w:sz="0" w:space="0" w:color="auto"/>
        <w:right w:val="none" w:sz="0" w:space="0" w:color="auto"/>
      </w:divBdr>
    </w:div>
    <w:div w:id="1476290320">
      <w:bodyDiv w:val="1"/>
      <w:marLeft w:val="0"/>
      <w:marRight w:val="0"/>
      <w:marTop w:val="0"/>
      <w:marBottom w:val="0"/>
      <w:divBdr>
        <w:top w:val="none" w:sz="0" w:space="0" w:color="auto"/>
        <w:left w:val="none" w:sz="0" w:space="0" w:color="auto"/>
        <w:bottom w:val="none" w:sz="0" w:space="0" w:color="auto"/>
        <w:right w:val="none" w:sz="0" w:space="0" w:color="auto"/>
      </w:divBdr>
    </w:div>
    <w:div w:id="1543398319">
      <w:bodyDiv w:val="1"/>
      <w:marLeft w:val="0"/>
      <w:marRight w:val="0"/>
      <w:marTop w:val="0"/>
      <w:marBottom w:val="0"/>
      <w:divBdr>
        <w:top w:val="none" w:sz="0" w:space="0" w:color="auto"/>
        <w:left w:val="none" w:sz="0" w:space="0" w:color="auto"/>
        <w:bottom w:val="none" w:sz="0" w:space="0" w:color="auto"/>
        <w:right w:val="none" w:sz="0" w:space="0" w:color="auto"/>
      </w:divBdr>
    </w:div>
    <w:div w:id="181718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dana.bjelobrk@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RZS\Saopstenja\Stanovnistvo\Sn-60\2020\SN-60-20-E-grafikon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Tabelle7!$A$4</c:f>
              <c:strCache>
                <c:ptCount val="1"/>
                <c:pt idx="0">
                  <c:v>Male</c:v>
                </c:pt>
              </c:strCache>
            </c:strRef>
          </c:tx>
          <c:spPr>
            <a:solidFill>
              <a:srgbClr val="4BACC6">
                <a:lumMod val="50000"/>
              </a:srgbClr>
            </a:solidFill>
            <a:ln>
              <a:noFill/>
            </a:ln>
            <a:effectLst/>
          </c:spPr>
          <c:invertIfNegative val="0"/>
          <c:cat>
            <c:strRef>
              <c:f>Tabelle7!$B$2:$J$2</c:f>
              <c:strCache>
                <c:ptCount val="9"/>
                <c:pt idx="0">
                  <c:v>0-4</c:v>
                </c:pt>
                <c:pt idx="1">
                  <c:v> 5-9</c:v>
                </c:pt>
                <c:pt idx="2">
                  <c:v> 10-14</c:v>
                </c:pt>
                <c:pt idx="3">
                  <c:v>15-24</c:v>
                </c:pt>
                <c:pt idx="4">
                  <c:v>25-34</c:v>
                </c:pt>
                <c:pt idx="5">
                  <c:v>35-44</c:v>
                </c:pt>
                <c:pt idx="6">
                  <c:v>45-54</c:v>
                </c:pt>
                <c:pt idx="7">
                  <c:v>55-64</c:v>
                </c:pt>
                <c:pt idx="8">
                  <c:v>65
and more
years</c:v>
                </c:pt>
              </c:strCache>
            </c:strRef>
          </c:cat>
          <c:val>
            <c:numRef>
              <c:f>Tabelle7!$B$4:$J$4</c:f>
              <c:numCache>
                <c:formatCode>General</c:formatCode>
                <c:ptCount val="9"/>
                <c:pt idx="0">
                  <c:v>3954</c:v>
                </c:pt>
                <c:pt idx="1">
                  <c:v>3100</c:v>
                </c:pt>
                <c:pt idx="2">
                  <c:v>2042</c:v>
                </c:pt>
                <c:pt idx="3">
                  <c:v>7314</c:v>
                </c:pt>
                <c:pt idx="4" formatCode="0">
                  <c:v>13403</c:v>
                </c:pt>
                <c:pt idx="5">
                  <c:v>11091</c:v>
                </c:pt>
                <c:pt idx="6">
                  <c:v>6624</c:v>
                </c:pt>
                <c:pt idx="7">
                  <c:v>5030</c:v>
                </c:pt>
                <c:pt idx="8">
                  <c:v>4827</c:v>
                </c:pt>
              </c:numCache>
            </c:numRef>
          </c:val>
          <c:extLst>
            <c:ext xmlns:c16="http://schemas.microsoft.com/office/drawing/2014/chart" uri="{C3380CC4-5D6E-409C-BE32-E72D297353CC}">
              <c16:uniqueId val="{00000000-FEB1-46DA-B0D3-0E5E08E434DD}"/>
            </c:ext>
          </c:extLst>
        </c:ser>
        <c:ser>
          <c:idx val="2"/>
          <c:order val="2"/>
          <c:tx>
            <c:strRef>
              <c:f>Tabelle7!$A$5</c:f>
              <c:strCache>
                <c:ptCount val="1"/>
                <c:pt idx="0">
                  <c:v>Female</c:v>
                </c:pt>
              </c:strCache>
            </c:strRef>
          </c:tx>
          <c:spPr>
            <a:solidFill>
              <a:schemeClr val="accent2">
                <a:lumMod val="60000"/>
                <a:lumOff val="40000"/>
              </a:schemeClr>
            </a:solidFill>
            <a:ln>
              <a:noFill/>
            </a:ln>
            <a:effectLst/>
          </c:spPr>
          <c:invertIfNegative val="0"/>
          <c:cat>
            <c:strRef>
              <c:f>Tabelle7!$B$2:$J$2</c:f>
              <c:strCache>
                <c:ptCount val="9"/>
                <c:pt idx="0">
                  <c:v>0-4</c:v>
                </c:pt>
                <c:pt idx="1">
                  <c:v> 5-9</c:v>
                </c:pt>
                <c:pt idx="2">
                  <c:v> 10-14</c:v>
                </c:pt>
                <c:pt idx="3">
                  <c:v>15-24</c:v>
                </c:pt>
                <c:pt idx="4">
                  <c:v>25-34</c:v>
                </c:pt>
                <c:pt idx="5">
                  <c:v>35-44</c:v>
                </c:pt>
                <c:pt idx="6">
                  <c:v>45-54</c:v>
                </c:pt>
                <c:pt idx="7">
                  <c:v>55-64</c:v>
                </c:pt>
                <c:pt idx="8">
                  <c:v>65
and more
years</c:v>
                </c:pt>
              </c:strCache>
            </c:strRef>
          </c:cat>
          <c:val>
            <c:numRef>
              <c:f>Tabelle7!$B$5:$J$5</c:f>
              <c:numCache>
                <c:formatCode>General</c:formatCode>
                <c:ptCount val="9"/>
                <c:pt idx="0">
                  <c:v>3782</c:v>
                </c:pt>
                <c:pt idx="1">
                  <c:v>2984</c:v>
                </c:pt>
                <c:pt idx="2">
                  <c:v>1990</c:v>
                </c:pt>
                <c:pt idx="3">
                  <c:v>11258</c:v>
                </c:pt>
                <c:pt idx="4" formatCode="0">
                  <c:v>21167</c:v>
                </c:pt>
                <c:pt idx="5">
                  <c:v>11765</c:v>
                </c:pt>
                <c:pt idx="6">
                  <c:v>6532</c:v>
                </c:pt>
                <c:pt idx="7">
                  <c:v>5306</c:v>
                </c:pt>
                <c:pt idx="8">
                  <c:v>5252</c:v>
                </c:pt>
              </c:numCache>
            </c:numRef>
          </c:val>
          <c:extLst>
            <c:ext xmlns:c16="http://schemas.microsoft.com/office/drawing/2014/chart" uri="{C3380CC4-5D6E-409C-BE32-E72D297353CC}">
              <c16:uniqueId val="{00000001-FEB1-46DA-B0D3-0E5E08E434DD}"/>
            </c:ext>
          </c:extLst>
        </c:ser>
        <c:dLbls>
          <c:showLegendKey val="0"/>
          <c:showVal val="0"/>
          <c:showCatName val="0"/>
          <c:showSerName val="0"/>
          <c:showPercent val="0"/>
          <c:showBubbleSize val="0"/>
        </c:dLbls>
        <c:gapWidth val="219"/>
        <c:overlap val="-27"/>
        <c:axId val="69139456"/>
        <c:axId val="78263424"/>
        <c:extLst>
          <c:ext xmlns:c15="http://schemas.microsoft.com/office/drawing/2012/chart" uri="{02D57815-91ED-43cb-92C2-25804820EDAC}">
            <c15:filteredBarSeries>
              <c15:ser>
                <c:idx val="0"/>
                <c:order val="0"/>
                <c:tx>
                  <c:strRef>
                    <c:extLst>
                      <c:ext uri="{02D57815-91ED-43cb-92C2-25804820EDAC}">
                        <c15:formulaRef>
                          <c15:sqref>Tabelle7!$A$3</c15:sqref>
                        </c15:formulaRef>
                      </c:ext>
                    </c:extLst>
                    <c:strCache>
                      <c:ptCount val="1"/>
                    </c:strCache>
                  </c:strRef>
                </c:tx>
                <c:spPr>
                  <a:solidFill>
                    <a:schemeClr val="accent1"/>
                  </a:solidFill>
                  <a:ln>
                    <a:noFill/>
                  </a:ln>
                  <a:effectLst/>
                </c:spPr>
                <c:invertIfNegative val="0"/>
                <c:cat>
                  <c:strRef>
                    <c:extLst>
                      <c:ext uri="{02D57815-91ED-43cb-92C2-25804820EDAC}">
                        <c15:formulaRef>
                          <c15:sqref>Tabelle7!$B$2:$J$2</c15:sqref>
                        </c15:formulaRef>
                      </c:ext>
                    </c:extLst>
                    <c:strCache>
                      <c:ptCount val="9"/>
                      <c:pt idx="0">
                        <c:v>0-4</c:v>
                      </c:pt>
                      <c:pt idx="1">
                        <c:v> 5-9</c:v>
                      </c:pt>
                      <c:pt idx="2">
                        <c:v> 10-14</c:v>
                      </c:pt>
                      <c:pt idx="3">
                        <c:v>15-24</c:v>
                      </c:pt>
                      <c:pt idx="4">
                        <c:v>25-34</c:v>
                      </c:pt>
                      <c:pt idx="5">
                        <c:v>35-44</c:v>
                      </c:pt>
                      <c:pt idx="6">
                        <c:v>45-54</c:v>
                      </c:pt>
                      <c:pt idx="7">
                        <c:v>55-64</c:v>
                      </c:pt>
                      <c:pt idx="8">
                        <c:v>65
and more
years</c:v>
                      </c:pt>
                    </c:strCache>
                  </c:strRef>
                </c:cat>
                <c:val>
                  <c:numRef>
                    <c:extLst>
                      <c:ext uri="{02D57815-91ED-43cb-92C2-25804820EDAC}">
                        <c15:formulaRef>
                          <c15:sqref>Tabelle7!$B$3:$J$3</c15:sqref>
                        </c15:formulaRef>
                      </c:ext>
                    </c:extLst>
                    <c:numCache>
                      <c:formatCode>General</c:formatCode>
                      <c:ptCount val="9"/>
                    </c:numCache>
                  </c:numRef>
                </c:val>
                <c:extLst>
                  <c:ext xmlns:c16="http://schemas.microsoft.com/office/drawing/2014/chart" uri="{C3380CC4-5D6E-409C-BE32-E72D297353CC}">
                    <c16:uniqueId val="{00000002-FEB1-46DA-B0D3-0E5E08E434DD}"/>
                  </c:ext>
                </c:extLst>
              </c15:ser>
            </c15:filteredBarSeries>
          </c:ext>
        </c:extLst>
      </c:barChart>
      <c:catAx>
        <c:axId val="6913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263424"/>
        <c:crosses val="autoZero"/>
        <c:auto val="1"/>
        <c:lblAlgn val="ctr"/>
        <c:lblOffset val="100"/>
        <c:noMultiLvlLbl val="0"/>
      </c:catAx>
      <c:valAx>
        <c:axId val="78263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39456"/>
        <c:crosses val="autoZero"/>
        <c:crossBetween val="between"/>
        <c:majorUnit val="10000"/>
        <c:dispUnits>
          <c:builtInUnit val="thousands"/>
          <c:dispUnitsLbl>
            <c:layout>
              <c:manualLayout>
                <c:xMode val="edge"/>
                <c:yMode val="edge"/>
                <c:x val="2.025269736408503E-2"/>
                <c:y val="0.11502798629492619"/>
              </c:manualLayout>
            </c:layout>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sr-Latn-RS" sz="800" b="0"/>
                    <a:t>In</a:t>
                  </a:r>
                  <a:r>
                    <a:rPr lang="sr-Latn-RS" sz="800" b="0" baseline="0"/>
                    <a:t> thousands</a:t>
                  </a:r>
                  <a:endParaRPr lang="de-DE" sz="800" b="0"/>
                </a:p>
              </c:rich>
            </c:tx>
            <c:spPr>
              <a:noFill/>
              <a:ln>
                <a:noFill/>
              </a:ln>
              <a:effectLst/>
            </c:spPr>
          </c:dispUnitsLbl>
        </c:dispUnits>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5">
                <a:lumMod val="50000"/>
              </a:schemeClr>
            </a:solidFill>
          </c:spPr>
          <c:invertIfNegative val="0"/>
          <c:dLbls>
            <c:dLbl>
              <c:idx val="1"/>
              <c:layout>
                <c:manualLayout>
                  <c:x val="-7.4775656357902685E-17"/>
                  <c:y val="1.764187003822405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849-43DD-9A03-F6CC0D703219}"/>
                </c:ext>
              </c:extLst>
            </c:dLbl>
            <c:dLbl>
              <c:idx val="2"/>
              <c:layout>
                <c:manualLayout>
                  <c:x val="0"/>
                  <c:y val="2.352249338429873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849-43DD-9A03-F6CC0D703219}"/>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Sheet1!$A$19:$A$22</c:f>
              <c:strCache>
                <c:ptCount val="4"/>
                <c:pt idx="0">
                  <c:v>Beogradski region</c:v>
                </c:pt>
                <c:pt idx="1">
                  <c:v>Region Vojvodine</c:v>
                </c:pt>
                <c:pt idx="2">
                  <c:v>Region Šumadije i          Zapadne Srbije</c:v>
                </c:pt>
                <c:pt idx="3">
                  <c:v>Region Južne i                       Istočne Srbije</c:v>
                </c:pt>
              </c:strCache>
            </c:strRef>
          </c:cat>
          <c:val>
            <c:numRef>
              <c:f>Sheet1!$B$19:$B$22</c:f>
              <c:numCache>
                <c:formatCode>General</c:formatCode>
                <c:ptCount val="4"/>
                <c:pt idx="0">
                  <c:v>7724</c:v>
                </c:pt>
                <c:pt idx="1">
                  <c:v>519</c:v>
                </c:pt>
                <c:pt idx="2">
                  <c:v>-4597</c:v>
                </c:pt>
                <c:pt idx="3">
                  <c:v>-3646</c:v>
                </c:pt>
              </c:numCache>
            </c:numRef>
          </c:val>
          <c:extLst>
            <c:ext xmlns:c16="http://schemas.microsoft.com/office/drawing/2014/chart" uri="{C3380CC4-5D6E-409C-BE32-E72D297353CC}">
              <c16:uniqueId val="{00000000-05F7-4865-BDFC-8A16CBEFCB40}"/>
            </c:ext>
          </c:extLst>
        </c:ser>
        <c:dLbls>
          <c:dLblPos val="outEnd"/>
          <c:showLegendKey val="0"/>
          <c:showVal val="1"/>
          <c:showCatName val="0"/>
          <c:showSerName val="0"/>
          <c:showPercent val="0"/>
          <c:showBubbleSize val="0"/>
        </c:dLbls>
        <c:gapWidth val="150"/>
        <c:axId val="87697280"/>
        <c:axId val="87698816"/>
      </c:barChart>
      <c:catAx>
        <c:axId val="87697280"/>
        <c:scaling>
          <c:orientation val="minMax"/>
        </c:scaling>
        <c:delete val="0"/>
        <c:axPos val="b"/>
        <c:numFmt formatCode="General" sourceLinked="0"/>
        <c:majorTickMark val="none"/>
        <c:minorTickMark val="none"/>
        <c:tickLblPos val="low"/>
        <c:crossAx val="87698816"/>
        <c:crosses val="autoZero"/>
        <c:auto val="1"/>
        <c:lblAlgn val="ctr"/>
        <c:lblOffset val="100"/>
        <c:noMultiLvlLbl val="0"/>
      </c:catAx>
      <c:valAx>
        <c:axId val="87698816"/>
        <c:scaling>
          <c:orientation val="minMax"/>
        </c:scaling>
        <c:delete val="0"/>
        <c:axPos val="l"/>
        <c:majorGridlines>
          <c:spPr>
            <a:ln>
              <a:solidFill>
                <a:srgbClr val="D9D9D9"/>
              </a:solidFill>
            </a:ln>
          </c:spPr>
        </c:majorGridlines>
        <c:numFmt formatCode="General" sourceLinked="1"/>
        <c:majorTickMark val="out"/>
        <c:minorTickMark val="none"/>
        <c:tickLblPos val="nextTo"/>
        <c:crossAx val="87697280"/>
        <c:crosses val="autoZero"/>
        <c:crossBetween val="between"/>
      </c:valAx>
    </c:plotArea>
    <c:plotVisOnly val="1"/>
    <c:dispBlanksAs val="gap"/>
    <c:showDLblsOverMax val="0"/>
  </c:chart>
  <c:spPr>
    <a:ln>
      <a:noFill/>
    </a:ln>
  </c:spPr>
  <c:txPr>
    <a:bodyPr/>
    <a:lstStyle/>
    <a:p>
      <a:pPr>
        <a:defRPr sz="900">
          <a:latin typeface="+mn-lt"/>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B563E-2AB6-414A-9AF2-1D806BFD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1123</Words>
  <Characters>5549</Characters>
  <Application>Microsoft Office Word</Application>
  <DocSecurity>0</DocSecurity>
  <Lines>346</Lines>
  <Paragraphs>247</Paragraphs>
  <ScaleCrop>false</ScaleCrop>
  <HeadingPairs>
    <vt:vector size="2" baseType="variant">
      <vt:variant>
        <vt:lpstr>Title</vt:lpstr>
      </vt:variant>
      <vt:variant>
        <vt:i4>1</vt:i4>
      </vt:variant>
    </vt:vector>
  </HeadingPairs>
  <TitlesOfParts>
    <vt:vector size="1" baseType="lpstr">
      <vt:lpstr>Унутрашње миграције у Републици Србији, 2014</vt:lpstr>
    </vt:vector>
  </TitlesOfParts>
  <Company>.</Company>
  <LinksUpToDate>false</LinksUpToDate>
  <CharactersWithSpaces>6425</CharactersWithSpaces>
  <SharedDoc>false</SharedDoc>
  <HLinks>
    <vt:vector size="6" baseType="variant">
      <vt:variant>
        <vt:i4>5111923</vt:i4>
      </vt:variant>
      <vt:variant>
        <vt:i4>3</vt:i4>
      </vt:variant>
      <vt:variant>
        <vt:i4>0</vt:i4>
      </vt:variant>
      <vt:variant>
        <vt:i4>5</vt:i4>
      </vt:variant>
      <vt:variant>
        <vt:lpwstr>mailto:gordana.bjelobrk@stat.gov.rs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Унутрашње миграције у Републици Србији, 2014</dc:title>
  <dc:creator>.</dc:creator>
  <cp:lastModifiedBy>Dragana Steljic</cp:lastModifiedBy>
  <cp:revision>19</cp:revision>
  <cp:lastPrinted>2018-06-27T08:07:00Z</cp:lastPrinted>
  <dcterms:created xsi:type="dcterms:W3CDTF">2020-07-09T07:34:00Z</dcterms:created>
  <dcterms:modified xsi:type="dcterms:W3CDTF">2020-07-10T08:24:00Z</dcterms:modified>
</cp:coreProperties>
</file>