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5"/>
        <w:gridCol w:w="5248"/>
        <w:gridCol w:w="3341"/>
      </w:tblGrid>
      <w:tr w:rsidR="00BF7269" w:rsidRPr="00CE0792" w:rsidTr="00A97043">
        <w:trPr>
          <w:cantSplit/>
          <w:trHeight w:val="631"/>
          <w:jc w:val="center"/>
        </w:trPr>
        <w:tc>
          <w:tcPr>
            <w:tcW w:w="812" w:type="pct"/>
            <w:tcBorders>
              <w:top w:val="single" w:sz="12" w:space="0" w:color="808080"/>
              <w:left w:val="nil"/>
              <w:bottom w:val="nil"/>
            </w:tcBorders>
            <w:vAlign w:val="center"/>
          </w:tcPr>
          <w:p w:rsidR="00BF7269" w:rsidRPr="00CE0792" w:rsidRDefault="00BF7269" w:rsidP="00A97043">
            <w:pPr>
              <w:rPr>
                <w:rFonts w:ascii="Arial" w:hAnsi="Arial" w:cs="Arial"/>
                <w:sz w:val="20"/>
                <w:szCs w:val="20"/>
              </w:rPr>
            </w:pPr>
            <w:r w:rsidRPr="00CE0792">
              <w:rPr>
                <w:rFonts w:ascii="Arial" w:hAnsi="Arial" w:cs="Arial"/>
                <w:noProof/>
                <w:sz w:val="20"/>
                <w:szCs w:val="20"/>
              </w:rPr>
              <w:drawing>
                <wp:anchor distT="0" distB="0" distL="114300" distR="114300" simplePos="0" relativeHeight="251661312" behindDoc="0" locked="0" layoutInCell="1" allowOverlap="1" wp14:anchorId="61A0FE3C" wp14:editId="784630D0">
                  <wp:simplePos x="0" y="0"/>
                  <wp:positionH relativeFrom="character">
                    <wp:posOffset>0</wp:posOffset>
                  </wp:positionH>
                  <wp:positionV relativeFrom="line">
                    <wp:posOffset>0</wp:posOffset>
                  </wp:positionV>
                  <wp:extent cx="904875" cy="219075"/>
                  <wp:effectExtent l="0" t="0" r="9525" b="9525"/>
                  <wp:wrapNone/>
                  <wp:docPr id="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565ADE">
              <w:rPr>
                <w:rFonts w:ascii="Arial" w:hAnsi="Arial" w:cs="Arial"/>
                <w:sz w:val="20"/>
                <w:szCs w:val="20"/>
              </w:rPr>
            </w:r>
            <w:r w:rsidR="00565ADE">
              <w:rPr>
                <w:rFonts w:ascii="Arial" w:hAnsi="Arial" w:cs="Arial"/>
                <w:sz w:val="20"/>
                <w:szCs w:val="20"/>
              </w:rPr>
              <w:pict>
                <v:rect id="AutoShape 1" o:spid="_x0000_s1026" style="width:71.45pt;height:17.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BF7269" w:rsidRPr="00CE0792" w:rsidRDefault="00BF7269" w:rsidP="00A97043">
            <w:pPr>
              <w:rPr>
                <w:rFonts w:ascii="Arial" w:hAnsi="Arial" w:cs="Arial"/>
                <w:sz w:val="20"/>
                <w:szCs w:val="20"/>
              </w:rPr>
            </w:pPr>
            <w:r w:rsidRPr="00CE0792">
              <w:rPr>
                <w:rFonts w:ascii="Arial" w:hAnsi="Arial" w:cs="Arial"/>
                <w:sz w:val="20"/>
                <w:szCs w:val="20"/>
              </w:rPr>
              <w:t xml:space="preserve">Statistical Office of the </w:t>
            </w:r>
            <w:smartTag w:uri="urn:schemas-microsoft-com:office:smarttags" w:element="PlaceType">
              <w:r w:rsidRPr="00CE0792">
                <w:rPr>
                  <w:rFonts w:ascii="Arial" w:hAnsi="Arial" w:cs="Arial"/>
                  <w:sz w:val="20"/>
                  <w:szCs w:val="20"/>
                </w:rPr>
                <w:t>Republic</w:t>
              </w:r>
            </w:smartTag>
            <w:r w:rsidRPr="00CE0792">
              <w:rPr>
                <w:rFonts w:ascii="Arial" w:hAnsi="Arial" w:cs="Arial"/>
                <w:sz w:val="20"/>
                <w:szCs w:val="20"/>
              </w:rPr>
              <w:t xml:space="preserve"> of Serbia</w:t>
            </w:r>
          </w:p>
        </w:tc>
        <w:tc>
          <w:tcPr>
            <w:tcW w:w="0" w:type="auto"/>
            <w:tcBorders>
              <w:top w:val="single" w:sz="12" w:space="0" w:color="808080"/>
              <w:bottom w:val="nil"/>
              <w:right w:val="nil"/>
            </w:tcBorders>
            <w:vAlign w:val="center"/>
          </w:tcPr>
          <w:p w:rsidR="00BF7269" w:rsidRPr="00CE0792" w:rsidRDefault="00BF7269" w:rsidP="00A97043">
            <w:pPr>
              <w:jc w:val="right"/>
              <w:rPr>
                <w:rFonts w:ascii="Arial" w:hAnsi="Arial" w:cs="Arial"/>
                <w:b/>
                <w:sz w:val="20"/>
                <w:szCs w:val="20"/>
              </w:rPr>
            </w:pPr>
            <w:r w:rsidRPr="00CE0792">
              <w:rPr>
                <w:rFonts w:ascii="Arial" w:hAnsi="Arial" w:cs="Arial"/>
                <w:sz w:val="20"/>
                <w:szCs w:val="20"/>
              </w:rPr>
              <w:t>ISSN 0353-9555</w:t>
            </w:r>
          </w:p>
        </w:tc>
      </w:tr>
      <w:tr w:rsidR="00BF7269" w:rsidRPr="00BF7269" w:rsidTr="00A97043">
        <w:trPr>
          <w:cantSplit/>
          <w:trHeight w:val="836"/>
          <w:jc w:val="center"/>
        </w:trPr>
        <w:tc>
          <w:tcPr>
            <w:tcW w:w="0" w:type="auto"/>
            <w:gridSpan w:val="2"/>
            <w:tcBorders>
              <w:top w:val="nil"/>
              <w:left w:val="nil"/>
              <w:right w:val="nil"/>
            </w:tcBorders>
            <w:vAlign w:val="center"/>
          </w:tcPr>
          <w:p w:rsidR="00BF7269" w:rsidRPr="00BF7269" w:rsidRDefault="00BF7269" w:rsidP="00565ADE">
            <w:pPr>
              <w:spacing w:after="0"/>
              <w:rPr>
                <w:rFonts w:ascii="Arial" w:hAnsi="Arial" w:cs="Arial"/>
                <w:color w:val="808080"/>
                <w:szCs w:val="20"/>
              </w:rPr>
            </w:pPr>
            <w:r w:rsidRPr="00BF7269">
              <w:rPr>
                <w:rFonts w:ascii="Arial" w:hAnsi="Arial" w:cs="Arial"/>
                <w:b/>
                <w:color w:val="808080"/>
                <w:sz w:val="48"/>
                <w:szCs w:val="48"/>
              </w:rPr>
              <w:t xml:space="preserve">Statistical release </w:t>
            </w:r>
          </w:p>
        </w:tc>
        <w:tc>
          <w:tcPr>
            <w:tcW w:w="0" w:type="auto"/>
            <w:tcBorders>
              <w:top w:val="nil"/>
              <w:left w:val="nil"/>
              <w:right w:val="nil"/>
            </w:tcBorders>
            <w:shd w:val="clear" w:color="auto" w:fill="auto"/>
            <w:vAlign w:val="center"/>
          </w:tcPr>
          <w:p w:rsidR="00BF7269" w:rsidRPr="00BF7269" w:rsidRDefault="00BF7269" w:rsidP="00565ADE">
            <w:pPr>
              <w:spacing w:after="0"/>
              <w:jc w:val="right"/>
              <w:rPr>
                <w:rFonts w:ascii="Arial" w:hAnsi="Arial" w:cs="Arial"/>
                <w:b/>
                <w:color w:val="808080"/>
                <w:sz w:val="12"/>
              </w:rPr>
            </w:pPr>
            <w:bookmarkStart w:id="0" w:name="_GoBack"/>
            <w:bookmarkEnd w:id="0"/>
            <w:r w:rsidRPr="00BF7269">
              <w:rPr>
                <w:rFonts w:ascii="Arial" w:hAnsi="Arial" w:cs="Arial"/>
                <w:b/>
                <w:bCs/>
                <w:color w:val="808080"/>
                <w:sz w:val="48"/>
                <w:szCs w:val="48"/>
              </w:rPr>
              <w:t>SN50</w:t>
            </w:r>
          </w:p>
        </w:tc>
      </w:tr>
      <w:tr w:rsidR="00BF7269" w:rsidRPr="00CE0792" w:rsidTr="00A97043">
        <w:trPr>
          <w:cantSplit/>
          <w:trHeight w:hRule="exact" w:val="279"/>
          <w:jc w:val="center"/>
        </w:trPr>
        <w:tc>
          <w:tcPr>
            <w:tcW w:w="0" w:type="auto"/>
            <w:gridSpan w:val="2"/>
            <w:tcBorders>
              <w:top w:val="nil"/>
              <w:left w:val="nil"/>
              <w:bottom w:val="nil"/>
              <w:right w:val="nil"/>
            </w:tcBorders>
            <w:vAlign w:val="center"/>
          </w:tcPr>
          <w:p w:rsidR="00BF7269" w:rsidRPr="00CE0792" w:rsidRDefault="00BF7269" w:rsidP="00BF7269">
            <w:pPr>
              <w:rPr>
                <w:rFonts w:ascii="Arial" w:hAnsi="Arial" w:cs="Arial"/>
                <w:sz w:val="20"/>
                <w:szCs w:val="20"/>
              </w:rPr>
            </w:pPr>
            <w:r w:rsidRPr="00CE0792">
              <w:rPr>
                <w:rFonts w:ascii="Arial" w:hAnsi="Arial" w:cs="Arial"/>
                <w:sz w:val="20"/>
                <w:szCs w:val="20"/>
              </w:rPr>
              <w:t xml:space="preserve">Number </w:t>
            </w:r>
            <w:r>
              <w:rPr>
                <w:rFonts w:ascii="Arial" w:hAnsi="Arial" w:cs="Arial"/>
              </w:rPr>
              <w:t>188</w:t>
            </w:r>
            <w:r w:rsidRPr="00CE0792">
              <w:rPr>
                <w:rFonts w:ascii="Arial" w:hAnsi="Arial" w:cs="Arial"/>
                <w:sz w:val="20"/>
                <w:szCs w:val="20"/>
              </w:rPr>
              <w:t xml:space="preserve"> - Year LXX, 10/07/2020</w:t>
            </w:r>
          </w:p>
        </w:tc>
        <w:tc>
          <w:tcPr>
            <w:tcW w:w="0" w:type="auto"/>
            <w:tcBorders>
              <w:left w:val="nil"/>
              <w:bottom w:val="nil"/>
              <w:right w:val="nil"/>
            </w:tcBorders>
            <w:shd w:val="clear" w:color="auto" w:fill="auto"/>
            <w:vAlign w:val="center"/>
          </w:tcPr>
          <w:p w:rsidR="00BF7269" w:rsidRPr="00CE0792" w:rsidRDefault="00BF7269" w:rsidP="00A97043">
            <w:pPr>
              <w:jc w:val="right"/>
              <w:rPr>
                <w:rFonts w:ascii="Arial" w:hAnsi="Arial" w:cs="Arial"/>
                <w:b/>
                <w:sz w:val="20"/>
                <w:szCs w:val="20"/>
              </w:rPr>
            </w:pPr>
          </w:p>
        </w:tc>
      </w:tr>
      <w:tr w:rsidR="00BF7269" w:rsidRPr="00CE0792" w:rsidTr="00A97043">
        <w:trPr>
          <w:cantSplit/>
          <w:trHeight w:val="411"/>
          <w:jc w:val="center"/>
        </w:trPr>
        <w:tc>
          <w:tcPr>
            <w:tcW w:w="0" w:type="auto"/>
            <w:gridSpan w:val="2"/>
            <w:tcBorders>
              <w:top w:val="nil"/>
              <w:left w:val="nil"/>
              <w:bottom w:val="single" w:sz="12" w:space="0" w:color="808080"/>
              <w:right w:val="nil"/>
            </w:tcBorders>
            <w:vAlign w:val="center"/>
          </w:tcPr>
          <w:p w:rsidR="00BF7269" w:rsidRPr="00CE0792" w:rsidRDefault="00BF7269" w:rsidP="00BF7269">
            <w:pPr>
              <w:spacing w:after="0"/>
              <w:rPr>
                <w:rFonts w:ascii="Arial" w:hAnsi="Arial" w:cs="Arial"/>
                <w:b/>
                <w:bCs/>
              </w:rPr>
            </w:pPr>
            <w:r w:rsidRPr="00CE0792">
              <w:rPr>
                <w:rFonts w:ascii="Arial" w:hAnsi="Arial" w:cs="Arial"/>
                <w:b/>
                <w:bCs/>
              </w:rPr>
              <w:t>Population statistics</w:t>
            </w:r>
          </w:p>
        </w:tc>
        <w:tc>
          <w:tcPr>
            <w:tcW w:w="0" w:type="auto"/>
            <w:tcBorders>
              <w:top w:val="nil"/>
              <w:left w:val="nil"/>
              <w:bottom w:val="single" w:sz="12" w:space="0" w:color="808080"/>
              <w:right w:val="nil"/>
            </w:tcBorders>
            <w:vAlign w:val="center"/>
          </w:tcPr>
          <w:p w:rsidR="00BF7269" w:rsidRPr="00CE0792" w:rsidRDefault="00BF7269" w:rsidP="00BF7269">
            <w:pPr>
              <w:spacing w:after="0"/>
              <w:jc w:val="right"/>
              <w:rPr>
                <w:rFonts w:ascii="Arial" w:hAnsi="Arial" w:cs="Arial"/>
                <w:b/>
                <w:szCs w:val="20"/>
              </w:rPr>
            </w:pPr>
            <w:r w:rsidRPr="00CE0792">
              <w:rPr>
                <w:rFonts w:ascii="Arial" w:hAnsi="Arial" w:cs="Arial"/>
                <w:szCs w:val="20"/>
              </w:rPr>
              <w:t>SERB1</w:t>
            </w:r>
            <w:r>
              <w:rPr>
                <w:rFonts w:ascii="Arial" w:hAnsi="Arial" w:cs="Arial"/>
                <w:szCs w:val="20"/>
              </w:rPr>
              <w:t xml:space="preserve">88 </w:t>
            </w:r>
            <w:r w:rsidRPr="00CE0792">
              <w:rPr>
                <w:rFonts w:ascii="Arial" w:hAnsi="Arial" w:cs="Arial"/>
                <w:szCs w:val="20"/>
              </w:rPr>
              <w:t>SN</w:t>
            </w:r>
            <w:r>
              <w:rPr>
                <w:rFonts w:ascii="Arial" w:hAnsi="Arial" w:cs="Arial"/>
                <w:szCs w:val="20"/>
              </w:rPr>
              <w:t>5</w:t>
            </w:r>
            <w:r w:rsidRPr="00CE0792">
              <w:rPr>
                <w:rFonts w:ascii="Arial" w:hAnsi="Arial" w:cs="Arial"/>
                <w:szCs w:val="20"/>
              </w:rPr>
              <w:t>0 100720</w:t>
            </w:r>
          </w:p>
        </w:tc>
      </w:tr>
    </w:tbl>
    <w:p w:rsidR="006D4D6C" w:rsidRDefault="000A30C2">
      <w:pPr>
        <w:spacing w:before="360" w:after="240" w:line="228" w:lineRule="auto"/>
        <w:jc w:val="center"/>
        <w:rPr>
          <w:rFonts w:ascii="Arial" w:hAnsi="Arial" w:cs="Arial"/>
          <w:b/>
          <w:sz w:val="24"/>
          <w:szCs w:val="24"/>
        </w:rPr>
      </w:pPr>
      <w:r>
        <w:rPr>
          <w:rFonts w:ascii="Arial" w:hAnsi="Arial" w:cs="Arial"/>
          <w:b/>
          <w:sz w:val="24"/>
          <w:szCs w:val="24"/>
        </w:rPr>
        <w:t>Marriages and divorces, 2019</w:t>
      </w:r>
    </w:p>
    <w:p w:rsidR="006D4D6C" w:rsidRDefault="000A30C2">
      <w:pPr>
        <w:spacing w:before="360" w:after="120" w:line="228" w:lineRule="auto"/>
        <w:rPr>
          <w:rFonts w:ascii="Arial" w:hAnsi="Arial" w:cs="Arial"/>
          <w:b/>
        </w:rPr>
      </w:pPr>
      <w:r>
        <w:rPr>
          <w:rFonts w:ascii="Arial" w:hAnsi="Arial" w:cs="Arial"/>
          <w:b/>
        </w:rPr>
        <w:t>Main data on marriages</w:t>
      </w:r>
    </w:p>
    <w:p w:rsidR="006D4D6C" w:rsidRPr="00500AAA" w:rsidRDefault="000A30C2">
      <w:pPr>
        <w:spacing w:before="120" w:after="120" w:line="228" w:lineRule="auto"/>
        <w:ind w:firstLine="397"/>
        <w:jc w:val="both"/>
        <w:rPr>
          <w:rFonts w:ascii="Arial" w:hAnsi="Arial" w:cs="Arial"/>
          <w:sz w:val="20"/>
          <w:szCs w:val="20"/>
        </w:rPr>
      </w:pPr>
      <w:r w:rsidRPr="00500AAA">
        <w:rPr>
          <w:rFonts w:ascii="Arial" w:hAnsi="Arial" w:cs="Arial"/>
          <w:sz w:val="20"/>
          <w:szCs w:val="20"/>
        </w:rPr>
        <w:t>In 2019</w:t>
      </w:r>
      <w:r w:rsidR="00DE0803">
        <w:rPr>
          <w:rFonts w:ascii="Arial" w:hAnsi="Arial" w:cs="Arial"/>
          <w:sz w:val="20"/>
          <w:szCs w:val="20"/>
        </w:rPr>
        <w:t xml:space="preserve"> </w:t>
      </w:r>
      <w:r w:rsidRPr="00500AAA">
        <w:rPr>
          <w:rFonts w:ascii="Arial" w:hAnsi="Arial" w:cs="Arial"/>
          <w:sz w:val="20"/>
          <w:szCs w:val="20"/>
        </w:rPr>
        <w:t xml:space="preserve">in the Republic of Serbia there were </w:t>
      </w:r>
      <w:r w:rsidR="009A16A9" w:rsidRPr="00500AAA">
        <w:rPr>
          <w:rFonts w:ascii="Arial" w:hAnsi="Arial" w:cs="Arial"/>
          <w:sz w:val="20"/>
          <w:szCs w:val="20"/>
        </w:rPr>
        <w:t>35 570</w:t>
      </w:r>
      <w:r w:rsidRPr="00500AAA">
        <w:rPr>
          <w:rFonts w:ascii="Arial" w:hAnsi="Arial" w:cs="Arial"/>
          <w:sz w:val="20"/>
          <w:szCs w:val="20"/>
        </w:rPr>
        <w:t xml:space="preserve"> marriages, a fall of 2.1% relative to the previous year. At the same time, 28 113</w:t>
      </w:r>
      <w:r w:rsidR="00DE0803">
        <w:rPr>
          <w:rFonts w:ascii="Arial" w:hAnsi="Arial" w:cs="Arial"/>
          <w:sz w:val="20"/>
          <w:szCs w:val="20"/>
        </w:rPr>
        <w:t xml:space="preserve"> </w:t>
      </w:r>
      <w:r w:rsidRPr="00500AAA">
        <w:rPr>
          <w:rFonts w:ascii="Arial" w:hAnsi="Arial" w:cs="Arial"/>
          <w:sz w:val="20"/>
          <w:szCs w:val="20"/>
        </w:rPr>
        <w:t>concluded first marriages indicate a fall of 3.1% when compared to 2018. The number of marriages per 1 000 population amounted to 5.1. The average age at the time of marriage for grooms was 34.5 and for brides 31.</w:t>
      </w:r>
      <w:r w:rsidR="00DE0803">
        <w:rPr>
          <w:rFonts w:ascii="Arial" w:hAnsi="Arial" w:cs="Arial"/>
          <w:sz w:val="20"/>
          <w:szCs w:val="20"/>
        </w:rPr>
        <w:t>3</w:t>
      </w:r>
      <w:r w:rsidRPr="00500AAA">
        <w:rPr>
          <w:rFonts w:ascii="Arial" w:hAnsi="Arial" w:cs="Arial"/>
          <w:sz w:val="20"/>
          <w:szCs w:val="20"/>
        </w:rPr>
        <w:t xml:space="preserve"> years.</w:t>
      </w:r>
    </w:p>
    <w:p w:rsidR="006D4D6C" w:rsidRPr="00500AAA" w:rsidRDefault="000A30C2">
      <w:pPr>
        <w:spacing w:before="120" w:after="120" w:line="228" w:lineRule="auto"/>
        <w:ind w:firstLine="397"/>
        <w:jc w:val="both"/>
        <w:rPr>
          <w:rFonts w:ascii="Arial" w:hAnsi="Arial" w:cs="Arial"/>
          <w:sz w:val="20"/>
          <w:szCs w:val="20"/>
        </w:rPr>
      </w:pPr>
      <w:r w:rsidRPr="00500AAA">
        <w:rPr>
          <w:rFonts w:ascii="Arial" w:hAnsi="Arial" w:cs="Arial"/>
          <w:sz w:val="20"/>
          <w:szCs w:val="20"/>
        </w:rPr>
        <w:t xml:space="preserve">The most frequent marriages were ethnically homogeneous ones, i.e. marriages between spouses of the same ethnicity – 31 459 (88.4%). Most of marriages were those where spouses had the same educational level – 24 658 (69.3%), and from the economic point of view in 27 207 marriages (76.5%) both spouses were economically active. Most marriages, 32 623 (91.7%), were concluded between the citizens of the Republic of Serbia. </w:t>
      </w:r>
    </w:p>
    <w:p w:rsidR="006D4D6C" w:rsidRPr="00500AAA" w:rsidRDefault="000A30C2">
      <w:pPr>
        <w:spacing w:before="360" w:after="120" w:line="228" w:lineRule="auto"/>
        <w:rPr>
          <w:rFonts w:ascii="Arial" w:hAnsi="Arial" w:cs="Arial"/>
          <w:b/>
        </w:rPr>
      </w:pPr>
      <w:r w:rsidRPr="00500AAA">
        <w:rPr>
          <w:rFonts w:ascii="Arial" w:hAnsi="Arial" w:cs="Arial"/>
          <w:b/>
        </w:rPr>
        <w:t>Main data on divorces</w:t>
      </w:r>
    </w:p>
    <w:p w:rsidR="006D4D6C" w:rsidRPr="00500AAA" w:rsidRDefault="000A30C2">
      <w:pPr>
        <w:spacing w:before="120" w:after="120" w:line="228" w:lineRule="auto"/>
        <w:ind w:firstLine="397"/>
        <w:jc w:val="both"/>
        <w:rPr>
          <w:rFonts w:ascii="Arial" w:hAnsi="Arial" w:cs="Arial"/>
          <w:sz w:val="20"/>
          <w:szCs w:val="20"/>
        </w:rPr>
      </w:pPr>
      <w:r w:rsidRPr="00500AAA">
        <w:rPr>
          <w:rFonts w:ascii="Arial" w:hAnsi="Arial" w:cs="Arial"/>
          <w:sz w:val="20"/>
          <w:szCs w:val="20"/>
        </w:rPr>
        <w:t xml:space="preserve">In 2019 there were </w:t>
      </w:r>
      <w:r w:rsidR="009A16A9" w:rsidRPr="00500AAA">
        <w:rPr>
          <w:rFonts w:ascii="Arial" w:hAnsi="Arial" w:cs="Arial"/>
          <w:sz w:val="20"/>
          <w:szCs w:val="20"/>
        </w:rPr>
        <w:t>10 899</w:t>
      </w:r>
      <w:r w:rsidRPr="00500AAA">
        <w:rPr>
          <w:rFonts w:ascii="Arial" w:hAnsi="Arial" w:cs="Arial"/>
          <w:sz w:val="20"/>
          <w:szCs w:val="20"/>
        </w:rPr>
        <w:t xml:space="preserve"> divorces, by 9.0% more than in the previous year. The number of divorces per </w:t>
      </w:r>
      <w:r w:rsidR="00A24872">
        <w:rPr>
          <w:rFonts w:ascii="Arial" w:hAnsi="Arial" w:cs="Arial"/>
          <w:sz w:val="20"/>
          <w:szCs w:val="20"/>
        </w:rPr>
        <w:t xml:space="preserve">       </w:t>
      </w:r>
      <w:r w:rsidRPr="00500AAA">
        <w:rPr>
          <w:rFonts w:ascii="Arial" w:hAnsi="Arial" w:cs="Arial"/>
          <w:sz w:val="20"/>
          <w:szCs w:val="20"/>
        </w:rPr>
        <w:t xml:space="preserve">1 000 population was 1.6. The average age for husbands at divorce was 44.2 and for wives 40.6 years. </w:t>
      </w:r>
    </w:p>
    <w:p w:rsidR="006D4D6C" w:rsidRDefault="000A30C2">
      <w:pPr>
        <w:spacing w:before="120" w:after="120" w:line="228" w:lineRule="auto"/>
        <w:ind w:firstLine="397"/>
        <w:jc w:val="both"/>
        <w:rPr>
          <w:rFonts w:ascii="Arial" w:hAnsi="Arial" w:cs="Arial"/>
          <w:sz w:val="20"/>
          <w:szCs w:val="20"/>
        </w:rPr>
      </w:pPr>
      <w:r w:rsidRPr="00500AAA">
        <w:rPr>
          <w:rFonts w:ascii="Arial" w:hAnsi="Arial" w:cs="Arial"/>
          <w:sz w:val="20"/>
          <w:szCs w:val="20"/>
        </w:rPr>
        <w:t>The largest number of marriages that ended in divorce are those with children – 5 806 (53.3%). In the total number of marriages that ended in divorce with children, the most frequent</w:t>
      </w:r>
      <w:r>
        <w:rPr>
          <w:rFonts w:ascii="Arial" w:hAnsi="Arial" w:cs="Arial"/>
          <w:sz w:val="20"/>
          <w:szCs w:val="20"/>
        </w:rPr>
        <w:t xml:space="preserve"> ones were those with one child - 3 067 (52.8%). After divorce, dependent children were mostly given to wives, being recorded in 4 103 divorces (70.7%). The average duration of legally ended marriage in 2019 was 13.5 years.</w:t>
      </w:r>
    </w:p>
    <w:p w:rsidR="006D4D6C" w:rsidRDefault="000A30C2">
      <w:pPr>
        <w:spacing w:before="360" w:after="120" w:line="228" w:lineRule="auto"/>
        <w:rPr>
          <w:rFonts w:ascii="Arial" w:hAnsi="Arial" w:cs="Arial"/>
          <w:b/>
        </w:rPr>
      </w:pPr>
      <w:r>
        <w:rPr>
          <w:rFonts w:ascii="Arial" w:hAnsi="Arial" w:cs="Arial"/>
          <w:b/>
        </w:rPr>
        <w:t>Overview by regions, 2019</w:t>
      </w:r>
    </w:p>
    <w:p w:rsidR="006D4D6C" w:rsidRDefault="000A30C2" w:rsidP="000A634E">
      <w:pPr>
        <w:spacing w:before="120" w:after="120" w:line="228" w:lineRule="auto"/>
        <w:ind w:firstLine="425"/>
        <w:jc w:val="both"/>
        <w:rPr>
          <w:rFonts w:ascii="Arial" w:hAnsi="Arial" w:cs="Arial"/>
          <w:sz w:val="20"/>
          <w:szCs w:val="20"/>
        </w:rPr>
      </w:pPr>
      <w:r>
        <w:rPr>
          <w:rFonts w:ascii="Arial" w:hAnsi="Arial" w:cs="Arial"/>
          <w:sz w:val="20"/>
          <w:szCs w:val="20"/>
        </w:rPr>
        <w:t>The crude marriage rate for the level of Srbija – sever amounted to 5.3</w:t>
      </w:r>
      <w:r>
        <w:rPr>
          <w:rFonts w:ascii="Arial" w:hAnsi="Arial" w:cs="Arial"/>
          <w:sz w:val="20"/>
          <w:szCs w:val="20"/>
          <w:shd w:val="clear" w:color="auto" w:fill="FFFFFF"/>
        </w:rPr>
        <w:t>‰</w:t>
      </w:r>
      <w:r>
        <w:rPr>
          <w:rFonts w:ascii="Arial" w:hAnsi="Arial" w:cs="Arial"/>
          <w:sz w:val="20"/>
          <w:szCs w:val="20"/>
        </w:rPr>
        <w:t xml:space="preserve"> and was higher by 0.4</w:t>
      </w:r>
      <w:r>
        <w:rPr>
          <w:rFonts w:ascii="Arial" w:hAnsi="Arial" w:cs="Arial"/>
          <w:sz w:val="20"/>
          <w:szCs w:val="20"/>
          <w:shd w:val="clear" w:color="auto" w:fill="FFFFFF"/>
        </w:rPr>
        <w:t xml:space="preserve">‰ </w:t>
      </w:r>
      <w:r>
        <w:rPr>
          <w:rFonts w:ascii="Arial" w:hAnsi="Arial" w:cs="Arial"/>
          <w:sz w:val="20"/>
          <w:szCs w:val="20"/>
        </w:rPr>
        <w:t>than that for the level of Srbija – jug, being 4.</w:t>
      </w:r>
      <w:r w:rsidR="00DE0803">
        <w:rPr>
          <w:rFonts w:ascii="Arial" w:hAnsi="Arial" w:cs="Arial"/>
          <w:sz w:val="20"/>
          <w:szCs w:val="20"/>
        </w:rPr>
        <w:t>9</w:t>
      </w:r>
      <w:r>
        <w:rPr>
          <w:rFonts w:ascii="Arial" w:hAnsi="Arial" w:cs="Arial"/>
          <w:sz w:val="20"/>
          <w:szCs w:val="20"/>
          <w:shd w:val="clear" w:color="auto" w:fill="FFFFFF"/>
        </w:rPr>
        <w:t>‰</w:t>
      </w:r>
      <w:r>
        <w:rPr>
          <w:rFonts w:ascii="Arial" w:hAnsi="Arial" w:cs="Arial"/>
          <w:sz w:val="20"/>
          <w:szCs w:val="20"/>
        </w:rPr>
        <w:t>. Observing the regions, the lowest rate, 4.8</w:t>
      </w:r>
      <w:r>
        <w:rPr>
          <w:rFonts w:ascii="Arial" w:hAnsi="Arial" w:cs="Arial"/>
          <w:sz w:val="20"/>
          <w:szCs w:val="20"/>
          <w:shd w:val="clear" w:color="auto" w:fill="FFFFFF"/>
        </w:rPr>
        <w:t xml:space="preserve">‰, </w:t>
      </w:r>
      <w:r>
        <w:rPr>
          <w:rFonts w:ascii="Arial" w:hAnsi="Arial" w:cs="Arial"/>
          <w:sz w:val="20"/>
          <w:szCs w:val="20"/>
        </w:rPr>
        <w:t>was recorded in the Region Južne i Istočne Srbije and the highest, 5.3</w:t>
      </w:r>
      <w:r>
        <w:rPr>
          <w:rFonts w:ascii="Arial" w:hAnsi="Arial" w:cs="Arial"/>
          <w:sz w:val="20"/>
          <w:szCs w:val="20"/>
          <w:shd w:val="clear" w:color="auto" w:fill="FFFFFF"/>
        </w:rPr>
        <w:t>‰,</w:t>
      </w:r>
      <w:r>
        <w:rPr>
          <w:rFonts w:ascii="Arial" w:hAnsi="Arial" w:cs="Arial"/>
          <w:sz w:val="20"/>
          <w:szCs w:val="20"/>
        </w:rPr>
        <w:t xml:space="preserve"> in the Beogradski region and Region Vojvodine</w:t>
      </w:r>
      <w:r>
        <w:rPr>
          <w:rFonts w:ascii="Arial" w:hAnsi="Arial" w:cs="Arial"/>
          <w:sz w:val="20"/>
          <w:szCs w:val="20"/>
          <w:shd w:val="clear" w:color="auto" w:fill="FFFFFF"/>
        </w:rPr>
        <w:t>.</w:t>
      </w:r>
    </w:p>
    <w:p w:rsidR="006D4D6C" w:rsidRDefault="000A30C2">
      <w:pPr>
        <w:spacing w:before="240" w:after="120" w:line="228" w:lineRule="auto"/>
        <w:ind w:firstLine="426"/>
        <w:jc w:val="both"/>
        <w:rPr>
          <w:rFonts w:ascii="Arial" w:hAnsi="Arial" w:cs="Arial"/>
          <w:sz w:val="20"/>
          <w:szCs w:val="20"/>
        </w:rPr>
      </w:pPr>
      <w:r>
        <w:rPr>
          <w:rFonts w:ascii="Arial" w:hAnsi="Arial" w:cs="Arial"/>
          <w:sz w:val="20"/>
          <w:szCs w:val="20"/>
        </w:rPr>
        <w:t>The crude divorce rate for the level of Srbija – sever, 1.8</w:t>
      </w:r>
      <w:r>
        <w:rPr>
          <w:rFonts w:ascii="Arial" w:hAnsi="Arial" w:cs="Arial"/>
          <w:sz w:val="20"/>
          <w:szCs w:val="20"/>
          <w:shd w:val="clear" w:color="auto" w:fill="FFFFFF"/>
        </w:rPr>
        <w:t>‰,</w:t>
      </w:r>
      <w:r>
        <w:rPr>
          <w:rFonts w:ascii="Arial" w:hAnsi="Arial" w:cs="Arial"/>
          <w:sz w:val="20"/>
          <w:szCs w:val="20"/>
        </w:rPr>
        <w:t xml:space="preserve"> was higher by 0.5</w:t>
      </w:r>
      <w:r>
        <w:rPr>
          <w:rFonts w:ascii="Arial" w:hAnsi="Arial" w:cs="Arial"/>
          <w:sz w:val="20"/>
          <w:szCs w:val="20"/>
          <w:shd w:val="clear" w:color="auto" w:fill="FFFFFF"/>
        </w:rPr>
        <w:t xml:space="preserve">‰ </w:t>
      </w:r>
      <w:r>
        <w:rPr>
          <w:rFonts w:ascii="Arial" w:hAnsi="Arial" w:cs="Arial"/>
          <w:sz w:val="20"/>
          <w:szCs w:val="20"/>
        </w:rPr>
        <w:t>than that for the level of Srbija – jug, amounting to 1.3</w:t>
      </w:r>
      <w:r>
        <w:rPr>
          <w:rFonts w:ascii="Arial" w:hAnsi="Arial" w:cs="Arial"/>
          <w:sz w:val="20"/>
          <w:szCs w:val="20"/>
          <w:shd w:val="clear" w:color="auto" w:fill="FFFFFF"/>
        </w:rPr>
        <w:t>‰. Observed by regions, the Region Šumadije i Zapadne Srbije saw the lowest divorciality rates,1.2‰, аnd the Region Vojvodine the largest, the largest ones, 2.0‰.</w:t>
      </w:r>
    </w:p>
    <w:p w:rsidR="006D4D6C" w:rsidRDefault="000A30C2">
      <w:pPr>
        <w:spacing w:before="360" w:after="60" w:line="228" w:lineRule="auto"/>
        <w:rPr>
          <w:rFonts w:ascii="Arial" w:hAnsi="Arial" w:cs="Arial"/>
          <w:sz w:val="20"/>
          <w:szCs w:val="20"/>
        </w:rPr>
      </w:pPr>
      <w:r>
        <w:rPr>
          <w:rFonts w:ascii="Arial" w:hAnsi="Arial" w:cs="Arial"/>
          <w:b/>
          <w:sz w:val="20"/>
          <w:szCs w:val="20"/>
        </w:rPr>
        <w:t>Таble 1.</w:t>
      </w:r>
      <w:r>
        <w:rPr>
          <w:rFonts w:ascii="Arial" w:hAnsi="Arial" w:cs="Arial"/>
          <w:sz w:val="20"/>
          <w:szCs w:val="20"/>
        </w:rPr>
        <w:t xml:space="preserve"> Marriages and divorces by regions, 2019</w:t>
      </w:r>
    </w:p>
    <w:tbl>
      <w:tblPr>
        <w:tblW w:w="9070" w:type="dxa"/>
        <w:tblCellMar>
          <w:left w:w="28" w:type="dxa"/>
          <w:right w:w="28" w:type="dxa"/>
        </w:tblCellMar>
        <w:tblLook w:val="04A0" w:firstRow="1" w:lastRow="0" w:firstColumn="1" w:lastColumn="0" w:noHBand="0" w:noVBand="1"/>
      </w:tblPr>
      <w:tblGrid>
        <w:gridCol w:w="3400"/>
        <w:gridCol w:w="1134"/>
        <w:gridCol w:w="1134"/>
        <w:gridCol w:w="1134"/>
        <w:gridCol w:w="1134"/>
        <w:gridCol w:w="1134"/>
      </w:tblGrid>
      <w:tr w:rsidR="006D4D6C">
        <w:trPr>
          <w:trHeight w:val="20"/>
        </w:trPr>
        <w:tc>
          <w:tcPr>
            <w:tcW w:w="340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rsidR="006D4D6C" w:rsidRDefault="000A30C2">
            <w:pPr>
              <w:spacing w:after="0" w:line="228" w:lineRule="auto"/>
              <w:jc w:val="center"/>
              <w:rPr>
                <w:rFonts w:ascii="Arial" w:eastAsia="Times New Roman" w:hAnsi="Arial" w:cs="Arial"/>
                <w:sz w:val="16"/>
                <w:szCs w:val="16"/>
              </w:rPr>
            </w:pPr>
            <w:r>
              <w:rPr>
                <w:rFonts w:ascii="Arial" w:eastAsia="Times New Roman" w:hAnsi="Arial" w:cs="Arial"/>
                <w:sz w:val="16"/>
                <w:szCs w:val="16"/>
              </w:rPr>
              <w:t> </w:t>
            </w: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rsidR="006D4D6C" w:rsidRDefault="000A30C2">
            <w:pPr>
              <w:spacing w:before="120" w:after="120" w:line="228" w:lineRule="auto"/>
              <w:jc w:val="center"/>
              <w:rPr>
                <w:rFonts w:ascii="Arial" w:eastAsia="Times New Roman" w:hAnsi="Arial" w:cs="Arial"/>
                <w:sz w:val="16"/>
                <w:szCs w:val="16"/>
              </w:rPr>
            </w:pPr>
            <w:r>
              <w:rPr>
                <w:rFonts w:ascii="Arial" w:eastAsia="Times New Roman" w:hAnsi="Arial" w:cs="Arial"/>
                <w:sz w:val="16"/>
                <w:szCs w:val="16"/>
              </w:rPr>
              <w:t>Marriages</w:t>
            </w:r>
          </w:p>
        </w:tc>
        <w:tc>
          <w:tcPr>
            <w:tcW w:w="34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bottom"/>
          </w:tcPr>
          <w:p w:rsidR="006D4D6C" w:rsidRDefault="000A30C2">
            <w:pPr>
              <w:spacing w:before="120" w:after="120" w:line="228" w:lineRule="auto"/>
              <w:jc w:val="center"/>
              <w:rPr>
                <w:rFonts w:ascii="Arial" w:eastAsia="Times New Roman" w:hAnsi="Arial" w:cs="Arial"/>
                <w:sz w:val="16"/>
                <w:szCs w:val="16"/>
              </w:rPr>
            </w:pPr>
            <w:r>
              <w:rPr>
                <w:rFonts w:ascii="Arial" w:eastAsia="Times New Roman" w:hAnsi="Arial" w:cs="Arial"/>
                <w:sz w:val="16"/>
                <w:szCs w:val="16"/>
              </w:rPr>
              <w:t>Divorces</w:t>
            </w:r>
          </w:p>
        </w:tc>
      </w:tr>
      <w:tr w:rsidR="006D4D6C">
        <w:trPr>
          <w:trHeight w:val="20"/>
        </w:trPr>
        <w:tc>
          <w:tcPr>
            <w:tcW w:w="340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4D6C" w:rsidRDefault="006D4D6C">
            <w:pPr>
              <w:spacing w:after="0" w:line="228" w:lineRule="auto"/>
              <w:rPr>
                <w:rFonts w:ascii="Arial" w:eastAsia="Times New Roman" w:hAnsi="Arial" w:cs="Arial"/>
                <w:sz w:val="16"/>
                <w:szCs w:val="16"/>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pPr>
              <w:spacing w:before="60" w:after="60" w:line="228" w:lineRule="auto"/>
              <w:jc w:val="center"/>
              <w:rPr>
                <w:rFonts w:ascii="Arial" w:eastAsia="Times New Roman" w:hAnsi="Arial" w:cs="Arial"/>
                <w:sz w:val="16"/>
                <w:szCs w:val="16"/>
              </w:rPr>
            </w:pPr>
            <w:r>
              <w:rPr>
                <w:rFonts w:ascii="Arial" w:eastAsia="Times New Roman" w:hAnsi="Arial" w:cs="Arial"/>
                <w:sz w:val="16"/>
                <w:szCs w:val="16"/>
              </w:rPr>
              <w:t>Total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4D6C" w:rsidRDefault="000A30C2">
            <w:pPr>
              <w:spacing w:before="60" w:after="60" w:line="228" w:lineRule="auto"/>
              <w:jc w:val="center"/>
              <w:rPr>
                <w:rFonts w:ascii="Arial" w:eastAsia="Times New Roman" w:hAnsi="Arial" w:cs="Arial"/>
                <w:sz w:val="16"/>
                <w:szCs w:val="16"/>
              </w:rPr>
            </w:pPr>
            <w:r>
              <w:rPr>
                <w:rFonts w:ascii="Arial" w:eastAsia="Times New Roman" w:hAnsi="Arial" w:cs="Arial"/>
                <w:sz w:val="16"/>
                <w:szCs w:val="16"/>
              </w:rPr>
              <w:t>Per 1 000 population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pPr>
              <w:spacing w:before="60" w:after="60" w:line="228" w:lineRule="auto"/>
              <w:jc w:val="center"/>
              <w:rPr>
                <w:rFonts w:ascii="Arial" w:eastAsia="Times New Roman" w:hAnsi="Arial" w:cs="Arial"/>
                <w:sz w:val="16"/>
                <w:szCs w:val="16"/>
              </w:rPr>
            </w:pPr>
            <w:r>
              <w:rPr>
                <w:rFonts w:ascii="Arial" w:eastAsia="Times New Roman" w:hAnsi="Arial" w:cs="Arial"/>
                <w:sz w:val="16"/>
                <w:szCs w:val="16"/>
              </w:rPr>
              <w:t>Total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4D6C" w:rsidRDefault="000A30C2">
            <w:pPr>
              <w:spacing w:before="60" w:after="60" w:line="228" w:lineRule="auto"/>
              <w:jc w:val="center"/>
              <w:rPr>
                <w:rFonts w:ascii="Arial" w:eastAsia="Times New Roman" w:hAnsi="Arial" w:cs="Arial"/>
                <w:sz w:val="16"/>
                <w:szCs w:val="16"/>
              </w:rPr>
            </w:pPr>
            <w:r>
              <w:rPr>
                <w:rFonts w:ascii="Arial" w:eastAsia="Times New Roman" w:hAnsi="Arial" w:cs="Arial"/>
                <w:sz w:val="16"/>
                <w:szCs w:val="16"/>
              </w:rPr>
              <w:t>Per 1 000 population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6D4D6C" w:rsidRDefault="000A30C2">
            <w:pPr>
              <w:spacing w:before="60" w:after="60" w:line="228" w:lineRule="auto"/>
              <w:jc w:val="center"/>
              <w:rPr>
                <w:rFonts w:ascii="Arial" w:eastAsia="Times New Roman" w:hAnsi="Arial" w:cs="Arial"/>
                <w:sz w:val="16"/>
                <w:szCs w:val="16"/>
              </w:rPr>
            </w:pPr>
            <w:r>
              <w:rPr>
                <w:rFonts w:ascii="Arial" w:eastAsia="Times New Roman" w:hAnsi="Arial" w:cs="Arial"/>
                <w:sz w:val="16"/>
                <w:szCs w:val="16"/>
              </w:rPr>
              <w:t>Per 1 000 marriages</w:t>
            </w:r>
          </w:p>
        </w:tc>
      </w:tr>
      <w:tr w:rsidR="006D4D6C">
        <w:trPr>
          <w:trHeight w:val="20"/>
        </w:trPr>
        <w:tc>
          <w:tcPr>
            <w:tcW w:w="3400" w:type="dxa"/>
            <w:tcBorders>
              <w:top w:val="single" w:sz="4" w:space="0" w:color="808080" w:themeColor="background1" w:themeShade="80"/>
              <w:right w:val="single" w:sz="4" w:space="0" w:color="808080" w:themeColor="background1" w:themeShade="80"/>
            </w:tcBorders>
            <w:shd w:val="clear" w:color="auto" w:fill="auto"/>
            <w:noWrap/>
            <w:vAlign w:val="bottom"/>
          </w:tcPr>
          <w:p w:rsidR="006D4D6C" w:rsidRDefault="006D4D6C">
            <w:pPr>
              <w:spacing w:after="0" w:line="228" w:lineRule="auto"/>
              <w:rPr>
                <w:rFonts w:ascii="Arial" w:eastAsia="Times New Roman" w:hAnsi="Arial" w:cs="Arial"/>
                <w:b/>
                <w:bCs/>
                <w:sz w:val="16"/>
                <w:szCs w:val="16"/>
              </w:rPr>
            </w:pPr>
          </w:p>
        </w:tc>
        <w:tc>
          <w:tcPr>
            <w:tcW w:w="1134" w:type="dxa"/>
            <w:tcBorders>
              <w:top w:val="single" w:sz="4" w:space="0" w:color="808080" w:themeColor="background1" w:themeShade="80"/>
              <w:left w:val="single" w:sz="4" w:space="0" w:color="808080" w:themeColor="background1" w:themeShade="80"/>
            </w:tcBorders>
            <w:shd w:val="clear" w:color="auto" w:fill="auto"/>
            <w:noWrap/>
            <w:vAlign w:val="bottom"/>
          </w:tcPr>
          <w:p w:rsidR="006D4D6C" w:rsidRDefault="006D4D6C">
            <w:pPr>
              <w:spacing w:after="0" w:line="228" w:lineRule="auto"/>
              <w:jc w:val="right"/>
              <w:rPr>
                <w:rFonts w:ascii="Arial" w:eastAsia="Times New Roman" w:hAnsi="Arial" w:cs="Arial"/>
                <w:b/>
                <w:bCs/>
                <w:sz w:val="16"/>
                <w:szCs w:val="16"/>
              </w:rPr>
            </w:pPr>
          </w:p>
        </w:tc>
        <w:tc>
          <w:tcPr>
            <w:tcW w:w="1134" w:type="dxa"/>
            <w:tcBorders>
              <w:top w:val="single" w:sz="4" w:space="0" w:color="808080" w:themeColor="background1" w:themeShade="80"/>
            </w:tcBorders>
            <w:shd w:val="clear" w:color="auto" w:fill="auto"/>
            <w:noWrap/>
            <w:vAlign w:val="bottom"/>
          </w:tcPr>
          <w:p w:rsidR="006D4D6C" w:rsidRDefault="006D4D6C">
            <w:pPr>
              <w:spacing w:after="0" w:line="228" w:lineRule="auto"/>
              <w:jc w:val="right"/>
              <w:rPr>
                <w:rFonts w:ascii="Arial" w:eastAsia="Times New Roman" w:hAnsi="Arial" w:cs="Arial"/>
                <w:b/>
                <w:bCs/>
                <w:sz w:val="16"/>
                <w:szCs w:val="16"/>
              </w:rPr>
            </w:pPr>
          </w:p>
        </w:tc>
        <w:tc>
          <w:tcPr>
            <w:tcW w:w="1134" w:type="dxa"/>
            <w:tcBorders>
              <w:top w:val="single" w:sz="4" w:space="0" w:color="808080" w:themeColor="background1" w:themeShade="80"/>
            </w:tcBorders>
            <w:shd w:val="clear" w:color="auto" w:fill="auto"/>
            <w:noWrap/>
            <w:vAlign w:val="bottom"/>
          </w:tcPr>
          <w:p w:rsidR="006D4D6C" w:rsidRDefault="006D4D6C">
            <w:pPr>
              <w:spacing w:after="0" w:line="228" w:lineRule="auto"/>
              <w:jc w:val="right"/>
              <w:rPr>
                <w:rFonts w:ascii="Arial" w:eastAsia="Times New Roman" w:hAnsi="Arial" w:cs="Arial"/>
                <w:b/>
                <w:bCs/>
                <w:sz w:val="16"/>
                <w:szCs w:val="16"/>
              </w:rPr>
            </w:pPr>
          </w:p>
        </w:tc>
        <w:tc>
          <w:tcPr>
            <w:tcW w:w="1134" w:type="dxa"/>
            <w:tcBorders>
              <w:top w:val="single" w:sz="4" w:space="0" w:color="808080" w:themeColor="background1" w:themeShade="80"/>
            </w:tcBorders>
            <w:shd w:val="clear" w:color="auto" w:fill="auto"/>
            <w:noWrap/>
            <w:vAlign w:val="bottom"/>
          </w:tcPr>
          <w:p w:rsidR="006D4D6C" w:rsidRDefault="006D4D6C">
            <w:pPr>
              <w:spacing w:after="0" w:line="228" w:lineRule="auto"/>
              <w:jc w:val="right"/>
              <w:rPr>
                <w:rFonts w:ascii="Arial" w:eastAsia="Times New Roman" w:hAnsi="Arial" w:cs="Arial"/>
                <w:b/>
                <w:bCs/>
                <w:sz w:val="16"/>
                <w:szCs w:val="16"/>
              </w:rPr>
            </w:pPr>
          </w:p>
        </w:tc>
        <w:tc>
          <w:tcPr>
            <w:tcW w:w="1134" w:type="dxa"/>
            <w:tcBorders>
              <w:top w:val="single" w:sz="4" w:space="0" w:color="808080" w:themeColor="background1" w:themeShade="80"/>
            </w:tcBorders>
            <w:shd w:val="clear" w:color="auto" w:fill="auto"/>
            <w:noWrap/>
            <w:vAlign w:val="bottom"/>
          </w:tcPr>
          <w:p w:rsidR="006D4D6C" w:rsidRDefault="006D4D6C">
            <w:pPr>
              <w:spacing w:after="0" w:line="228" w:lineRule="auto"/>
              <w:jc w:val="right"/>
              <w:rPr>
                <w:rFonts w:ascii="Arial" w:eastAsia="Times New Roman" w:hAnsi="Arial" w:cs="Arial"/>
                <w:b/>
                <w:bCs/>
                <w:sz w:val="16"/>
                <w:szCs w:val="16"/>
              </w:rPr>
            </w:pP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rPr>
                <w:rFonts w:ascii="Arial" w:eastAsia="Times New Roman" w:hAnsi="Arial" w:cs="Arial"/>
                <w:b/>
                <w:bCs/>
                <w:sz w:val="16"/>
                <w:szCs w:val="16"/>
              </w:rPr>
            </w:pPr>
            <w:r>
              <w:rPr>
                <w:rFonts w:ascii="Arial" w:eastAsia="Times New Roman" w:hAnsi="Arial" w:cs="Arial"/>
                <w:b/>
                <w:bCs/>
                <w:sz w:val="16"/>
                <w:szCs w:val="16"/>
              </w:rPr>
              <w:t>REPUBLIC OF SERBIA</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35570</w:t>
            </w:r>
          </w:p>
        </w:tc>
        <w:tc>
          <w:tcPr>
            <w:tcW w:w="1134" w:type="dxa"/>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5.1</w:t>
            </w:r>
          </w:p>
        </w:tc>
        <w:tc>
          <w:tcPr>
            <w:tcW w:w="1134" w:type="dxa"/>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10899</w:t>
            </w:r>
          </w:p>
        </w:tc>
        <w:tc>
          <w:tcPr>
            <w:tcW w:w="1134" w:type="dxa"/>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1.6</w:t>
            </w:r>
          </w:p>
        </w:tc>
        <w:tc>
          <w:tcPr>
            <w:tcW w:w="1134" w:type="dxa"/>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306.4</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 xml:space="preserve">SRBIJA – SEVER </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18781</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5.3</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6460</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1.8</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344.0</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227"/>
              <w:rPr>
                <w:rFonts w:ascii="Arial" w:eastAsia="Times New Roman" w:hAnsi="Arial" w:cs="Arial"/>
                <w:sz w:val="16"/>
                <w:szCs w:val="16"/>
              </w:rPr>
            </w:pPr>
            <w:r>
              <w:rPr>
                <w:rFonts w:ascii="Arial" w:eastAsia="Times New Roman" w:hAnsi="Arial" w:cs="Arial"/>
                <w:sz w:val="16"/>
                <w:szCs w:val="16"/>
              </w:rPr>
              <w:t>Beogradski region</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9055</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5.3</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2791</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1.6</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308.2</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227"/>
              <w:rPr>
                <w:rFonts w:ascii="Arial" w:eastAsia="Times New Roman" w:hAnsi="Arial" w:cs="Arial"/>
                <w:sz w:val="16"/>
                <w:szCs w:val="16"/>
              </w:rPr>
            </w:pPr>
            <w:r>
              <w:rPr>
                <w:rFonts w:ascii="Arial" w:eastAsia="Times New Roman" w:hAnsi="Arial" w:cs="Arial"/>
                <w:sz w:val="16"/>
                <w:szCs w:val="16"/>
              </w:rPr>
              <w:t>Region Vojvodine</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9726</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5.3</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3669</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2.0</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377.2</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 xml:space="preserve">SRBIJA – ЈUG </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16789</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4.9</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4439</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1.3</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264.4</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227"/>
              <w:rPr>
                <w:rFonts w:ascii="Arial" w:eastAsia="Times New Roman" w:hAnsi="Arial" w:cs="Arial"/>
                <w:sz w:val="16"/>
                <w:szCs w:val="16"/>
              </w:rPr>
            </w:pPr>
            <w:r>
              <w:rPr>
                <w:rFonts w:ascii="Arial" w:eastAsia="Times New Roman" w:hAnsi="Arial" w:cs="Arial"/>
                <w:sz w:val="16"/>
                <w:szCs w:val="16"/>
              </w:rPr>
              <w:t>Region Šumadije i Zapadne Srbije</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9695</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5.1</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2349</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1.2</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242.3</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Pr="00DE0803" w:rsidRDefault="000A30C2">
            <w:pPr>
              <w:spacing w:after="0" w:line="240" w:lineRule="auto"/>
              <w:ind w:left="227"/>
              <w:rPr>
                <w:rFonts w:ascii="Arial" w:eastAsia="Times New Roman" w:hAnsi="Arial" w:cs="Arial"/>
                <w:sz w:val="16"/>
                <w:szCs w:val="16"/>
                <w:lang w:val="de-DE"/>
              </w:rPr>
            </w:pPr>
            <w:r w:rsidRPr="00DE0803">
              <w:rPr>
                <w:rFonts w:ascii="Arial" w:eastAsia="Times New Roman" w:hAnsi="Arial" w:cs="Arial"/>
                <w:sz w:val="16"/>
                <w:szCs w:val="16"/>
                <w:lang w:val="de-DE"/>
              </w:rPr>
              <w:t>Region Južne i Istočne Srbije</w:t>
            </w:r>
          </w:p>
        </w:tc>
        <w:tc>
          <w:tcPr>
            <w:tcW w:w="1134" w:type="dxa"/>
            <w:tcBorders>
              <w:left w:val="single" w:sz="4" w:space="0" w:color="808080" w:themeColor="background1" w:themeShade="80"/>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7094</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4.8</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2090</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1.4</w:t>
            </w:r>
          </w:p>
        </w:tc>
        <w:tc>
          <w:tcPr>
            <w:tcW w:w="1134" w:type="dxa"/>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294.6</w:t>
            </w:r>
          </w:p>
        </w:tc>
      </w:tr>
      <w:tr w:rsidR="006D4D6C">
        <w:trPr>
          <w:trHeight w:val="20"/>
        </w:trPr>
        <w:tc>
          <w:tcPr>
            <w:tcW w:w="3400" w:type="dxa"/>
            <w:tcBorders>
              <w:right w:val="single" w:sz="4" w:space="0" w:color="808080" w:themeColor="background1" w:themeShade="80"/>
            </w:tcBorders>
            <w:shd w:val="clear" w:color="auto" w:fill="auto"/>
            <w:noWrap/>
            <w:vAlign w:val="bottom"/>
          </w:tcPr>
          <w:p w:rsidR="006D4D6C" w:rsidRDefault="000A30C2">
            <w:pPr>
              <w:spacing w:after="0" w:line="240" w:lineRule="auto"/>
              <w:ind w:left="227"/>
              <w:rPr>
                <w:rFonts w:ascii="Arial" w:eastAsia="Times New Roman" w:hAnsi="Arial" w:cs="Arial"/>
                <w:sz w:val="16"/>
                <w:szCs w:val="16"/>
              </w:rPr>
            </w:pPr>
            <w:r>
              <w:rPr>
                <w:rFonts w:ascii="Arial" w:eastAsia="Times New Roman" w:hAnsi="Arial" w:cs="Arial"/>
                <w:sz w:val="16"/>
                <w:szCs w:val="16"/>
              </w:rPr>
              <w:t>Region Kosovo i Metohija</w:t>
            </w:r>
          </w:p>
        </w:tc>
        <w:tc>
          <w:tcPr>
            <w:tcW w:w="1134" w:type="dxa"/>
            <w:tcBorders>
              <w:left w:val="single" w:sz="4" w:space="0" w:color="808080" w:themeColor="background1" w:themeShade="80"/>
            </w:tcBorders>
            <w:shd w:val="clear" w:color="auto" w:fill="auto"/>
            <w:noWrap/>
            <w:vAlign w:val="bottom"/>
          </w:tcPr>
          <w:p w:rsidR="006D4D6C" w:rsidRDefault="000A30C2">
            <w:pPr>
              <w:spacing w:after="0" w:line="240" w:lineRule="auto"/>
              <w:ind w:right="170"/>
              <w:jc w:val="right"/>
              <w:rPr>
                <w:rFonts w:ascii="Arial" w:eastAsia="Times New Roman" w:hAnsi="Arial" w:cs="Arial"/>
                <w:sz w:val="16"/>
                <w:szCs w:val="16"/>
              </w:rPr>
            </w:pPr>
            <w:r>
              <w:rPr>
                <w:rFonts w:ascii="Arial" w:eastAsia="Times New Roman" w:hAnsi="Arial" w:cs="Arial"/>
                <w:sz w:val="16"/>
                <w:szCs w:val="16"/>
              </w:rPr>
              <w:t>...</w:t>
            </w:r>
          </w:p>
        </w:tc>
        <w:tc>
          <w:tcPr>
            <w:tcW w:w="1134" w:type="dxa"/>
            <w:shd w:val="clear" w:color="auto" w:fill="auto"/>
            <w:noWrap/>
            <w:vAlign w:val="bottom"/>
          </w:tcPr>
          <w:p w:rsidR="006D4D6C" w:rsidRDefault="000A30C2">
            <w:pPr>
              <w:spacing w:after="0" w:line="240" w:lineRule="auto"/>
              <w:ind w:right="170"/>
              <w:jc w:val="right"/>
              <w:rPr>
                <w:rFonts w:ascii="Arial" w:eastAsia="Times New Roman" w:hAnsi="Arial" w:cs="Arial"/>
                <w:sz w:val="16"/>
                <w:szCs w:val="16"/>
              </w:rPr>
            </w:pPr>
            <w:r>
              <w:rPr>
                <w:rFonts w:ascii="Arial" w:eastAsia="Times New Roman" w:hAnsi="Arial" w:cs="Arial"/>
                <w:sz w:val="16"/>
                <w:szCs w:val="16"/>
              </w:rPr>
              <w:t>...</w:t>
            </w:r>
          </w:p>
        </w:tc>
        <w:tc>
          <w:tcPr>
            <w:tcW w:w="1134" w:type="dxa"/>
            <w:shd w:val="clear" w:color="auto" w:fill="auto"/>
            <w:noWrap/>
            <w:vAlign w:val="bottom"/>
          </w:tcPr>
          <w:p w:rsidR="006D4D6C" w:rsidRDefault="000A30C2">
            <w:pPr>
              <w:spacing w:after="0" w:line="240" w:lineRule="auto"/>
              <w:ind w:right="170"/>
              <w:jc w:val="right"/>
              <w:rPr>
                <w:rFonts w:ascii="Arial" w:eastAsia="Times New Roman" w:hAnsi="Arial" w:cs="Arial"/>
                <w:sz w:val="16"/>
                <w:szCs w:val="16"/>
              </w:rPr>
            </w:pPr>
            <w:r>
              <w:rPr>
                <w:rFonts w:ascii="Arial" w:eastAsia="Times New Roman" w:hAnsi="Arial" w:cs="Arial"/>
                <w:sz w:val="16"/>
                <w:szCs w:val="16"/>
              </w:rPr>
              <w:t>...</w:t>
            </w:r>
          </w:p>
        </w:tc>
        <w:tc>
          <w:tcPr>
            <w:tcW w:w="1134" w:type="dxa"/>
            <w:shd w:val="clear" w:color="auto" w:fill="auto"/>
            <w:noWrap/>
            <w:vAlign w:val="bottom"/>
          </w:tcPr>
          <w:p w:rsidR="006D4D6C" w:rsidRDefault="000A30C2">
            <w:pPr>
              <w:spacing w:after="0" w:line="240" w:lineRule="auto"/>
              <w:ind w:right="170"/>
              <w:jc w:val="right"/>
              <w:rPr>
                <w:rFonts w:ascii="Arial" w:eastAsia="Times New Roman" w:hAnsi="Arial" w:cs="Arial"/>
                <w:sz w:val="16"/>
                <w:szCs w:val="16"/>
              </w:rPr>
            </w:pPr>
            <w:r>
              <w:rPr>
                <w:rFonts w:ascii="Arial" w:eastAsia="Times New Roman" w:hAnsi="Arial" w:cs="Arial"/>
                <w:sz w:val="16"/>
                <w:szCs w:val="16"/>
              </w:rPr>
              <w:t>...</w:t>
            </w:r>
          </w:p>
        </w:tc>
        <w:tc>
          <w:tcPr>
            <w:tcW w:w="1134" w:type="dxa"/>
            <w:shd w:val="clear" w:color="auto" w:fill="auto"/>
            <w:noWrap/>
            <w:vAlign w:val="bottom"/>
          </w:tcPr>
          <w:p w:rsidR="006D4D6C" w:rsidRDefault="000A30C2">
            <w:pPr>
              <w:spacing w:after="0" w:line="240" w:lineRule="auto"/>
              <w:ind w:right="170"/>
              <w:jc w:val="right"/>
              <w:rPr>
                <w:rFonts w:ascii="Arial" w:eastAsia="Times New Roman" w:hAnsi="Arial" w:cs="Arial"/>
                <w:sz w:val="16"/>
                <w:szCs w:val="16"/>
              </w:rPr>
            </w:pPr>
            <w:r>
              <w:rPr>
                <w:rFonts w:ascii="Arial" w:eastAsia="Times New Roman" w:hAnsi="Arial" w:cs="Arial"/>
                <w:sz w:val="16"/>
                <w:szCs w:val="16"/>
              </w:rPr>
              <w:t>...</w:t>
            </w:r>
          </w:p>
        </w:tc>
      </w:tr>
    </w:tbl>
    <w:p w:rsidR="006D4D6C" w:rsidRDefault="006D4D6C">
      <w:pPr>
        <w:spacing w:after="120" w:line="240" w:lineRule="auto"/>
        <w:rPr>
          <w:rFonts w:ascii="Arial" w:hAnsi="Arial" w:cs="Arial"/>
          <w:b/>
        </w:rPr>
      </w:pPr>
    </w:p>
    <w:p w:rsidR="006D4D6C" w:rsidRDefault="000A30C2">
      <w:pPr>
        <w:spacing w:after="120" w:line="240" w:lineRule="auto"/>
        <w:rPr>
          <w:rFonts w:ascii="Arial" w:hAnsi="Arial" w:cs="Arial"/>
          <w:b/>
        </w:rPr>
      </w:pPr>
      <w:r>
        <w:rPr>
          <w:rFonts w:ascii="Arial" w:hAnsi="Arial" w:cs="Arial"/>
          <w:b/>
        </w:rPr>
        <w:lastRenderedPageBreak/>
        <w:t>Main indicators of marriages and divorces over 2015</w:t>
      </w:r>
      <w:r>
        <w:rPr>
          <w:rFonts w:ascii="Arial" w:hAnsi="Arial" w:cs="Arial"/>
          <w:b/>
          <w:sz w:val="20"/>
          <w:szCs w:val="20"/>
        </w:rPr>
        <w:t>–</w:t>
      </w:r>
      <w:r>
        <w:rPr>
          <w:rFonts w:ascii="Arial" w:hAnsi="Arial" w:cs="Arial"/>
          <w:b/>
        </w:rPr>
        <w:t>2019</w:t>
      </w:r>
    </w:p>
    <w:p w:rsidR="006D4D6C" w:rsidRDefault="000A30C2">
      <w:pPr>
        <w:spacing w:before="120" w:after="0" w:line="240" w:lineRule="auto"/>
        <w:ind w:firstLine="397"/>
        <w:jc w:val="both"/>
        <w:rPr>
          <w:rFonts w:ascii="Arial" w:hAnsi="Arial" w:cs="Arial"/>
          <w:sz w:val="20"/>
          <w:szCs w:val="20"/>
        </w:rPr>
      </w:pPr>
      <w:r>
        <w:rPr>
          <w:rFonts w:ascii="Arial" w:hAnsi="Arial" w:cs="Arial"/>
          <w:sz w:val="20"/>
          <w:szCs w:val="20"/>
        </w:rPr>
        <w:t>Over 2015–2019 the number of marriages in the Republic of Serbia amounted, on average, to 36 162, and the average value of crude marriage rate was 5.1 per 1000 population. The number of divorces indicates a considerable growth in the reference year, 1 518 divorces more in 2019 than in 2015.</w:t>
      </w:r>
    </w:p>
    <w:p w:rsidR="006D4D6C" w:rsidRDefault="000A30C2">
      <w:pPr>
        <w:spacing w:before="120" w:after="0" w:line="240" w:lineRule="auto"/>
        <w:ind w:firstLine="397"/>
        <w:jc w:val="both"/>
        <w:rPr>
          <w:rFonts w:ascii="Arial" w:hAnsi="Arial" w:cs="Arial"/>
          <w:sz w:val="20"/>
          <w:szCs w:val="20"/>
        </w:rPr>
      </w:pPr>
      <w:r>
        <w:rPr>
          <w:rFonts w:ascii="Arial" w:hAnsi="Arial" w:cs="Arial"/>
          <w:sz w:val="20"/>
          <w:szCs w:val="20"/>
        </w:rPr>
        <w:t>The age at which men and women are getting married is rising, but they also divorce later. The difference in the age between spouses amounts, on average, to slightly more than three years – men are older than women, when looking at marriages and divorces.</w:t>
      </w:r>
    </w:p>
    <w:p w:rsidR="006D4D6C" w:rsidRDefault="000A30C2">
      <w:pPr>
        <w:spacing w:before="240" w:after="60" w:line="228" w:lineRule="auto"/>
        <w:rPr>
          <w:rFonts w:ascii="Arial" w:hAnsi="Arial" w:cs="Arial"/>
          <w:sz w:val="20"/>
          <w:szCs w:val="20"/>
        </w:rPr>
      </w:pPr>
      <w:r>
        <w:rPr>
          <w:rFonts w:ascii="Arial" w:hAnsi="Arial" w:cs="Arial"/>
          <w:b/>
          <w:sz w:val="20"/>
          <w:szCs w:val="20"/>
        </w:rPr>
        <w:t xml:space="preserve">Таble 2. </w:t>
      </w:r>
      <w:r>
        <w:rPr>
          <w:rFonts w:ascii="Arial" w:hAnsi="Arial" w:cs="Arial"/>
          <w:sz w:val="20"/>
          <w:szCs w:val="20"/>
        </w:rPr>
        <w:t>Main indicators of marriages and divorces over 2015–2019</w:t>
      </w:r>
    </w:p>
    <w:p w:rsidR="006D4D6C" w:rsidRDefault="000A30C2">
      <w:pPr>
        <w:spacing w:before="120" w:after="60" w:line="228" w:lineRule="auto"/>
        <w:rPr>
          <w:rFonts w:ascii="Arial" w:hAnsi="Arial" w:cs="Arial"/>
          <w:b/>
          <w:sz w:val="18"/>
          <w:szCs w:val="18"/>
        </w:rPr>
      </w:pPr>
      <w:r>
        <w:rPr>
          <w:rFonts w:ascii="Arial" w:hAnsi="Arial" w:cs="Arial"/>
          <w:b/>
          <w:sz w:val="18"/>
          <w:szCs w:val="18"/>
        </w:rPr>
        <w:t>Republic of Serbia</w:t>
      </w:r>
    </w:p>
    <w:tbl>
      <w:tblPr>
        <w:tblW w:w="9074" w:type="dxa"/>
        <w:tblCellMar>
          <w:left w:w="28" w:type="dxa"/>
          <w:right w:w="28" w:type="dxa"/>
        </w:tblCellMar>
        <w:tblLook w:val="04A0" w:firstRow="1" w:lastRow="0" w:firstColumn="1" w:lastColumn="0" w:noHBand="0" w:noVBand="1"/>
      </w:tblPr>
      <w:tblGrid>
        <w:gridCol w:w="3969"/>
        <w:gridCol w:w="1021"/>
        <w:gridCol w:w="1021"/>
        <w:gridCol w:w="1021"/>
        <w:gridCol w:w="1021"/>
        <w:gridCol w:w="1021"/>
      </w:tblGrid>
      <w:tr w:rsidR="006D4D6C" w:rsidTr="00500AAA">
        <w:trPr>
          <w:trHeight w:val="20"/>
        </w:trPr>
        <w:tc>
          <w:tcPr>
            <w:tcW w:w="39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rsidR="006D4D6C" w:rsidRDefault="000A30C2">
            <w:pPr>
              <w:spacing w:before="120" w:after="120" w:line="240" w:lineRule="auto"/>
              <w:rPr>
                <w:rFonts w:ascii="Arial" w:eastAsia="Times New Roman" w:hAnsi="Arial" w:cs="Arial"/>
                <w:sz w:val="16"/>
                <w:szCs w:val="16"/>
              </w:rPr>
            </w:pPr>
            <w:r>
              <w:rPr>
                <w:rFonts w:ascii="Arial" w:eastAsia="Times New Roman" w:hAnsi="Arial" w:cs="Arial"/>
                <w:sz w:val="16"/>
                <w:szCs w:val="16"/>
              </w:rPr>
              <w:t> </w:t>
            </w:r>
          </w:p>
        </w:tc>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rsidP="00500AAA">
            <w:pPr>
              <w:spacing w:after="0"/>
              <w:jc w:val="center"/>
              <w:rPr>
                <w:rFonts w:ascii="Arial" w:eastAsia="Times New Roman" w:hAnsi="Arial" w:cs="Arial"/>
                <w:sz w:val="16"/>
                <w:szCs w:val="16"/>
              </w:rPr>
            </w:pPr>
            <w:r>
              <w:rPr>
                <w:rFonts w:ascii="Arial" w:eastAsia="Times New Roman" w:hAnsi="Arial" w:cs="Arial"/>
                <w:sz w:val="16"/>
                <w:szCs w:val="16"/>
              </w:rPr>
              <w:t>2015</w:t>
            </w:r>
          </w:p>
        </w:tc>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rsidP="00500AAA">
            <w:pPr>
              <w:spacing w:after="0"/>
              <w:jc w:val="center"/>
              <w:rPr>
                <w:rFonts w:ascii="Arial" w:eastAsia="Times New Roman" w:hAnsi="Arial" w:cs="Arial"/>
                <w:sz w:val="16"/>
                <w:szCs w:val="16"/>
              </w:rPr>
            </w:pPr>
            <w:r>
              <w:rPr>
                <w:rFonts w:ascii="Arial" w:eastAsia="Times New Roman" w:hAnsi="Arial" w:cs="Arial"/>
                <w:sz w:val="16"/>
                <w:szCs w:val="16"/>
              </w:rPr>
              <w:t>2016</w:t>
            </w:r>
          </w:p>
        </w:tc>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rsidP="00500AAA">
            <w:pPr>
              <w:spacing w:after="0"/>
              <w:jc w:val="center"/>
              <w:rPr>
                <w:rFonts w:ascii="Arial" w:eastAsia="Times New Roman" w:hAnsi="Arial" w:cs="Arial"/>
                <w:sz w:val="16"/>
                <w:szCs w:val="16"/>
              </w:rPr>
            </w:pPr>
            <w:r>
              <w:rPr>
                <w:rFonts w:ascii="Arial" w:eastAsia="Times New Roman" w:hAnsi="Arial" w:cs="Arial"/>
                <w:sz w:val="16"/>
                <w:szCs w:val="16"/>
              </w:rPr>
              <w:t>2017</w:t>
            </w:r>
          </w:p>
        </w:tc>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rsidR="006D4D6C" w:rsidRDefault="000A30C2" w:rsidP="00500AAA">
            <w:pPr>
              <w:spacing w:after="0"/>
              <w:jc w:val="center"/>
              <w:rPr>
                <w:rFonts w:ascii="Arial" w:eastAsia="Times New Roman" w:hAnsi="Arial" w:cs="Arial"/>
                <w:sz w:val="16"/>
                <w:szCs w:val="16"/>
              </w:rPr>
            </w:pPr>
            <w:r>
              <w:rPr>
                <w:rFonts w:ascii="Arial" w:eastAsia="Times New Roman" w:hAnsi="Arial" w:cs="Arial"/>
                <w:sz w:val="16"/>
                <w:szCs w:val="16"/>
              </w:rPr>
              <w:t>2018</w:t>
            </w:r>
          </w:p>
        </w:tc>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noWrap/>
            <w:vAlign w:val="center"/>
          </w:tcPr>
          <w:p w:rsidR="006D4D6C" w:rsidRDefault="000A30C2" w:rsidP="00500AAA">
            <w:pPr>
              <w:spacing w:after="0"/>
              <w:jc w:val="center"/>
              <w:rPr>
                <w:rFonts w:ascii="Arial" w:eastAsia="Times New Roman" w:hAnsi="Arial" w:cs="Arial"/>
                <w:sz w:val="16"/>
                <w:szCs w:val="16"/>
              </w:rPr>
            </w:pPr>
            <w:r>
              <w:rPr>
                <w:rFonts w:ascii="Arial" w:eastAsia="Times New Roman" w:hAnsi="Arial" w:cs="Arial"/>
                <w:sz w:val="16"/>
                <w:szCs w:val="16"/>
              </w:rPr>
              <w:t>2019</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6D4D6C">
            <w:pPr>
              <w:spacing w:after="0" w:line="240" w:lineRule="auto"/>
              <w:rPr>
                <w:rFonts w:ascii="Arial" w:eastAsia="Times New Roman" w:hAnsi="Arial" w:cs="Arial"/>
                <w:b/>
                <w:bCs/>
                <w:sz w:val="16"/>
                <w:szCs w:val="16"/>
              </w:rPr>
            </w:pP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jc w:val="right"/>
              <w:rPr>
                <w:rFonts w:ascii="Arial" w:eastAsia="Times New Roman" w:hAnsi="Arial" w:cs="Arial"/>
                <w:b/>
                <w:bCs/>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jc w:val="right"/>
              <w:rPr>
                <w:rFonts w:ascii="Arial" w:eastAsia="Times New Roman" w:hAnsi="Arial" w:cs="Arial"/>
                <w:b/>
                <w:bCs/>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jc w:val="right"/>
              <w:rPr>
                <w:rFonts w:ascii="Arial" w:eastAsia="Times New Roman" w:hAnsi="Arial" w:cs="Arial"/>
                <w:b/>
                <w:bCs/>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jc w:val="right"/>
              <w:rPr>
                <w:rFonts w:ascii="Arial" w:eastAsia="Times New Roman" w:hAnsi="Arial" w:cs="Arial"/>
                <w:b/>
                <w:bCs/>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jc w:val="right"/>
              <w:rPr>
                <w:rFonts w:ascii="Arial" w:eastAsia="Times New Roman" w:hAnsi="Arial" w:cs="Arial"/>
                <w:b/>
                <w:bCs/>
                <w:sz w:val="16"/>
                <w:szCs w:val="16"/>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b/>
                <w:bCs/>
                <w:sz w:val="16"/>
                <w:szCs w:val="16"/>
              </w:rPr>
            </w:pPr>
            <w:r>
              <w:rPr>
                <w:rFonts w:ascii="Arial" w:eastAsia="Times New Roman" w:hAnsi="Arial" w:cs="Arial"/>
                <w:b/>
                <w:bCs/>
                <w:sz w:val="16"/>
                <w:szCs w:val="16"/>
              </w:rPr>
              <w:t>Marriages – total</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36949</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35921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36047</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36321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bCs/>
                <w:sz w:val="16"/>
                <w:szCs w:val="16"/>
              </w:rPr>
            </w:pPr>
            <w:r>
              <w:rPr>
                <w:rFonts w:ascii="Arial" w:eastAsia="Times New Roman" w:hAnsi="Arial" w:cs="Arial"/>
                <w:b/>
                <w:bCs/>
                <w:sz w:val="16"/>
                <w:szCs w:val="16"/>
              </w:rPr>
              <w:t>35570</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8"/>
                <w:szCs w:val="8"/>
              </w:rPr>
            </w:pPr>
            <w:r>
              <w:rPr>
                <w:rFonts w:ascii="Arial" w:eastAsia="Times New Roman" w:hAnsi="Arial" w:cs="Arial"/>
                <w:sz w:val="8"/>
                <w:szCs w:val="8"/>
              </w:rPr>
              <w:t>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b/>
                <w:bCs/>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16"/>
                <w:szCs w:val="16"/>
              </w:rPr>
            </w:pPr>
            <w:r>
              <w:rPr>
                <w:rFonts w:ascii="Arial" w:eastAsia="Times New Roman" w:hAnsi="Arial" w:cs="Arial"/>
                <w:sz w:val="16"/>
                <w:szCs w:val="16"/>
              </w:rPr>
              <w:t xml:space="preserve">Marriages per 1 000 population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w:t>
            </w:r>
            <w:r w:rsidR="00500AAA">
              <w:rPr>
                <w:rFonts w:ascii="Arial" w:eastAsia="Times New Roman" w:hAnsi="Arial" w:cs="Arial"/>
                <w:sz w:val="16"/>
                <w:szCs w:val="16"/>
              </w:rPr>
              <w:t>.</w:t>
            </w:r>
            <w:r>
              <w:rPr>
                <w:rFonts w:ascii="Arial" w:eastAsia="Times New Roman" w:hAnsi="Arial" w:cs="Arial"/>
                <w:sz w:val="16"/>
                <w:szCs w:val="16"/>
              </w:rPr>
              <w:t>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w:t>
            </w:r>
            <w:r w:rsidR="00500AAA">
              <w:rPr>
                <w:rFonts w:ascii="Arial" w:eastAsia="Times New Roman" w:hAnsi="Arial" w:cs="Arial"/>
                <w:sz w:val="16"/>
                <w:szCs w:val="16"/>
              </w:rPr>
              <w:t>.</w:t>
            </w:r>
            <w:r>
              <w:rPr>
                <w:rFonts w:ascii="Arial" w:eastAsia="Times New Roman" w:hAnsi="Arial" w:cs="Arial"/>
                <w:sz w:val="16"/>
                <w:szCs w:val="16"/>
              </w:rPr>
              <w:t>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5</w:t>
            </w:r>
            <w:r w:rsidR="00500AAA">
              <w:rPr>
                <w:rFonts w:ascii="Arial" w:eastAsia="Times New Roman" w:hAnsi="Arial" w:cs="Arial"/>
                <w:sz w:val="16"/>
                <w:szCs w:val="16"/>
              </w:rPr>
              <w:t>.</w:t>
            </w:r>
            <w:r>
              <w:rPr>
                <w:rFonts w:ascii="Arial" w:eastAsia="Times New Roman" w:hAnsi="Arial" w:cs="Arial"/>
                <w:sz w:val="16"/>
                <w:szCs w:val="16"/>
              </w:rPr>
              <w:t>1</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8"/>
                <w:szCs w:val="8"/>
              </w:rPr>
            </w:pPr>
            <w:r>
              <w:rPr>
                <w:rFonts w:ascii="Arial" w:eastAsia="Times New Roman" w:hAnsi="Arial" w:cs="Arial"/>
                <w:sz w:val="8"/>
                <w:szCs w:val="8"/>
              </w:rPr>
              <w:t>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16"/>
                <w:szCs w:val="16"/>
              </w:rPr>
            </w:pPr>
            <w:r>
              <w:rPr>
                <w:rFonts w:ascii="Arial" w:eastAsia="Times New Roman" w:hAnsi="Arial" w:cs="Arial"/>
                <w:sz w:val="16"/>
                <w:szCs w:val="16"/>
              </w:rPr>
              <w:t>Average age at the time of marriage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 xml:space="preserve">Groom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33</w:t>
            </w:r>
            <w:r w:rsidR="00500AAA">
              <w:rPr>
                <w:rFonts w:ascii="Arial" w:eastAsia="Times New Roman" w:hAnsi="Arial" w:cs="Arial"/>
                <w:sz w:val="16"/>
                <w:szCs w:val="16"/>
              </w:rPr>
              <w:t>.</w:t>
            </w:r>
            <w:r>
              <w:rPr>
                <w:rFonts w:ascii="Arial" w:eastAsia="Times New Roman" w:hAnsi="Arial" w:cs="Arial"/>
                <w:sz w:val="16"/>
                <w:szCs w:val="16"/>
              </w:rPr>
              <w:t>7</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34</w:t>
            </w:r>
            <w:r w:rsidR="00500AAA">
              <w:rPr>
                <w:rFonts w:ascii="Arial" w:eastAsia="Times New Roman" w:hAnsi="Arial" w:cs="Arial"/>
                <w:sz w:val="16"/>
                <w:szCs w:val="16"/>
              </w:rPr>
              <w:t>.</w:t>
            </w:r>
            <w:r>
              <w:rPr>
                <w:rFonts w:ascii="Arial" w:eastAsia="Times New Roman" w:hAnsi="Arial" w:cs="Arial"/>
                <w:sz w:val="16"/>
                <w:szCs w:val="16"/>
              </w:rPr>
              <w:t>0</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34</w:t>
            </w:r>
            <w:r w:rsidR="00500AAA">
              <w:rPr>
                <w:rFonts w:ascii="Arial" w:eastAsia="Times New Roman" w:hAnsi="Arial" w:cs="Arial"/>
                <w:sz w:val="16"/>
                <w:szCs w:val="16"/>
              </w:rPr>
              <w:t>.</w:t>
            </w:r>
            <w:r>
              <w:rPr>
                <w:rFonts w:ascii="Arial" w:eastAsia="Times New Roman" w:hAnsi="Arial" w:cs="Arial"/>
                <w:sz w:val="16"/>
                <w:szCs w:val="16"/>
              </w:rPr>
              <w:t>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34</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34</w:t>
            </w:r>
            <w:r w:rsidR="00500AAA">
              <w:rPr>
                <w:rFonts w:ascii="Arial" w:eastAsia="Times New Roman" w:hAnsi="Arial" w:cs="Arial"/>
                <w:sz w:val="16"/>
                <w:szCs w:val="16"/>
              </w:rPr>
              <w:t>.</w:t>
            </w:r>
            <w:r>
              <w:rPr>
                <w:rFonts w:ascii="Arial" w:eastAsia="Times New Roman" w:hAnsi="Arial" w:cs="Arial"/>
                <w:sz w:val="16"/>
                <w:szCs w:val="16"/>
              </w:rPr>
              <w:t>5</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Bride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w:t>
            </w:r>
            <w:r w:rsidR="00500AAA">
              <w:rPr>
                <w:rFonts w:ascii="Arial" w:eastAsia="Times New Roman" w:hAnsi="Arial" w:cs="Arial"/>
                <w:sz w:val="16"/>
                <w:szCs w:val="16"/>
              </w:rPr>
              <w:t>.</w:t>
            </w:r>
            <w:r>
              <w:rPr>
                <w:rFonts w:ascii="Arial" w:eastAsia="Times New Roman" w:hAnsi="Arial" w:cs="Arial"/>
                <w:sz w:val="16"/>
                <w:szCs w:val="16"/>
              </w:rPr>
              <w:t>6</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w:t>
            </w:r>
            <w:r w:rsidR="00500AAA">
              <w:rPr>
                <w:rFonts w:ascii="Arial" w:eastAsia="Times New Roman" w:hAnsi="Arial" w:cs="Arial"/>
                <w:sz w:val="16"/>
                <w:szCs w:val="16"/>
              </w:rPr>
              <w:t>.</w:t>
            </w:r>
            <w:r>
              <w:rPr>
                <w:rFonts w:ascii="Arial" w:eastAsia="Times New Roman" w:hAnsi="Arial" w:cs="Arial"/>
                <w:sz w:val="16"/>
                <w:szCs w:val="16"/>
              </w:rPr>
              <w:t>8</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3</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8"/>
                <w:szCs w:val="8"/>
              </w:rPr>
            </w:pPr>
            <w:r>
              <w:rPr>
                <w:rFonts w:ascii="Arial" w:eastAsia="Times New Roman" w:hAnsi="Arial" w:cs="Arial"/>
                <w:sz w:val="8"/>
                <w:szCs w:val="8"/>
              </w:rPr>
              <w:t>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b/>
                <w:bCs/>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16"/>
                <w:szCs w:val="16"/>
              </w:rPr>
            </w:pPr>
            <w:r>
              <w:rPr>
                <w:rFonts w:ascii="Arial" w:eastAsia="Times New Roman" w:hAnsi="Arial" w:cs="Arial"/>
                <w:sz w:val="16"/>
                <w:szCs w:val="16"/>
              </w:rPr>
              <w:t>First marriages – total</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30248</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29048</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28919</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29005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28113</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8"/>
                <w:szCs w:val="8"/>
              </w:rPr>
            </w:pPr>
            <w:r>
              <w:rPr>
                <w:rFonts w:ascii="Arial" w:eastAsia="Times New Roman" w:hAnsi="Arial" w:cs="Arial"/>
                <w:sz w:val="8"/>
                <w:szCs w:val="8"/>
              </w:rPr>
              <w:t>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b/>
                <w:bCs/>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16"/>
                <w:szCs w:val="16"/>
              </w:rPr>
            </w:pPr>
            <w:r>
              <w:rPr>
                <w:rFonts w:ascii="Arial" w:eastAsia="Times New Roman" w:hAnsi="Arial" w:cs="Arial"/>
                <w:sz w:val="16"/>
                <w:szCs w:val="16"/>
              </w:rPr>
              <w:t>Average age at the time of the first marriage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rPr>
                <w:rFonts w:ascii="Arial" w:eastAsia="Times New Roman" w:hAnsi="Arial" w:cs="Arial"/>
                <w:sz w:val="16"/>
                <w:szCs w:val="16"/>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 xml:space="preserve">Groom </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0</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31</w:t>
            </w:r>
            <w:r w:rsidR="00500AAA">
              <w:rPr>
                <w:rFonts w:ascii="Arial" w:eastAsia="Times New Roman" w:hAnsi="Arial" w:cs="Arial"/>
                <w:sz w:val="16"/>
                <w:szCs w:val="16"/>
              </w:rPr>
              <w:t>.</w:t>
            </w:r>
            <w:r>
              <w:rPr>
                <w:rFonts w:ascii="Arial" w:eastAsia="Times New Roman" w:hAnsi="Arial" w:cs="Arial"/>
                <w:sz w:val="16"/>
                <w:szCs w:val="16"/>
              </w:rPr>
              <w:t>4</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Bride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w:t>
            </w:r>
            <w:r w:rsidR="00500AAA">
              <w:rPr>
                <w:rFonts w:ascii="Arial" w:eastAsia="Times New Roman" w:hAnsi="Arial" w:cs="Arial"/>
                <w:sz w:val="16"/>
                <w:szCs w:val="16"/>
              </w:rPr>
              <w:t>.</w:t>
            </w:r>
            <w:r>
              <w:rPr>
                <w:rFonts w:ascii="Arial" w:eastAsia="Times New Roman" w:hAnsi="Arial" w:cs="Arial"/>
                <w:sz w:val="16"/>
                <w:szCs w:val="16"/>
              </w:rPr>
              <w:t>0</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w:t>
            </w:r>
            <w:r w:rsidR="00500AAA">
              <w:rPr>
                <w:rFonts w:ascii="Arial" w:eastAsia="Times New Roman" w:hAnsi="Arial" w:cs="Arial"/>
                <w:sz w:val="16"/>
                <w:szCs w:val="16"/>
              </w:rPr>
              <w:t>.</w:t>
            </w:r>
            <w:r>
              <w:rPr>
                <w:rFonts w:ascii="Arial" w:eastAsia="Times New Roman" w:hAnsi="Arial" w:cs="Arial"/>
                <w:sz w:val="16"/>
                <w:szCs w:val="16"/>
              </w:rPr>
              <w:t>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28</w:t>
            </w:r>
            <w:r w:rsidR="00500AAA">
              <w:rPr>
                <w:rFonts w:ascii="Arial" w:eastAsia="Times New Roman" w:hAnsi="Arial" w:cs="Arial"/>
                <w:sz w:val="16"/>
                <w:szCs w:val="16"/>
              </w:rPr>
              <w:t>.</w:t>
            </w:r>
            <w:r>
              <w:rPr>
                <w:rFonts w:ascii="Arial" w:eastAsia="Times New Roman" w:hAnsi="Arial" w:cs="Arial"/>
                <w:sz w:val="16"/>
                <w:szCs w:val="16"/>
              </w:rPr>
              <w:t>6</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6D4D6C">
            <w:pPr>
              <w:spacing w:after="0" w:line="240" w:lineRule="auto"/>
              <w:ind w:firstLineChars="100" w:firstLine="80"/>
              <w:rPr>
                <w:rFonts w:ascii="Arial" w:eastAsia="Times New Roman" w:hAnsi="Arial" w:cs="Arial"/>
                <w:b/>
                <w:sz w:val="8"/>
                <w:szCs w:val="8"/>
              </w:rPr>
            </w:pP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b/>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b/>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b/>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b/>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b/>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b/>
                <w:sz w:val="16"/>
                <w:szCs w:val="16"/>
              </w:rPr>
            </w:pPr>
            <w:r>
              <w:rPr>
                <w:rFonts w:ascii="Arial" w:eastAsia="Times New Roman" w:hAnsi="Arial" w:cs="Arial"/>
                <w:b/>
                <w:sz w:val="16"/>
                <w:szCs w:val="16"/>
              </w:rPr>
              <w:t>Divorces – total</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b/>
                <w:sz w:val="16"/>
                <w:szCs w:val="16"/>
              </w:rPr>
            </w:pPr>
            <w:r>
              <w:rPr>
                <w:rFonts w:ascii="Arial" w:eastAsia="Times New Roman" w:hAnsi="Arial" w:cs="Arial"/>
                <w:b/>
                <w:sz w:val="16"/>
                <w:szCs w:val="16"/>
              </w:rPr>
              <w:t>9381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sz w:val="16"/>
                <w:szCs w:val="16"/>
              </w:rPr>
            </w:pPr>
            <w:r>
              <w:rPr>
                <w:rFonts w:ascii="Arial" w:eastAsia="Times New Roman" w:hAnsi="Arial" w:cs="Arial"/>
                <w:b/>
                <w:sz w:val="16"/>
                <w:szCs w:val="16"/>
              </w:rPr>
              <w:t>9046</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sz w:val="16"/>
                <w:szCs w:val="16"/>
              </w:rPr>
            </w:pPr>
            <w:r>
              <w:rPr>
                <w:rFonts w:ascii="Arial" w:eastAsia="Times New Roman" w:hAnsi="Arial" w:cs="Arial"/>
                <w:b/>
                <w:sz w:val="16"/>
                <w:szCs w:val="16"/>
              </w:rPr>
              <w:t>9262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sz w:val="16"/>
                <w:szCs w:val="16"/>
              </w:rPr>
            </w:pPr>
            <w:r>
              <w:rPr>
                <w:rFonts w:ascii="Arial" w:eastAsia="Times New Roman" w:hAnsi="Arial" w:cs="Arial"/>
                <w:b/>
                <w:sz w:val="16"/>
                <w:szCs w:val="16"/>
              </w:rPr>
              <w:t>9995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b/>
                <w:sz w:val="16"/>
                <w:szCs w:val="16"/>
              </w:rPr>
            </w:pPr>
            <w:r>
              <w:rPr>
                <w:rFonts w:ascii="Arial" w:eastAsia="Times New Roman" w:hAnsi="Arial" w:cs="Arial"/>
                <w:b/>
                <w:sz w:val="16"/>
                <w:szCs w:val="16"/>
              </w:rPr>
              <w:t>10899</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6D4D6C">
            <w:pPr>
              <w:spacing w:after="0" w:line="240" w:lineRule="auto"/>
              <w:ind w:left="113"/>
              <w:rPr>
                <w:rFonts w:ascii="Arial" w:eastAsia="Times New Roman" w:hAnsi="Arial" w:cs="Arial"/>
                <w:sz w:val="8"/>
                <w:szCs w:val="8"/>
              </w:rPr>
            </w:pP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Divorces per 1 000 population</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w:t>
            </w:r>
            <w:r w:rsidR="00500AAA">
              <w:rPr>
                <w:rFonts w:ascii="Arial" w:eastAsia="Times New Roman" w:hAnsi="Arial" w:cs="Arial"/>
                <w:sz w:val="16"/>
                <w:szCs w:val="16"/>
              </w:rPr>
              <w:t>.</w:t>
            </w:r>
            <w:r>
              <w:rPr>
                <w:rFonts w:ascii="Arial" w:eastAsia="Times New Roman" w:hAnsi="Arial" w:cs="Arial"/>
                <w:sz w:val="16"/>
                <w:szCs w:val="16"/>
              </w:rPr>
              <w:t>3</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w:t>
            </w:r>
            <w:r w:rsidR="00500AAA">
              <w:rPr>
                <w:rFonts w:ascii="Arial" w:eastAsia="Times New Roman" w:hAnsi="Arial" w:cs="Arial"/>
                <w:sz w:val="16"/>
                <w:szCs w:val="16"/>
              </w:rPr>
              <w:t>.</w:t>
            </w:r>
            <w:r>
              <w:rPr>
                <w:rFonts w:ascii="Arial" w:eastAsia="Times New Roman" w:hAnsi="Arial" w:cs="Arial"/>
                <w:sz w:val="16"/>
                <w:szCs w:val="16"/>
              </w:rPr>
              <w:t>4</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1</w:t>
            </w:r>
            <w:r w:rsidR="00500AAA">
              <w:rPr>
                <w:rFonts w:ascii="Arial" w:eastAsia="Times New Roman" w:hAnsi="Arial" w:cs="Arial"/>
                <w:sz w:val="16"/>
                <w:szCs w:val="16"/>
              </w:rPr>
              <w:t>.</w:t>
            </w:r>
            <w:r>
              <w:rPr>
                <w:rFonts w:ascii="Arial" w:eastAsia="Times New Roman" w:hAnsi="Arial" w:cs="Arial"/>
                <w:sz w:val="16"/>
                <w:szCs w:val="16"/>
              </w:rPr>
              <w:t>6</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Divorces per 1 000 marriages</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253</w:t>
            </w:r>
            <w:r w:rsidR="00500AAA">
              <w:rPr>
                <w:rFonts w:ascii="Arial" w:eastAsia="Times New Roman" w:hAnsi="Arial" w:cs="Arial"/>
                <w:sz w:val="16"/>
                <w:szCs w:val="16"/>
              </w:rPr>
              <w:t>.</w:t>
            </w:r>
            <w:r>
              <w:rPr>
                <w:rFonts w:ascii="Arial" w:eastAsia="Times New Roman" w:hAnsi="Arial" w:cs="Arial"/>
                <w:sz w:val="16"/>
                <w:szCs w:val="16"/>
              </w:rPr>
              <w:t>9</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251</w:t>
            </w:r>
            <w:r w:rsidR="00500AAA">
              <w:rPr>
                <w:rFonts w:ascii="Arial" w:eastAsia="Times New Roman" w:hAnsi="Arial" w:cs="Arial"/>
                <w:sz w:val="16"/>
                <w:szCs w:val="16"/>
              </w:rPr>
              <w:t>.</w:t>
            </w:r>
            <w:r>
              <w:rPr>
                <w:rFonts w:ascii="Arial" w:eastAsia="Times New Roman" w:hAnsi="Arial" w:cs="Arial"/>
                <w:sz w:val="16"/>
                <w:szCs w:val="16"/>
              </w:rPr>
              <w:t>8</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256</w:t>
            </w:r>
            <w:r w:rsidR="00500AAA">
              <w:rPr>
                <w:rFonts w:ascii="Arial" w:eastAsia="Times New Roman" w:hAnsi="Arial" w:cs="Arial"/>
                <w:sz w:val="16"/>
                <w:szCs w:val="16"/>
              </w:rPr>
              <w:t>.</w:t>
            </w:r>
            <w:r>
              <w:rPr>
                <w:rFonts w:ascii="Arial" w:eastAsia="Times New Roman" w:hAnsi="Arial" w:cs="Arial"/>
                <w:sz w:val="16"/>
                <w:szCs w:val="16"/>
              </w:rPr>
              <w:t>9</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275</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306</w:t>
            </w:r>
            <w:r w:rsidR="00500AAA">
              <w:rPr>
                <w:rFonts w:ascii="Arial" w:eastAsia="Times New Roman" w:hAnsi="Arial" w:cs="Arial"/>
                <w:sz w:val="16"/>
                <w:szCs w:val="16"/>
              </w:rPr>
              <w:t>.</w:t>
            </w:r>
            <w:r>
              <w:rPr>
                <w:rFonts w:ascii="Arial" w:eastAsia="Times New Roman" w:hAnsi="Arial" w:cs="Arial"/>
                <w:sz w:val="16"/>
                <w:szCs w:val="16"/>
              </w:rPr>
              <w:t>4</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6D4D6C">
            <w:pPr>
              <w:spacing w:after="0" w:line="240" w:lineRule="auto"/>
              <w:ind w:left="113"/>
              <w:rPr>
                <w:rFonts w:ascii="Arial" w:eastAsia="Times New Roman" w:hAnsi="Arial" w:cs="Arial"/>
                <w:sz w:val="8"/>
                <w:szCs w:val="8"/>
              </w:rPr>
            </w:pP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8"/>
                <w:szCs w:val="8"/>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rPr>
                <w:rFonts w:ascii="Arial" w:eastAsia="Times New Roman" w:hAnsi="Arial" w:cs="Arial"/>
                <w:sz w:val="16"/>
                <w:szCs w:val="16"/>
              </w:rPr>
            </w:pPr>
            <w:r>
              <w:rPr>
                <w:rFonts w:ascii="Arial" w:eastAsia="Times New Roman" w:hAnsi="Arial" w:cs="Arial"/>
                <w:sz w:val="16"/>
                <w:szCs w:val="16"/>
              </w:rPr>
              <w:t>Average age at the time of divorce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bottom"/>
          </w:tcPr>
          <w:p w:rsidR="006D4D6C" w:rsidRDefault="006D4D6C">
            <w:pPr>
              <w:spacing w:after="0"/>
              <w:ind w:right="170"/>
              <w:jc w:val="right"/>
              <w:rPr>
                <w:rFonts w:ascii="Arial" w:eastAsia="Times New Roman" w:hAnsi="Arial" w:cs="Arial"/>
                <w:sz w:val="16"/>
                <w:szCs w:val="16"/>
              </w:rPr>
            </w:pP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Husband</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43</w:t>
            </w:r>
            <w:r w:rsidR="00500AAA">
              <w:rPr>
                <w:rFonts w:ascii="Arial" w:eastAsia="Times New Roman" w:hAnsi="Arial" w:cs="Arial"/>
                <w:sz w:val="16"/>
                <w:szCs w:val="16"/>
              </w:rPr>
              <w:t>.</w:t>
            </w:r>
            <w:r>
              <w:rPr>
                <w:rFonts w:ascii="Arial" w:eastAsia="Times New Roman" w:hAnsi="Arial" w:cs="Arial"/>
                <w:sz w:val="16"/>
                <w:szCs w:val="16"/>
              </w:rPr>
              <w:t>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43</w:t>
            </w:r>
            <w:r w:rsidR="00500AAA">
              <w:rPr>
                <w:rFonts w:ascii="Arial" w:eastAsia="Times New Roman" w:hAnsi="Arial" w:cs="Arial"/>
                <w:sz w:val="16"/>
                <w:szCs w:val="16"/>
              </w:rPr>
              <w:t>.</w:t>
            </w:r>
            <w:r>
              <w:rPr>
                <w:rFonts w:ascii="Arial" w:eastAsia="Times New Roman" w:hAnsi="Arial" w:cs="Arial"/>
                <w:sz w:val="16"/>
                <w:szCs w:val="16"/>
              </w:rPr>
              <w:t>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43</w:t>
            </w:r>
            <w:r w:rsidR="00500AAA">
              <w:rPr>
                <w:rFonts w:ascii="Arial" w:eastAsia="Times New Roman" w:hAnsi="Arial" w:cs="Arial"/>
                <w:sz w:val="16"/>
                <w:szCs w:val="16"/>
              </w:rPr>
              <w:t>.</w:t>
            </w:r>
            <w:r>
              <w:rPr>
                <w:rFonts w:ascii="Arial" w:eastAsia="Times New Roman" w:hAnsi="Arial" w:cs="Arial"/>
                <w:sz w:val="16"/>
                <w:szCs w:val="16"/>
              </w:rPr>
              <w:t>7</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44</w:t>
            </w:r>
            <w:r w:rsidR="00500AAA">
              <w:rPr>
                <w:rFonts w:ascii="Arial" w:eastAsia="Times New Roman" w:hAnsi="Arial" w:cs="Arial"/>
                <w:sz w:val="16"/>
                <w:szCs w:val="16"/>
              </w:rPr>
              <w:t>.</w:t>
            </w:r>
            <w:r>
              <w:rPr>
                <w:rFonts w:ascii="Arial" w:eastAsia="Times New Roman" w:hAnsi="Arial" w:cs="Arial"/>
                <w:sz w:val="16"/>
                <w:szCs w:val="16"/>
              </w:rPr>
              <w:t>1</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44</w:t>
            </w:r>
            <w:r w:rsidR="00500AAA">
              <w:rPr>
                <w:rFonts w:ascii="Arial" w:eastAsia="Times New Roman" w:hAnsi="Arial" w:cs="Arial"/>
                <w:sz w:val="16"/>
                <w:szCs w:val="16"/>
              </w:rPr>
              <w:t>.</w:t>
            </w:r>
            <w:r>
              <w:rPr>
                <w:rFonts w:ascii="Arial" w:eastAsia="Times New Roman" w:hAnsi="Arial" w:cs="Arial"/>
                <w:sz w:val="16"/>
                <w:szCs w:val="16"/>
              </w:rPr>
              <w:t>2</w:t>
            </w:r>
          </w:p>
        </w:tc>
      </w:tr>
      <w:tr w:rsidR="006D4D6C">
        <w:trPr>
          <w:trHeight w:val="20"/>
        </w:trPr>
        <w:tc>
          <w:tcPr>
            <w:tcW w:w="3969" w:type="dxa"/>
            <w:tcBorders>
              <w:top w:val="nil"/>
              <w:left w:val="nil"/>
              <w:bottom w:val="nil"/>
              <w:right w:val="single" w:sz="4" w:space="0" w:color="808080" w:themeColor="background1" w:themeShade="80"/>
            </w:tcBorders>
            <w:shd w:val="clear" w:color="auto" w:fill="auto"/>
            <w:vAlign w:val="bottom"/>
          </w:tcPr>
          <w:p w:rsidR="006D4D6C" w:rsidRDefault="000A30C2">
            <w:pPr>
              <w:spacing w:after="0" w:line="240" w:lineRule="auto"/>
              <w:ind w:left="113"/>
              <w:rPr>
                <w:rFonts w:ascii="Arial" w:eastAsia="Times New Roman" w:hAnsi="Arial" w:cs="Arial"/>
                <w:sz w:val="16"/>
                <w:szCs w:val="16"/>
              </w:rPr>
            </w:pPr>
            <w:r>
              <w:rPr>
                <w:rFonts w:ascii="Arial" w:eastAsia="Times New Roman" w:hAnsi="Arial" w:cs="Arial"/>
                <w:sz w:val="16"/>
                <w:szCs w:val="16"/>
              </w:rPr>
              <w:t>Wife</w:t>
            </w:r>
          </w:p>
        </w:tc>
        <w:tc>
          <w:tcPr>
            <w:tcW w:w="1021" w:type="dxa"/>
            <w:tcBorders>
              <w:top w:val="nil"/>
              <w:left w:val="single" w:sz="4" w:space="0" w:color="808080" w:themeColor="background1" w:themeShade="80"/>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39</w:t>
            </w:r>
            <w:r w:rsidR="00500AAA">
              <w:rPr>
                <w:rFonts w:ascii="Arial" w:eastAsia="Times New Roman" w:hAnsi="Arial" w:cs="Arial"/>
                <w:sz w:val="16"/>
                <w:szCs w:val="16"/>
              </w:rPr>
              <w:t>.</w:t>
            </w:r>
            <w:r>
              <w:rPr>
                <w:rFonts w:ascii="Arial" w:eastAsia="Times New Roman" w:hAnsi="Arial" w:cs="Arial"/>
                <w:sz w:val="16"/>
                <w:szCs w:val="16"/>
              </w:rPr>
              <w:t>8</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40</w:t>
            </w:r>
            <w:r w:rsidR="00500AAA">
              <w:rPr>
                <w:rFonts w:ascii="Arial" w:eastAsia="Times New Roman" w:hAnsi="Arial" w:cs="Arial"/>
                <w:sz w:val="16"/>
                <w:szCs w:val="16"/>
              </w:rPr>
              <w:t>.</w:t>
            </w:r>
            <w:r>
              <w:rPr>
                <w:rFonts w:ascii="Arial" w:eastAsia="Times New Roman" w:hAnsi="Arial" w:cs="Arial"/>
                <w:sz w:val="16"/>
                <w:szCs w:val="16"/>
              </w:rPr>
              <w:t>0</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40</w:t>
            </w:r>
            <w:r w:rsidR="00500AAA">
              <w:rPr>
                <w:rFonts w:ascii="Arial" w:eastAsia="Times New Roman" w:hAnsi="Arial" w:cs="Arial"/>
                <w:sz w:val="16"/>
                <w:szCs w:val="16"/>
              </w:rPr>
              <w:t>.</w:t>
            </w:r>
            <w:r>
              <w:rPr>
                <w:rFonts w:ascii="Arial" w:eastAsia="Times New Roman" w:hAnsi="Arial" w:cs="Arial"/>
                <w:sz w:val="16"/>
                <w:szCs w:val="16"/>
              </w:rPr>
              <w:t>2</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40</w:t>
            </w:r>
            <w:r w:rsidR="00500AAA">
              <w:rPr>
                <w:rFonts w:ascii="Arial" w:eastAsia="Times New Roman" w:hAnsi="Arial" w:cs="Arial"/>
                <w:sz w:val="16"/>
                <w:szCs w:val="16"/>
              </w:rPr>
              <w:t>.</w:t>
            </w:r>
            <w:r>
              <w:rPr>
                <w:rFonts w:ascii="Arial" w:eastAsia="Times New Roman" w:hAnsi="Arial" w:cs="Arial"/>
                <w:sz w:val="16"/>
                <w:szCs w:val="16"/>
              </w:rPr>
              <w:t>5</w:t>
            </w:r>
          </w:p>
        </w:tc>
        <w:tc>
          <w:tcPr>
            <w:tcW w:w="1021" w:type="dxa"/>
            <w:tcBorders>
              <w:top w:val="nil"/>
              <w:left w:val="nil"/>
              <w:bottom w:val="nil"/>
              <w:right w:val="nil"/>
            </w:tcBorders>
            <w:shd w:val="clear" w:color="auto" w:fill="auto"/>
            <w:noWrap/>
            <w:vAlign w:val="bottom"/>
          </w:tcPr>
          <w:p w:rsidR="006D4D6C" w:rsidRDefault="000A30C2">
            <w:pPr>
              <w:spacing w:after="0"/>
              <w:ind w:right="170"/>
              <w:jc w:val="right"/>
              <w:rPr>
                <w:rFonts w:ascii="Arial" w:eastAsia="Times New Roman" w:hAnsi="Arial" w:cs="Arial"/>
                <w:sz w:val="16"/>
                <w:szCs w:val="16"/>
              </w:rPr>
            </w:pPr>
            <w:r>
              <w:rPr>
                <w:rFonts w:ascii="Arial" w:eastAsia="Times New Roman" w:hAnsi="Arial" w:cs="Arial"/>
                <w:sz w:val="16"/>
                <w:szCs w:val="16"/>
              </w:rPr>
              <w:t>40</w:t>
            </w:r>
            <w:r w:rsidR="00500AAA">
              <w:rPr>
                <w:rFonts w:ascii="Arial" w:eastAsia="Times New Roman" w:hAnsi="Arial" w:cs="Arial"/>
                <w:sz w:val="16"/>
                <w:szCs w:val="16"/>
              </w:rPr>
              <w:t>.</w:t>
            </w:r>
            <w:r>
              <w:rPr>
                <w:rFonts w:ascii="Arial" w:eastAsia="Times New Roman" w:hAnsi="Arial" w:cs="Arial"/>
                <w:sz w:val="16"/>
                <w:szCs w:val="16"/>
              </w:rPr>
              <w:t>6</w:t>
            </w:r>
          </w:p>
        </w:tc>
      </w:tr>
    </w:tbl>
    <w:p w:rsidR="006D4D6C" w:rsidRDefault="006D4D6C">
      <w:pPr>
        <w:spacing w:before="120" w:after="120" w:line="216" w:lineRule="auto"/>
        <w:jc w:val="center"/>
        <w:rPr>
          <w:rFonts w:ascii="Arial" w:hAnsi="Arial" w:cs="Arial"/>
          <w:b/>
          <w:sz w:val="20"/>
          <w:szCs w:val="20"/>
        </w:rPr>
      </w:pPr>
    </w:p>
    <w:p w:rsidR="006D4D6C" w:rsidRDefault="000A30C2">
      <w:pPr>
        <w:spacing w:before="240" w:after="240" w:line="192" w:lineRule="auto"/>
        <w:jc w:val="center"/>
        <w:rPr>
          <w:rFonts w:ascii="Arial" w:hAnsi="Arial" w:cs="Arial"/>
          <w:b/>
        </w:rPr>
      </w:pPr>
      <w:r>
        <w:rPr>
          <w:rFonts w:ascii="Arial" w:hAnsi="Arial" w:cs="Arial"/>
          <w:b/>
        </w:rPr>
        <w:t>Меthodological explanations</w:t>
      </w:r>
    </w:p>
    <w:p w:rsidR="006D4D6C" w:rsidRDefault="000A30C2">
      <w:pPr>
        <w:spacing w:before="120" w:after="120" w:line="240" w:lineRule="auto"/>
        <w:ind w:firstLine="397"/>
        <w:jc w:val="both"/>
        <w:rPr>
          <w:rFonts w:ascii="Arial" w:hAnsi="Arial" w:cs="Arial"/>
          <w:b/>
          <w:sz w:val="20"/>
          <w:szCs w:val="20"/>
        </w:rPr>
      </w:pPr>
      <w:r>
        <w:rPr>
          <w:rFonts w:ascii="Arial" w:hAnsi="Arial" w:cs="Arial"/>
          <w:b/>
          <w:sz w:val="20"/>
          <w:szCs w:val="20"/>
        </w:rPr>
        <w:t xml:space="preserve">Marriage </w:t>
      </w:r>
      <w:r>
        <w:rPr>
          <w:rFonts w:ascii="Arial" w:hAnsi="Arial" w:cs="Arial"/>
          <w:sz w:val="20"/>
          <w:szCs w:val="20"/>
        </w:rPr>
        <w:t xml:space="preserve">is the cohabitation of woman and man governed by law (Family Law, „Official Gazette of the RS“ No 18/2005, 72/2011 and other law, 6/2015). </w:t>
      </w:r>
    </w:p>
    <w:p w:rsidR="006D4D6C" w:rsidRDefault="000A30C2">
      <w:pPr>
        <w:pStyle w:val="Pasus"/>
        <w:spacing w:before="120" w:after="120"/>
        <w:ind w:left="0" w:firstLine="397"/>
        <w:rPr>
          <w:sz w:val="20"/>
          <w:szCs w:val="20"/>
        </w:rPr>
      </w:pPr>
      <w:r>
        <w:rPr>
          <w:b/>
          <w:sz w:val="20"/>
          <w:szCs w:val="20"/>
        </w:rPr>
        <w:t xml:space="preserve">Marriage </w:t>
      </w:r>
      <w:r>
        <w:rPr>
          <w:sz w:val="20"/>
          <w:szCs w:val="20"/>
        </w:rPr>
        <w:t>is a marriage concluded according to valid regulations and registered in marriage registrar.</w:t>
      </w:r>
    </w:p>
    <w:p w:rsidR="006D4D6C" w:rsidRDefault="000A30C2">
      <w:pPr>
        <w:pStyle w:val="Pasus"/>
        <w:spacing w:before="120" w:after="120"/>
        <w:ind w:left="0" w:firstLine="397"/>
        <w:rPr>
          <w:sz w:val="20"/>
          <w:szCs w:val="20"/>
        </w:rPr>
      </w:pPr>
      <w:r>
        <w:rPr>
          <w:b/>
          <w:sz w:val="20"/>
          <w:szCs w:val="20"/>
        </w:rPr>
        <w:t xml:space="preserve">Crude marriage rate </w:t>
      </w:r>
      <w:r>
        <w:rPr>
          <w:sz w:val="20"/>
          <w:szCs w:val="20"/>
        </w:rPr>
        <w:t>is the number of marriages per 1 000 population in the reference year.</w:t>
      </w:r>
    </w:p>
    <w:p w:rsidR="006D4D6C" w:rsidRDefault="000A30C2">
      <w:pPr>
        <w:pStyle w:val="Pasus"/>
        <w:spacing w:before="120" w:after="120"/>
        <w:ind w:left="0" w:firstLine="397"/>
        <w:rPr>
          <w:sz w:val="20"/>
          <w:szCs w:val="20"/>
        </w:rPr>
      </w:pPr>
      <w:r>
        <w:rPr>
          <w:b/>
          <w:sz w:val="20"/>
          <w:szCs w:val="20"/>
        </w:rPr>
        <w:t xml:space="preserve">Divorce </w:t>
      </w:r>
      <w:r>
        <w:rPr>
          <w:sz w:val="20"/>
          <w:szCs w:val="20"/>
        </w:rPr>
        <w:t>is every legally terminated and annulled marriage by the competent court. The way a marriage terminates is governed by the Family Law.</w:t>
      </w:r>
    </w:p>
    <w:p w:rsidR="006D4D6C" w:rsidRDefault="000A30C2">
      <w:pPr>
        <w:pStyle w:val="Pasus"/>
        <w:spacing w:before="120" w:after="120"/>
        <w:ind w:left="0" w:firstLine="397"/>
        <w:rPr>
          <w:sz w:val="20"/>
          <w:szCs w:val="20"/>
        </w:rPr>
      </w:pPr>
      <w:r>
        <w:rPr>
          <w:b/>
          <w:sz w:val="20"/>
          <w:szCs w:val="20"/>
        </w:rPr>
        <w:t xml:space="preserve">Crude divorce rate </w:t>
      </w:r>
      <w:r>
        <w:rPr>
          <w:sz w:val="20"/>
          <w:szCs w:val="20"/>
        </w:rPr>
        <w:t>is the number of divorces per 1 000 population in the reference year.</w:t>
      </w:r>
    </w:p>
    <w:p w:rsidR="006D4D6C" w:rsidRDefault="000A30C2">
      <w:pPr>
        <w:spacing w:before="120" w:after="120" w:line="240" w:lineRule="auto"/>
        <w:ind w:firstLine="397"/>
        <w:jc w:val="both"/>
        <w:rPr>
          <w:rFonts w:ascii="Arial" w:hAnsi="Arial" w:cs="Arial"/>
          <w:b/>
          <w:sz w:val="20"/>
          <w:szCs w:val="20"/>
        </w:rPr>
      </w:pPr>
      <w:r>
        <w:rPr>
          <w:rFonts w:ascii="Arial" w:hAnsi="Arial" w:cs="Arial"/>
          <w:sz w:val="20"/>
          <w:szCs w:val="20"/>
        </w:rPr>
        <w:t>Since 2018 a new method of data collection has been introduced for divorces. Reports are electronically retrieved from the judicial information system of which the Ministry of Justice is in charge.</w:t>
      </w:r>
    </w:p>
    <w:p w:rsidR="006D4D6C" w:rsidRDefault="000A30C2">
      <w:pPr>
        <w:spacing w:before="120" w:after="120" w:line="240" w:lineRule="auto"/>
        <w:ind w:firstLine="397"/>
        <w:jc w:val="both"/>
        <w:rPr>
          <w:rFonts w:ascii="Arial" w:hAnsi="Arial" w:cs="Arial"/>
          <w:sz w:val="20"/>
          <w:szCs w:val="20"/>
        </w:rPr>
      </w:pPr>
      <w:r>
        <w:rPr>
          <w:rFonts w:ascii="Arial" w:hAnsi="Arial" w:cs="Arial"/>
          <w:sz w:val="20"/>
          <w:szCs w:val="20"/>
        </w:rPr>
        <w:t xml:space="preserve">Starting from 1998 the Statistical Office of the Republic of Serbia has not available data for AP Kosovo and Metohija therefore these data are not included in the coverage for the Republic of Serbia (total). </w:t>
      </w:r>
    </w:p>
    <w:p w:rsidR="006D4D6C" w:rsidRDefault="006D4D6C">
      <w:pPr>
        <w:spacing w:before="120" w:after="120" w:line="216" w:lineRule="auto"/>
        <w:ind w:firstLine="397"/>
        <w:rPr>
          <w:rFonts w:ascii="Arial" w:hAnsi="Arial" w:cs="Arial"/>
          <w:sz w:val="20"/>
          <w:szCs w:val="20"/>
        </w:rPr>
      </w:pPr>
    </w:p>
    <w:p w:rsidR="006D4D6C" w:rsidRDefault="000A30C2">
      <w:pPr>
        <w:pBdr>
          <w:top w:val="single" w:sz="4" w:space="1" w:color="808080" w:themeColor="background1" w:themeShade="80"/>
        </w:pBdr>
        <w:spacing w:before="480" w:after="0" w:line="264" w:lineRule="auto"/>
        <w:jc w:val="center"/>
        <w:rPr>
          <w:rFonts w:ascii="Arial" w:hAnsi="Arial" w:cs="Arial"/>
          <w:sz w:val="18"/>
          <w:szCs w:val="18"/>
        </w:rPr>
      </w:pPr>
      <w:r>
        <w:rPr>
          <w:rFonts w:ascii="Arial" w:hAnsi="Arial" w:cs="Arial"/>
          <w:sz w:val="18"/>
          <w:szCs w:val="18"/>
        </w:rPr>
        <w:t xml:space="preserve">Contact: </w:t>
      </w:r>
      <w:r>
        <w:rPr>
          <w:rFonts w:ascii="Arial" w:hAnsi="Arial" w:cs="Arial"/>
          <w:color w:val="0000FF"/>
          <w:sz w:val="18"/>
          <w:szCs w:val="18"/>
        </w:rPr>
        <w:t>gordana.jordanovski@stat.gov.rs</w:t>
      </w:r>
      <w:r>
        <w:rPr>
          <w:rFonts w:ascii="Arial" w:hAnsi="Arial" w:cs="Arial"/>
          <w:sz w:val="18"/>
          <w:szCs w:val="18"/>
        </w:rPr>
        <w:t>, tel.:  +381 11 2412-922, extension 344</w:t>
      </w:r>
    </w:p>
    <w:p w:rsidR="006D4D6C" w:rsidRDefault="000A30C2">
      <w:pPr>
        <w:pBdr>
          <w:top w:val="single" w:sz="4" w:space="1" w:color="808080" w:themeColor="background1" w:themeShade="80"/>
        </w:pBdr>
        <w:spacing w:after="0" w:line="264" w:lineRule="auto"/>
        <w:jc w:val="center"/>
      </w:pPr>
      <w:r>
        <w:rPr>
          <w:rFonts w:ascii="Arial" w:hAnsi="Arial" w:cs="Arial"/>
          <w:sz w:val="18"/>
          <w:szCs w:val="18"/>
        </w:rPr>
        <w:t xml:space="preserve">Published and printed by: Statistical Office of the Republic of Serbia, 11 050 Belgrade, Мilana Rakica 5 </w:t>
      </w:r>
      <w:r>
        <w:rPr>
          <w:rFonts w:ascii="Arial" w:hAnsi="Arial" w:cs="Arial"/>
          <w:sz w:val="18"/>
          <w:szCs w:val="18"/>
        </w:rPr>
        <w:br/>
        <w:t>Telephone:  +381 11 2412-922 (telephone exchange) • Telefax: +381 11 2411-260 • www.stat.gov.rs</w:t>
      </w:r>
      <w:r>
        <w:rPr>
          <w:rFonts w:ascii="Arial" w:hAnsi="Arial" w:cs="Arial"/>
          <w:sz w:val="18"/>
          <w:szCs w:val="18"/>
        </w:rPr>
        <w:br/>
        <w:t xml:space="preserve">Responsible: Dr Miladin Kovacevic, Director </w:t>
      </w:r>
      <w:r>
        <w:rPr>
          <w:rFonts w:ascii="Arial" w:hAnsi="Arial" w:cs="Arial"/>
          <w:sz w:val="18"/>
          <w:szCs w:val="18"/>
        </w:rPr>
        <w:br/>
        <w:t>Circulation: 20 ● Issued annually</w:t>
      </w:r>
    </w:p>
    <w:sectPr w:rsidR="006D4D6C" w:rsidSect="00A71A7F">
      <w:footerReference w:type="even" r:id="rId8"/>
      <w:footerReference w:type="default" r:id="rId9"/>
      <w:pgSz w:w="12240" w:h="15840"/>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71" w:rsidRDefault="00F20E71">
      <w:pPr>
        <w:spacing w:line="240" w:lineRule="auto"/>
      </w:pPr>
      <w:r>
        <w:separator/>
      </w:r>
    </w:p>
  </w:endnote>
  <w:endnote w:type="continuationSeparator" w:id="0">
    <w:p w:rsidR="00F20E71" w:rsidRDefault="00F2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13" w:rsidRDefault="00565ADE" w:rsidP="006E0E13">
    <w:pPr>
      <w:pStyle w:val="Footer"/>
      <w:pBdr>
        <w:top w:val="single" w:sz="4" w:space="1" w:color="808080" w:themeColor="background1" w:themeShade="80"/>
      </w:pBdr>
      <w:jc w:val="right"/>
      <w:rPr>
        <w:rFonts w:ascii="Arial" w:hAnsi="Arial" w:cs="Arial"/>
        <w:sz w:val="16"/>
        <w:szCs w:val="16"/>
      </w:rPr>
    </w:pPr>
    <w:sdt>
      <w:sdtPr>
        <w:id w:val="345375881"/>
        <w:docPartObj>
          <w:docPartGallery w:val="Page Numbers (Bottom of Page)"/>
          <w:docPartUnique/>
        </w:docPartObj>
      </w:sdtPr>
      <w:sdtEndPr>
        <w:rPr>
          <w:noProof/>
        </w:rPr>
      </w:sdtEndPr>
      <w:sdtContent>
        <w:r w:rsidR="006E0E13" w:rsidRPr="006E0E13">
          <w:rPr>
            <w:rFonts w:ascii="Arial" w:hAnsi="Arial" w:cs="Arial"/>
            <w:sz w:val="16"/>
            <w:szCs w:val="16"/>
          </w:rPr>
          <w:fldChar w:fldCharType="begin"/>
        </w:r>
        <w:r w:rsidR="006E0E13" w:rsidRPr="006E0E13">
          <w:rPr>
            <w:rFonts w:ascii="Arial" w:hAnsi="Arial" w:cs="Arial"/>
            <w:sz w:val="16"/>
            <w:szCs w:val="16"/>
          </w:rPr>
          <w:instrText xml:space="preserve"> PAGE   \* MERGEFORMAT </w:instrText>
        </w:r>
        <w:r w:rsidR="006E0E13" w:rsidRPr="006E0E13">
          <w:rPr>
            <w:rFonts w:ascii="Arial" w:hAnsi="Arial" w:cs="Arial"/>
            <w:sz w:val="16"/>
            <w:szCs w:val="16"/>
          </w:rPr>
          <w:fldChar w:fldCharType="separate"/>
        </w:r>
        <w:r>
          <w:rPr>
            <w:rFonts w:ascii="Arial" w:hAnsi="Arial" w:cs="Arial"/>
            <w:noProof/>
            <w:sz w:val="16"/>
            <w:szCs w:val="16"/>
          </w:rPr>
          <w:t>2</w:t>
        </w:r>
        <w:r w:rsidR="006E0E13" w:rsidRPr="006E0E13">
          <w:rPr>
            <w:rFonts w:ascii="Arial" w:hAnsi="Arial" w:cs="Arial"/>
            <w:noProof/>
            <w:sz w:val="16"/>
            <w:szCs w:val="16"/>
          </w:rPr>
          <w:fldChar w:fldCharType="end"/>
        </w:r>
        <w:r w:rsidR="006E0E13" w:rsidRPr="006E0E13">
          <w:rPr>
            <w:rFonts w:ascii="Arial" w:hAnsi="Arial" w:cs="Arial"/>
            <w:noProof/>
            <w:sz w:val="16"/>
            <w:szCs w:val="16"/>
          </w:rPr>
          <w:t xml:space="preserve">  </w:t>
        </w:r>
        <w:r w:rsidR="006E0E13">
          <w:rPr>
            <w:noProof/>
          </w:rPr>
          <w:t xml:space="preserve"> </w:t>
        </w:r>
        <w:r w:rsidR="00C35217">
          <w:rPr>
            <w:noProof/>
          </w:rPr>
          <w:t xml:space="preserve">     </w:t>
        </w:r>
        <w:r w:rsidR="006E0E13">
          <w:rPr>
            <w:noProof/>
          </w:rPr>
          <w:t xml:space="preserve">   </w:t>
        </w:r>
      </w:sdtContent>
    </w:sdt>
    <w:r w:rsidR="006E0E13">
      <w:rPr>
        <w:noProof/>
      </w:rPr>
      <w:t xml:space="preserve"> </w:t>
    </w:r>
    <w:sdt>
      <w:sdtPr>
        <w:rPr>
          <w:rFonts w:ascii="Arial" w:hAnsi="Arial" w:cs="Arial"/>
          <w:sz w:val="16"/>
          <w:szCs w:val="16"/>
        </w:rPr>
        <w:id w:val="441738943"/>
      </w:sdtPr>
      <w:sdtEndPr/>
      <w:sdtContent>
        <w:r w:rsidR="006E0E13">
          <w:rPr>
            <w:rFonts w:ascii="Arial" w:hAnsi="Arial" w:cs="Arial"/>
            <w:sz w:val="16"/>
            <w:szCs w:val="16"/>
          </w:rPr>
          <w:t xml:space="preserve">                                                                                                                                                                                 </w:t>
        </w:r>
        <w:r w:rsidR="006E0E13" w:rsidRPr="006E0E13">
          <w:rPr>
            <w:rFonts w:ascii="Arial" w:hAnsi="Arial" w:cs="Arial"/>
            <w:sz w:val="16"/>
            <w:szCs w:val="16"/>
          </w:rPr>
          <w:t xml:space="preserve">SRB188 SN50 </w:t>
        </w:r>
        <w:r w:rsidR="00C35217">
          <w:rPr>
            <w:rFonts w:ascii="Arial" w:hAnsi="Arial" w:cs="Arial"/>
            <w:sz w:val="16"/>
            <w:szCs w:val="16"/>
          </w:rPr>
          <w:t>100720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sdtPr>
    <w:sdtEndPr/>
    <w:sdtContent>
      <w:p w:rsidR="006D4D6C" w:rsidRDefault="000A30C2">
        <w:pPr>
          <w:pStyle w:val="Footer"/>
          <w:pBdr>
            <w:top w:val="single" w:sz="4" w:space="1" w:color="808080" w:themeColor="background1" w:themeShade="80"/>
          </w:pBdr>
          <w:rPr>
            <w:rFonts w:cs="Arial"/>
            <w:sz w:val="16"/>
            <w:szCs w:val="16"/>
          </w:rPr>
        </w:pPr>
        <w:r>
          <w:rPr>
            <w:rFonts w:cs="Arial"/>
            <w:sz w:val="16"/>
            <w:szCs w:val="16"/>
          </w:rPr>
          <w:t xml:space="preserve">СРБ??? СН50 290618                                                                                                                                                                                                                                              </w:t>
        </w:r>
        <w:r w:rsidR="0006328F">
          <w:rPr>
            <w:rFonts w:cs="Arial"/>
            <w:sz w:val="16"/>
            <w:szCs w:val="16"/>
          </w:rPr>
          <w:fldChar w:fldCharType="begin"/>
        </w:r>
        <w:r>
          <w:rPr>
            <w:rFonts w:cs="Arial"/>
            <w:sz w:val="16"/>
            <w:szCs w:val="16"/>
          </w:rPr>
          <w:instrText xml:space="preserve"> PAGE   \* MERGEFORMAT </w:instrText>
        </w:r>
        <w:r w:rsidR="0006328F">
          <w:rPr>
            <w:rFonts w:cs="Arial"/>
            <w:sz w:val="16"/>
            <w:szCs w:val="16"/>
          </w:rPr>
          <w:fldChar w:fldCharType="separate"/>
        </w:r>
        <w:r w:rsidR="00BF7269">
          <w:rPr>
            <w:rFonts w:cs="Arial"/>
            <w:noProof/>
            <w:sz w:val="16"/>
            <w:szCs w:val="16"/>
          </w:rPr>
          <w:t>3</w:t>
        </w:r>
        <w:r w:rsidR="0006328F">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71" w:rsidRDefault="00F20E71">
      <w:pPr>
        <w:spacing w:line="240" w:lineRule="auto"/>
      </w:pPr>
      <w:r>
        <w:separator/>
      </w:r>
    </w:p>
  </w:footnote>
  <w:footnote w:type="continuationSeparator" w:id="0">
    <w:p w:rsidR="00F20E71" w:rsidRDefault="00F20E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769C4"/>
    <w:rsid w:val="EFBDF5B1"/>
    <w:rsid w:val="000077E4"/>
    <w:rsid w:val="000275AC"/>
    <w:rsid w:val="00032EE0"/>
    <w:rsid w:val="00060A47"/>
    <w:rsid w:val="0006328F"/>
    <w:rsid w:val="0007146E"/>
    <w:rsid w:val="00073826"/>
    <w:rsid w:val="00084DA3"/>
    <w:rsid w:val="000851B6"/>
    <w:rsid w:val="00086E30"/>
    <w:rsid w:val="000961D4"/>
    <w:rsid w:val="000A30C2"/>
    <w:rsid w:val="000A537E"/>
    <w:rsid w:val="000A634E"/>
    <w:rsid w:val="000A7973"/>
    <w:rsid w:val="000B4737"/>
    <w:rsid w:val="000B621F"/>
    <w:rsid w:val="000B7EDC"/>
    <w:rsid w:val="000C32EA"/>
    <w:rsid w:val="000C6EDD"/>
    <w:rsid w:val="000D2F7B"/>
    <w:rsid w:val="000E0027"/>
    <w:rsid w:val="000E38A7"/>
    <w:rsid w:val="0010328C"/>
    <w:rsid w:val="00104816"/>
    <w:rsid w:val="00106BBC"/>
    <w:rsid w:val="00112BAB"/>
    <w:rsid w:val="00123E9A"/>
    <w:rsid w:val="0013374C"/>
    <w:rsid w:val="00134E70"/>
    <w:rsid w:val="001420E5"/>
    <w:rsid w:val="00147E38"/>
    <w:rsid w:val="001503D0"/>
    <w:rsid w:val="00150B0E"/>
    <w:rsid w:val="00153DFD"/>
    <w:rsid w:val="00154749"/>
    <w:rsid w:val="00162C1E"/>
    <w:rsid w:val="00163B91"/>
    <w:rsid w:val="0018078C"/>
    <w:rsid w:val="00187D6E"/>
    <w:rsid w:val="00190CC0"/>
    <w:rsid w:val="0019566C"/>
    <w:rsid w:val="001A15D2"/>
    <w:rsid w:val="001A31C4"/>
    <w:rsid w:val="001B417D"/>
    <w:rsid w:val="001C7288"/>
    <w:rsid w:val="001C7B34"/>
    <w:rsid w:val="001D3121"/>
    <w:rsid w:val="001D3942"/>
    <w:rsid w:val="001D6B6A"/>
    <w:rsid w:val="001E5940"/>
    <w:rsid w:val="001E6064"/>
    <w:rsid w:val="001F2504"/>
    <w:rsid w:val="001F3CA3"/>
    <w:rsid w:val="00203669"/>
    <w:rsid w:val="00204B83"/>
    <w:rsid w:val="00225E8C"/>
    <w:rsid w:val="00234E82"/>
    <w:rsid w:val="00242746"/>
    <w:rsid w:val="0027041C"/>
    <w:rsid w:val="002717D9"/>
    <w:rsid w:val="00271875"/>
    <w:rsid w:val="002728A9"/>
    <w:rsid w:val="002773DA"/>
    <w:rsid w:val="00280AF0"/>
    <w:rsid w:val="00281072"/>
    <w:rsid w:val="002A149B"/>
    <w:rsid w:val="002A2EDD"/>
    <w:rsid w:val="002B69C1"/>
    <w:rsid w:val="002C4443"/>
    <w:rsid w:val="002D1856"/>
    <w:rsid w:val="002E4297"/>
    <w:rsid w:val="002E619E"/>
    <w:rsid w:val="002F166D"/>
    <w:rsid w:val="002F5DD3"/>
    <w:rsid w:val="00302978"/>
    <w:rsid w:val="0030583C"/>
    <w:rsid w:val="0031369D"/>
    <w:rsid w:val="003164AD"/>
    <w:rsid w:val="00346E23"/>
    <w:rsid w:val="0035002A"/>
    <w:rsid w:val="00350A31"/>
    <w:rsid w:val="0035436C"/>
    <w:rsid w:val="003633A1"/>
    <w:rsid w:val="00364BCA"/>
    <w:rsid w:val="003662DB"/>
    <w:rsid w:val="00366479"/>
    <w:rsid w:val="003800E7"/>
    <w:rsid w:val="0038024A"/>
    <w:rsid w:val="00382D3A"/>
    <w:rsid w:val="00397028"/>
    <w:rsid w:val="00397869"/>
    <w:rsid w:val="003A2781"/>
    <w:rsid w:val="003C0DC1"/>
    <w:rsid w:val="003C6844"/>
    <w:rsid w:val="003D39AC"/>
    <w:rsid w:val="003D4881"/>
    <w:rsid w:val="003E4F57"/>
    <w:rsid w:val="0040271A"/>
    <w:rsid w:val="004028FC"/>
    <w:rsid w:val="004030C0"/>
    <w:rsid w:val="00405698"/>
    <w:rsid w:val="00407B58"/>
    <w:rsid w:val="0043444C"/>
    <w:rsid w:val="00434BF4"/>
    <w:rsid w:val="004413BE"/>
    <w:rsid w:val="0045228D"/>
    <w:rsid w:val="004561B5"/>
    <w:rsid w:val="004566C5"/>
    <w:rsid w:val="004572C8"/>
    <w:rsid w:val="00457607"/>
    <w:rsid w:val="00464538"/>
    <w:rsid w:val="00467A2F"/>
    <w:rsid w:val="00467F20"/>
    <w:rsid w:val="00474508"/>
    <w:rsid w:val="004757A2"/>
    <w:rsid w:val="004773C6"/>
    <w:rsid w:val="00477C54"/>
    <w:rsid w:val="00480D8B"/>
    <w:rsid w:val="00481F81"/>
    <w:rsid w:val="00482398"/>
    <w:rsid w:val="00491BE6"/>
    <w:rsid w:val="00493BF7"/>
    <w:rsid w:val="00493D91"/>
    <w:rsid w:val="004A1E34"/>
    <w:rsid w:val="004A59AB"/>
    <w:rsid w:val="004A7116"/>
    <w:rsid w:val="004A7E67"/>
    <w:rsid w:val="004B2405"/>
    <w:rsid w:val="004B25F3"/>
    <w:rsid w:val="004B482A"/>
    <w:rsid w:val="004B6EF5"/>
    <w:rsid w:val="004B7F62"/>
    <w:rsid w:val="004C7DDB"/>
    <w:rsid w:val="004E00E7"/>
    <w:rsid w:val="004F5D65"/>
    <w:rsid w:val="004F6C0B"/>
    <w:rsid w:val="00500AAA"/>
    <w:rsid w:val="00503DD3"/>
    <w:rsid w:val="005065D4"/>
    <w:rsid w:val="00511463"/>
    <w:rsid w:val="005143B5"/>
    <w:rsid w:val="00516C18"/>
    <w:rsid w:val="005172E7"/>
    <w:rsid w:val="00530AA3"/>
    <w:rsid w:val="0053198D"/>
    <w:rsid w:val="0053417E"/>
    <w:rsid w:val="00537F37"/>
    <w:rsid w:val="00546263"/>
    <w:rsid w:val="00565ADE"/>
    <w:rsid w:val="00570406"/>
    <w:rsid w:val="00570F3F"/>
    <w:rsid w:val="00596399"/>
    <w:rsid w:val="00596BB2"/>
    <w:rsid w:val="00597508"/>
    <w:rsid w:val="005A5589"/>
    <w:rsid w:val="005B58C7"/>
    <w:rsid w:val="005C143B"/>
    <w:rsid w:val="005C17DD"/>
    <w:rsid w:val="005C641B"/>
    <w:rsid w:val="005C6680"/>
    <w:rsid w:val="005C7923"/>
    <w:rsid w:val="005D384A"/>
    <w:rsid w:val="005D743F"/>
    <w:rsid w:val="005E7624"/>
    <w:rsid w:val="005F41FA"/>
    <w:rsid w:val="005F5FF0"/>
    <w:rsid w:val="005F72F7"/>
    <w:rsid w:val="00606BD3"/>
    <w:rsid w:val="00607C01"/>
    <w:rsid w:val="006129FB"/>
    <w:rsid w:val="00616DB5"/>
    <w:rsid w:val="00624A18"/>
    <w:rsid w:val="00633A0F"/>
    <w:rsid w:val="00634B55"/>
    <w:rsid w:val="006374C4"/>
    <w:rsid w:val="00641155"/>
    <w:rsid w:val="00655EB5"/>
    <w:rsid w:val="006626D7"/>
    <w:rsid w:val="00664DBC"/>
    <w:rsid w:val="00671BC5"/>
    <w:rsid w:val="006761F9"/>
    <w:rsid w:val="0068452F"/>
    <w:rsid w:val="006A1C63"/>
    <w:rsid w:val="006A6C89"/>
    <w:rsid w:val="006B3E9F"/>
    <w:rsid w:val="006C05E1"/>
    <w:rsid w:val="006D4D6C"/>
    <w:rsid w:val="006D626F"/>
    <w:rsid w:val="006E0E13"/>
    <w:rsid w:val="006E7B2B"/>
    <w:rsid w:val="006F45E9"/>
    <w:rsid w:val="00705DD4"/>
    <w:rsid w:val="00706494"/>
    <w:rsid w:val="00706EF0"/>
    <w:rsid w:val="0071169B"/>
    <w:rsid w:val="00716338"/>
    <w:rsid w:val="0072112F"/>
    <w:rsid w:val="007223F5"/>
    <w:rsid w:val="00726CD7"/>
    <w:rsid w:val="0073743E"/>
    <w:rsid w:val="00743011"/>
    <w:rsid w:val="007543E7"/>
    <w:rsid w:val="00761463"/>
    <w:rsid w:val="00766E98"/>
    <w:rsid w:val="00770470"/>
    <w:rsid w:val="00771FF4"/>
    <w:rsid w:val="0079666C"/>
    <w:rsid w:val="00797B68"/>
    <w:rsid w:val="007A1F98"/>
    <w:rsid w:val="007A263D"/>
    <w:rsid w:val="007A35F6"/>
    <w:rsid w:val="007B0502"/>
    <w:rsid w:val="007B2B00"/>
    <w:rsid w:val="007D2BC2"/>
    <w:rsid w:val="007D5012"/>
    <w:rsid w:val="007E03E0"/>
    <w:rsid w:val="007E2D2E"/>
    <w:rsid w:val="007E5929"/>
    <w:rsid w:val="007E79F5"/>
    <w:rsid w:val="007F3378"/>
    <w:rsid w:val="007F4EA2"/>
    <w:rsid w:val="008027C7"/>
    <w:rsid w:val="00817B96"/>
    <w:rsid w:val="00824EAC"/>
    <w:rsid w:val="00842485"/>
    <w:rsid w:val="00861656"/>
    <w:rsid w:val="008729DA"/>
    <w:rsid w:val="00881069"/>
    <w:rsid w:val="00885838"/>
    <w:rsid w:val="00887707"/>
    <w:rsid w:val="0089268E"/>
    <w:rsid w:val="00895834"/>
    <w:rsid w:val="008A40E7"/>
    <w:rsid w:val="008A456E"/>
    <w:rsid w:val="008A7A48"/>
    <w:rsid w:val="008B7BC2"/>
    <w:rsid w:val="008D7D65"/>
    <w:rsid w:val="008E687B"/>
    <w:rsid w:val="0090711B"/>
    <w:rsid w:val="00912445"/>
    <w:rsid w:val="00922C49"/>
    <w:rsid w:val="009269FB"/>
    <w:rsid w:val="00927BFD"/>
    <w:rsid w:val="00930472"/>
    <w:rsid w:val="009448C6"/>
    <w:rsid w:val="00947F6D"/>
    <w:rsid w:val="00960074"/>
    <w:rsid w:val="00962F5F"/>
    <w:rsid w:val="00972A71"/>
    <w:rsid w:val="00972AE5"/>
    <w:rsid w:val="009769C4"/>
    <w:rsid w:val="009776E9"/>
    <w:rsid w:val="00991E82"/>
    <w:rsid w:val="00997C00"/>
    <w:rsid w:val="009A0E17"/>
    <w:rsid w:val="009A16A9"/>
    <w:rsid w:val="009A3618"/>
    <w:rsid w:val="009B0ACE"/>
    <w:rsid w:val="009B5322"/>
    <w:rsid w:val="009C1B27"/>
    <w:rsid w:val="009C2BB9"/>
    <w:rsid w:val="009C58D6"/>
    <w:rsid w:val="009D211F"/>
    <w:rsid w:val="009E0263"/>
    <w:rsid w:val="009E1252"/>
    <w:rsid w:val="009E2EE8"/>
    <w:rsid w:val="009E4185"/>
    <w:rsid w:val="00A1151D"/>
    <w:rsid w:val="00A13AE9"/>
    <w:rsid w:val="00A17D3C"/>
    <w:rsid w:val="00A212D9"/>
    <w:rsid w:val="00A2442E"/>
    <w:rsid w:val="00A24872"/>
    <w:rsid w:val="00A35FFE"/>
    <w:rsid w:val="00A37460"/>
    <w:rsid w:val="00A5079E"/>
    <w:rsid w:val="00A50FCF"/>
    <w:rsid w:val="00A56522"/>
    <w:rsid w:val="00A64B4A"/>
    <w:rsid w:val="00A7084E"/>
    <w:rsid w:val="00A71A7F"/>
    <w:rsid w:val="00A867B7"/>
    <w:rsid w:val="00A874FC"/>
    <w:rsid w:val="00A93924"/>
    <w:rsid w:val="00A94A58"/>
    <w:rsid w:val="00A961BA"/>
    <w:rsid w:val="00AA6168"/>
    <w:rsid w:val="00AB1694"/>
    <w:rsid w:val="00AB22BD"/>
    <w:rsid w:val="00AB582B"/>
    <w:rsid w:val="00AB62FB"/>
    <w:rsid w:val="00AC2120"/>
    <w:rsid w:val="00AC258E"/>
    <w:rsid w:val="00AC4E48"/>
    <w:rsid w:val="00AD02BC"/>
    <w:rsid w:val="00AD3EF7"/>
    <w:rsid w:val="00AE6F68"/>
    <w:rsid w:val="00AF192B"/>
    <w:rsid w:val="00AF469E"/>
    <w:rsid w:val="00B03E33"/>
    <w:rsid w:val="00B25844"/>
    <w:rsid w:val="00B312CF"/>
    <w:rsid w:val="00B4603D"/>
    <w:rsid w:val="00B47E4F"/>
    <w:rsid w:val="00B56C9B"/>
    <w:rsid w:val="00B60F6B"/>
    <w:rsid w:val="00B664E8"/>
    <w:rsid w:val="00B75BB8"/>
    <w:rsid w:val="00B8012C"/>
    <w:rsid w:val="00B8296B"/>
    <w:rsid w:val="00B865BA"/>
    <w:rsid w:val="00B94BEA"/>
    <w:rsid w:val="00B95DE6"/>
    <w:rsid w:val="00B9703E"/>
    <w:rsid w:val="00BA5023"/>
    <w:rsid w:val="00BA5526"/>
    <w:rsid w:val="00BA66F4"/>
    <w:rsid w:val="00BB03B0"/>
    <w:rsid w:val="00BB2B14"/>
    <w:rsid w:val="00BB5BD6"/>
    <w:rsid w:val="00BC4F36"/>
    <w:rsid w:val="00BC5C8E"/>
    <w:rsid w:val="00BC695F"/>
    <w:rsid w:val="00BD2FCF"/>
    <w:rsid w:val="00BE05B4"/>
    <w:rsid w:val="00BF7269"/>
    <w:rsid w:val="00C0223D"/>
    <w:rsid w:val="00C05F4C"/>
    <w:rsid w:val="00C10681"/>
    <w:rsid w:val="00C20DF9"/>
    <w:rsid w:val="00C269CB"/>
    <w:rsid w:val="00C32641"/>
    <w:rsid w:val="00C35217"/>
    <w:rsid w:val="00C4110B"/>
    <w:rsid w:val="00C56B63"/>
    <w:rsid w:val="00C77C4A"/>
    <w:rsid w:val="00C90676"/>
    <w:rsid w:val="00C91722"/>
    <w:rsid w:val="00C92A88"/>
    <w:rsid w:val="00CA255C"/>
    <w:rsid w:val="00CA6AA7"/>
    <w:rsid w:val="00CA7BB1"/>
    <w:rsid w:val="00CB0478"/>
    <w:rsid w:val="00CB5FEF"/>
    <w:rsid w:val="00CC20A3"/>
    <w:rsid w:val="00CC6548"/>
    <w:rsid w:val="00CC6BD9"/>
    <w:rsid w:val="00CD009E"/>
    <w:rsid w:val="00CD045C"/>
    <w:rsid w:val="00CE099E"/>
    <w:rsid w:val="00CF6C78"/>
    <w:rsid w:val="00D00BD4"/>
    <w:rsid w:val="00D01915"/>
    <w:rsid w:val="00D01A5A"/>
    <w:rsid w:val="00D02952"/>
    <w:rsid w:val="00D060E4"/>
    <w:rsid w:val="00D072A4"/>
    <w:rsid w:val="00D15B44"/>
    <w:rsid w:val="00D1649E"/>
    <w:rsid w:val="00D1710F"/>
    <w:rsid w:val="00D24A8E"/>
    <w:rsid w:val="00D24DB1"/>
    <w:rsid w:val="00D43D9E"/>
    <w:rsid w:val="00D449E9"/>
    <w:rsid w:val="00D5336E"/>
    <w:rsid w:val="00D77F04"/>
    <w:rsid w:val="00D83648"/>
    <w:rsid w:val="00D83BEC"/>
    <w:rsid w:val="00D84CDA"/>
    <w:rsid w:val="00D92D44"/>
    <w:rsid w:val="00DA0D38"/>
    <w:rsid w:val="00DA3188"/>
    <w:rsid w:val="00DA4524"/>
    <w:rsid w:val="00DA4BD9"/>
    <w:rsid w:val="00DB0033"/>
    <w:rsid w:val="00DB4DBA"/>
    <w:rsid w:val="00DB6C6B"/>
    <w:rsid w:val="00DC787F"/>
    <w:rsid w:val="00DD3D95"/>
    <w:rsid w:val="00DD555E"/>
    <w:rsid w:val="00DE0803"/>
    <w:rsid w:val="00DE5710"/>
    <w:rsid w:val="00DF1BC3"/>
    <w:rsid w:val="00DF7E1B"/>
    <w:rsid w:val="00E02990"/>
    <w:rsid w:val="00E10F28"/>
    <w:rsid w:val="00E11259"/>
    <w:rsid w:val="00E1671B"/>
    <w:rsid w:val="00E1693C"/>
    <w:rsid w:val="00E2330A"/>
    <w:rsid w:val="00E365B9"/>
    <w:rsid w:val="00E404F9"/>
    <w:rsid w:val="00E43072"/>
    <w:rsid w:val="00E43768"/>
    <w:rsid w:val="00E6174D"/>
    <w:rsid w:val="00E7576C"/>
    <w:rsid w:val="00E81ABE"/>
    <w:rsid w:val="00E87EDB"/>
    <w:rsid w:val="00EA35D8"/>
    <w:rsid w:val="00EA6CC7"/>
    <w:rsid w:val="00EA7C97"/>
    <w:rsid w:val="00ED102F"/>
    <w:rsid w:val="00ED5A20"/>
    <w:rsid w:val="00EE73B3"/>
    <w:rsid w:val="00EF0A5A"/>
    <w:rsid w:val="00EF0E61"/>
    <w:rsid w:val="00EF4751"/>
    <w:rsid w:val="00EF48BE"/>
    <w:rsid w:val="00EF6E7A"/>
    <w:rsid w:val="00EF7994"/>
    <w:rsid w:val="00EF7F68"/>
    <w:rsid w:val="00F038DF"/>
    <w:rsid w:val="00F069DE"/>
    <w:rsid w:val="00F1080B"/>
    <w:rsid w:val="00F11666"/>
    <w:rsid w:val="00F20E71"/>
    <w:rsid w:val="00F22BEE"/>
    <w:rsid w:val="00F304BB"/>
    <w:rsid w:val="00F33272"/>
    <w:rsid w:val="00F338BF"/>
    <w:rsid w:val="00F3632C"/>
    <w:rsid w:val="00F420B9"/>
    <w:rsid w:val="00F457B1"/>
    <w:rsid w:val="00F47E72"/>
    <w:rsid w:val="00F52B28"/>
    <w:rsid w:val="00F57C8B"/>
    <w:rsid w:val="00F57CF8"/>
    <w:rsid w:val="00F618A6"/>
    <w:rsid w:val="00F61B70"/>
    <w:rsid w:val="00F638F2"/>
    <w:rsid w:val="00F709B9"/>
    <w:rsid w:val="00F83290"/>
    <w:rsid w:val="00F8642E"/>
    <w:rsid w:val="00FA5ED6"/>
    <w:rsid w:val="00FB594A"/>
    <w:rsid w:val="00FC08C3"/>
    <w:rsid w:val="00FD1232"/>
    <w:rsid w:val="00FD4B65"/>
    <w:rsid w:val="00FD5F1C"/>
    <w:rsid w:val="00FD78CE"/>
    <w:rsid w:val="00FE050F"/>
    <w:rsid w:val="7B550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fillcolor="white">
      <v:fill color="white"/>
    </o:shapedefaults>
    <o:shapelayout v:ext="edit">
      <o:idmap v:ext="edit" data="1"/>
    </o:shapelayout>
  </w:shapeDefaults>
  <w:decimalSymbol w:val="."/>
  <w:listSeparator w:val=","/>
  <w14:docId w14:val="6593B444"/>
  <w15:docId w15:val="{2FC40B0D-E57C-47BB-9FC1-515771A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71A7F"/>
    <w:pPr>
      <w:spacing w:after="0" w:line="240" w:lineRule="auto"/>
    </w:pPr>
    <w:rPr>
      <w:rFonts w:ascii="Tahoma" w:hAnsi="Tahoma" w:cs="Tahoma"/>
      <w:sz w:val="16"/>
      <w:szCs w:val="16"/>
    </w:rPr>
  </w:style>
  <w:style w:type="paragraph" w:styleId="Footer">
    <w:name w:val="footer"/>
    <w:basedOn w:val="Normal"/>
    <w:link w:val="FooterChar"/>
    <w:uiPriority w:val="99"/>
    <w:unhideWhenUsed/>
    <w:rsid w:val="00A71A7F"/>
    <w:pPr>
      <w:tabs>
        <w:tab w:val="center" w:pos="4680"/>
        <w:tab w:val="right" w:pos="9360"/>
      </w:tabs>
      <w:spacing w:after="0" w:line="240" w:lineRule="auto"/>
    </w:pPr>
  </w:style>
  <w:style w:type="character" w:styleId="FootnoteReference">
    <w:name w:val="footnote reference"/>
    <w:basedOn w:val="DefaultParagraphFont"/>
    <w:uiPriority w:val="99"/>
    <w:semiHidden/>
    <w:unhideWhenUsed/>
    <w:rsid w:val="00A71A7F"/>
    <w:rPr>
      <w:vertAlign w:val="superscript"/>
    </w:rPr>
  </w:style>
  <w:style w:type="paragraph" w:styleId="FootnoteText">
    <w:name w:val="footnote text"/>
    <w:basedOn w:val="Normal"/>
    <w:link w:val="FootnoteTextChar"/>
    <w:uiPriority w:val="99"/>
    <w:semiHidden/>
    <w:unhideWhenUsed/>
    <w:rsid w:val="00A71A7F"/>
    <w:pPr>
      <w:spacing w:after="0" w:line="240" w:lineRule="auto"/>
    </w:pPr>
    <w:rPr>
      <w:sz w:val="20"/>
      <w:szCs w:val="20"/>
    </w:rPr>
  </w:style>
  <w:style w:type="paragraph" w:styleId="Header">
    <w:name w:val="header"/>
    <w:basedOn w:val="Normal"/>
    <w:link w:val="HeaderChar"/>
    <w:uiPriority w:val="99"/>
    <w:unhideWhenUsed/>
    <w:qFormat/>
    <w:rsid w:val="00A71A7F"/>
    <w:pPr>
      <w:tabs>
        <w:tab w:val="center" w:pos="4680"/>
        <w:tab w:val="right" w:pos="9360"/>
      </w:tabs>
      <w:spacing w:after="0" w:line="240" w:lineRule="auto"/>
    </w:pPr>
  </w:style>
  <w:style w:type="character" w:styleId="Hyperlink">
    <w:name w:val="Hyperlink"/>
    <w:basedOn w:val="DefaultParagraphFont"/>
    <w:uiPriority w:val="99"/>
    <w:unhideWhenUsed/>
    <w:qFormat/>
    <w:rsid w:val="00A71A7F"/>
    <w:rPr>
      <w:color w:val="0000FF"/>
      <w:u w:val="single"/>
    </w:rPr>
  </w:style>
  <w:style w:type="paragraph" w:styleId="NormalWeb">
    <w:name w:val="Normal (Web)"/>
    <w:basedOn w:val="Normal"/>
    <w:uiPriority w:val="99"/>
    <w:semiHidden/>
    <w:unhideWhenUsed/>
    <w:qFormat/>
    <w:rsid w:val="00A7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71A7F"/>
    <w:rPr>
      <w:rFonts w:ascii="Tahoma" w:hAnsi="Tahoma" w:cs="Tahoma"/>
      <w:sz w:val="16"/>
      <w:szCs w:val="16"/>
    </w:rPr>
  </w:style>
  <w:style w:type="paragraph" w:styleId="ListParagraph">
    <w:name w:val="List Paragraph"/>
    <w:basedOn w:val="Normal"/>
    <w:uiPriority w:val="34"/>
    <w:qFormat/>
    <w:rsid w:val="00A71A7F"/>
    <w:pPr>
      <w:ind w:left="720"/>
      <w:contextualSpacing/>
    </w:pPr>
  </w:style>
  <w:style w:type="character" w:customStyle="1" w:styleId="HeaderChar">
    <w:name w:val="Header Char"/>
    <w:basedOn w:val="DefaultParagraphFont"/>
    <w:link w:val="Header"/>
    <w:uiPriority w:val="99"/>
    <w:rsid w:val="00A71A7F"/>
  </w:style>
  <w:style w:type="character" w:customStyle="1" w:styleId="FooterChar">
    <w:name w:val="Footer Char"/>
    <w:basedOn w:val="DefaultParagraphFont"/>
    <w:link w:val="Footer"/>
    <w:uiPriority w:val="99"/>
    <w:rsid w:val="00A71A7F"/>
  </w:style>
  <w:style w:type="character" w:customStyle="1" w:styleId="FootnoteTextChar">
    <w:name w:val="Footnote Text Char"/>
    <w:basedOn w:val="DefaultParagraphFont"/>
    <w:link w:val="FootnoteText"/>
    <w:uiPriority w:val="99"/>
    <w:semiHidden/>
    <w:rsid w:val="00A71A7F"/>
    <w:rPr>
      <w:sz w:val="20"/>
      <w:szCs w:val="20"/>
    </w:rPr>
  </w:style>
  <w:style w:type="character" w:customStyle="1" w:styleId="PasusChar">
    <w:name w:val="Pasus Char"/>
    <w:link w:val="Pasus"/>
    <w:locked/>
    <w:rsid w:val="00A71A7F"/>
    <w:rPr>
      <w:rFonts w:ascii="Arial" w:hAnsi="Arial" w:cs="Arial"/>
      <w:lang w:val="sr-Cyrl-CS"/>
    </w:rPr>
  </w:style>
  <w:style w:type="paragraph" w:customStyle="1" w:styleId="Pasus">
    <w:name w:val="Pasus"/>
    <w:basedOn w:val="Normal"/>
    <w:link w:val="PasusChar"/>
    <w:rsid w:val="00A71A7F"/>
    <w:pPr>
      <w:spacing w:after="0" w:line="240" w:lineRule="auto"/>
      <w:ind w:left="284" w:firstLine="567"/>
      <w:jc w:val="both"/>
    </w:pPr>
    <w:rPr>
      <w:rFonts w:ascii="Arial" w:hAnsi="Arial" w:cs="Arial"/>
      <w:lang w:val="sr-Cyrl-CS"/>
    </w:rPr>
  </w:style>
  <w:style w:type="character" w:styleId="CommentReference">
    <w:name w:val="annotation reference"/>
    <w:basedOn w:val="DefaultParagraphFont"/>
    <w:uiPriority w:val="99"/>
    <w:semiHidden/>
    <w:unhideWhenUsed/>
    <w:rsid w:val="00EF4751"/>
    <w:rPr>
      <w:sz w:val="16"/>
      <w:szCs w:val="16"/>
    </w:rPr>
  </w:style>
  <w:style w:type="paragraph" w:styleId="CommentText">
    <w:name w:val="annotation text"/>
    <w:basedOn w:val="Normal"/>
    <w:link w:val="CommentTextChar"/>
    <w:uiPriority w:val="99"/>
    <w:semiHidden/>
    <w:unhideWhenUsed/>
    <w:rsid w:val="00EF4751"/>
    <w:pPr>
      <w:spacing w:line="240" w:lineRule="auto"/>
    </w:pPr>
    <w:rPr>
      <w:sz w:val="20"/>
      <w:szCs w:val="20"/>
    </w:rPr>
  </w:style>
  <w:style w:type="character" w:customStyle="1" w:styleId="CommentTextChar">
    <w:name w:val="Comment Text Char"/>
    <w:basedOn w:val="DefaultParagraphFont"/>
    <w:link w:val="CommentText"/>
    <w:uiPriority w:val="99"/>
    <w:semiHidden/>
    <w:rsid w:val="00EF4751"/>
  </w:style>
  <w:style w:type="paragraph" w:styleId="CommentSubject">
    <w:name w:val="annotation subject"/>
    <w:basedOn w:val="CommentText"/>
    <w:next w:val="CommentText"/>
    <w:link w:val="CommentSubjectChar"/>
    <w:uiPriority w:val="99"/>
    <w:semiHidden/>
    <w:unhideWhenUsed/>
    <w:rsid w:val="00EF4751"/>
    <w:rPr>
      <w:b/>
      <w:bCs/>
    </w:rPr>
  </w:style>
  <w:style w:type="character" w:customStyle="1" w:styleId="CommentSubjectChar">
    <w:name w:val="Comment Subject Char"/>
    <w:basedOn w:val="CommentTextChar"/>
    <w:link w:val="CommentSubject"/>
    <w:uiPriority w:val="99"/>
    <w:semiHidden/>
    <w:rsid w:val="00EF4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947</Words>
  <Characters>4684</Characters>
  <Application>Microsoft Office Word</Application>
  <DocSecurity>0</DocSecurity>
  <Lines>292</Lines>
  <Paragraphs>208</Paragraphs>
  <ScaleCrop>false</ScaleCrop>
  <Company>Hewlett-Packard Company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Dragana Steljic</cp:lastModifiedBy>
  <cp:revision>11</cp:revision>
  <cp:lastPrinted>2019-06-20T12:04:00Z</cp:lastPrinted>
  <dcterms:created xsi:type="dcterms:W3CDTF">2020-07-03T10:05:00Z</dcterms:created>
  <dcterms:modified xsi:type="dcterms:W3CDTF">2020-07-10T08:22:00Z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1033-11.1.0.9522</vt:lpwstr>
  </property>
</Properties>
</file>