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18" w:space="0" w:color="auto"/>
          <w:left w:val="single" w:sz="4" w:space="0" w:color="auto"/>
          <w:bottom w:val="single" w:sz="18" w:space="0" w:color="auto"/>
          <w:right w:val="single" w:sz="4" w:space="0" w:color="auto"/>
        </w:tblBorders>
        <w:tblCellMar>
          <w:left w:w="28" w:type="dxa"/>
          <w:right w:w="28" w:type="dxa"/>
        </w:tblCellMar>
        <w:tblLook w:val="0000" w:firstRow="0" w:lastRow="0" w:firstColumn="0" w:lastColumn="0" w:noHBand="0" w:noVBand="0"/>
      </w:tblPr>
      <w:tblGrid>
        <w:gridCol w:w="1666"/>
        <w:gridCol w:w="5252"/>
        <w:gridCol w:w="3343"/>
      </w:tblGrid>
      <w:tr w:rsidR="002F5E7B" w:rsidRPr="0056450F">
        <w:trPr>
          <w:cantSplit/>
          <w:trHeight w:val="631"/>
          <w:jc w:val="center"/>
        </w:trPr>
        <w:tc>
          <w:tcPr>
            <w:tcW w:w="812" w:type="pct"/>
            <w:tcBorders>
              <w:top w:val="single" w:sz="12" w:space="0" w:color="808080"/>
              <w:left w:val="nil"/>
              <w:bottom w:val="nil"/>
            </w:tcBorders>
            <w:vAlign w:val="center"/>
          </w:tcPr>
          <w:p w:rsidR="007F46C9" w:rsidRPr="0056450F" w:rsidRDefault="00EA5ED1" w:rsidP="00A15960">
            <w:pPr>
              <w:rPr>
                <w:rFonts w:ascii="Arial" w:hAnsi="Arial" w:cs="Arial"/>
                <w:sz w:val="20"/>
                <w:szCs w:val="20"/>
                <w:lang w:val="sr-Latn-RS"/>
              </w:rPr>
            </w:pPr>
            <w:r w:rsidRPr="0056450F">
              <w:rPr>
                <w:noProof/>
              </w:rPr>
              <w:drawing>
                <wp:anchor distT="0" distB="0" distL="114300" distR="114300" simplePos="0" relativeHeight="2" behindDoc="0" locked="0" layoutInCell="1" allowOverlap="1" wp14:anchorId="533886E9" wp14:editId="3A9C8537">
                  <wp:simplePos x="0" y="0"/>
                  <wp:positionH relativeFrom="character">
                    <wp:posOffset>-32385</wp:posOffset>
                  </wp:positionH>
                  <wp:positionV relativeFrom="line">
                    <wp:posOffset>66040</wp:posOffset>
                  </wp:positionV>
                  <wp:extent cx="904875" cy="219075"/>
                  <wp:effectExtent l="0" t="0" r="9525" b="9525"/>
                  <wp:wrapNone/>
                  <wp:docPr id="9" name="Picture 2" descr="ZnakR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RZ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pic:spPr>
                      </pic:pic>
                    </a:graphicData>
                  </a:graphic>
                  <wp14:sizeRelH relativeFrom="page">
                    <wp14:pctWidth>0</wp14:pctWidth>
                  </wp14:sizeRelH>
                  <wp14:sizeRelV relativeFrom="page">
                    <wp14:pctHeight>0</wp14:pctHeight>
                  </wp14:sizeRelV>
                </wp:anchor>
              </w:drawing>
            </w:r>
            <w:r w:rsidR="007F46C9" w:rsidRPr="0056450F">
              <w:rPr>
                <w:rFonts w:ascii="Arial" w:hAnsi="Arial" w:cs="Arial"/>
                <w:sz w:val="20"/>
                <w:szCs w:val="20"/>
                <w:lang w:val="sr-Latn-RS"/>
              </w:rPr>
              <w:t xml:space="preserve">                    </w:t>
            </w:r>
            <w:r w:rsidRPr="0056450F">
              <w:rPr>
                <w:rFonts w:ascii="Arial" w:hAnsi="Arial" w:cs="Arial"/>
                <w:noProof/>
                <w:sz w:val="20"/>
                <w:szCs w:val="20"/>
              </w:rPr>
              <mc:AlternateContent>
                <mc:Choice Requires="wps">
                  <w:drawing>
                    <wp:inline distT="0" distB="0" distL="0" distR="0" wp14:anchorId="21AF7064" wp14:editId="627764E6">
                      <wp:extent cx="907415" cy="218440"/>
                      <wp:effectExtent l="0" t="0" r="0" b="635"/>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74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917EB" id="AutoShape 1" o:spid="_x0000_s1026" style="width:71.4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" filled="f" stroked="f">
                      <o:lock v:ext="edit" aspectratio="t"/>
                      <w10:anchorlock/>
                    </v:rect>
                  </w:pict>
                </mc:Fallback>
              </mc:AlternateContent>
            </w:r>
          </w:p>
        </w:tc>
        <w:tc>
          <w:tcPr>
            <w:tcW w:w="2559" w:type="pct"/>
            <w:tcBorders>
              <w:top w:val="single" w:sz="12" w:space="0" w:color="808080"/>
              <w:left w:val="nil"/>
              <w:bottom w:val="nil"/>
            </w:tcBorders>
            <w:vAlign w:val="center"/>
          </w:tcPr>
          <w:p w:rsidR="007F46C9" w:rsidRPr="0056450F" w:rsidRDefault="007F46C9" w:rsidP="00A15960">
            <w:pPr>
              <w:rPr>
                <w:rFonts w:ascii="Arial" w:hAnsi="Arial" w:cs="Arial"/>
                <w:sz w:val="20"/>
                <w:szCs w:val="20"/>
                <w:lang w:val="sr-Latn-RS"/>
              </w:rPr>
            </w:pPr>
            <w:r w:rsidRPr="0056450F">
              <w:rPr>
                <w:rFonts w:ascii="Arial" w:hAnsi="Arial" w:cs="Arial"/>
                <w:bCs/>
                <w:lang w:val="sr-Latn-RS"/>
              </w:rPr>
              <w:t>Statistical Office of the Republic of Serbia</w:t>
            </w:r>
          </w:p>
        </w:tc>
        <w:tc>
          <w:tcPr>
            <w:tcW w:w="0" w:type="auto"/>
            <w:tcBorders>
              <w:top w:val="single" w:sz="12" w:space="0" w:color="808080"/>
              <w:bottom w:val="nil"/>
              <w:right w:val="nil"/>
            </w:tcBorders>
            <w:vAlign w:val="center"/>
          </w:tcPr>
          <w:p w:rsidR="007F46C9" w:rsidRPr="0056450F" w:rsidRDefault="007F46C9" w:rsidP="00A15960">
            <w:pPr>
              <w:jc w:val="right"/>
              <w:rPr>
                <w:rFonts w:ascii="Arial" w:hAnsi="Arial" w:cs="Arial"/>
                <w:b/>
                <w:bCs/>
                <w:sz w:val="20"/>
                <w:szCs w:val="20"/>
                <w:lang w:val="sr-Latn-RS"/>
              </w:rPr>
            </w:pPr>
            <w:r w:rsidRPr="0056450F">
              <w:rPr>
                <w:rFonts w:ascii="Arial" w:hAnsi="Arial" w:cs="Arial"/>
                <w:sz w:val="20"/>
                <w:szCs w:val="20"/>
                <w:lang w:val="sr-Latn-RS"/>
              </w:rPr>
              <w:t>ISSN 0353-9555</w:t>
            </w:r>
          </w:p>
        </w:tc>
      </w:tr>
      <w:tr w:rsidR="006C1E26" w:rsidRPr="0056450F">
        <w:trPr>
          <w:cantSplit/>
          <w:trHeight w:val="836"/>
          <w:jc w:val="center"/>
        </w:trPr>
        <w:tc>
          <w:tcPr>
            <w:tcW w:w="0" w:type="auto"/>
            <w:gridSpan w:val="2"/>
            <w:tcBorders>
              <w:top w:val="nil"/>
              <w:left w:val="nil"/>
              <w:right w:val="nil"/>
            </w:tcBorders>
            <w:vAlign w:val="center"/>
          </w:tcPr>
          <w:p w:rsidR="007F46C9" w:rsidRPr="0056450F" w:rsidRDefault="007F46C9" w:rsidP="00830017">
            <w:pPr>
              <w:rPr>
                <w:rFonts w:ascii="Arial" w:hAnsi="Arial" w:cs="Arial"/>
                <w:color w:val="808080" w:themeColor="background1" w:themeShade="80"/>
                <w:lang w:val="sr-Latn-RS"/>
              </w:rPr>
            </w:pPr>
            <w:r w:rsidRPr="0056450F">
              <w:rPr>
                <w:rFonts w:ascii="Arial" w:hAnsi="Arial" w:cs="Arial"/>
                <w:b/>
                <w:bCs/>
                <w:color w:val="808080" w:themeColor="background1" w:themeShade="80"/>
                <w:sz w:val="48"/>
                <w:szCs w:val="48"/>
                <w:lang w:val="sr-Latn-RS"/>
              </w:rPr>
              <w:t>Statistical release</w:t>
            </w:r>
          </w:p>
        </w:tc>
        <w:tc>
          <w:tcPr>
            <w:tcW w:w="0" w:type="auto"/>
            <w:tcBorders>
              <w:top w:val="nil"/>
              <w:left w:val="nil"/>
              <w:right w:val="nil"/>
            </w:tcBorders>
            <w:vAlign w:val="center"/>
          </w:tcPr>
          <w:p w:rsidR="007F46C9" w:rsidRPr="0056450F" w:rsidRDefault="007F46C9" w:rsidP="00275B3C">
            <w:pPr>
              <w:jc w:val="right"/>
              <w:rPr>
                <w:rFonts w:ascii="Arial" w:hAnsi="Arial" w:cs="Arial"/>
                <w:b/>
                <w:bCs/>
                <w:color w:val="808080" w:themeColor="background1" w:themeShade="80"/>
                <w:sz w:val="48"/>
                <w:szCs w:val="48"/>
                <w:lang w:val="sr-Latn-RS"/>
              </w:rPr>
            </w:pPr>
            <w:r w:rsidRPr="0056450F">
              <w:rPr>
                <w:rFonts w:ascii="Arial" w:hAnsi="Arial" w:cs="Arial"/>
                <w:b/>
                <w:bCs/>
                <w:color w:val="808080" w:themeColor="background1" w:themeShade="80"/>
                <w:sz w:val="48"/>
                <w:szCs w:val="48"/>
                <w:lang w:val="sr-Latn-RS"/>
              </w:rPr>
              <w:t>SN70</w:t>
            </w:r>
          </w:p>
        </w:tc>
      </w:tr>
      <w:tr w:rsidR="002F5E7B" w:rsidRPr="0056450F">
        <w:trPr>
          <w:cantSplit/>
          <w:trHeight w:hRule="exact" w:val="279"/>
          <w:jc w:val="center"/>
        </w:trPr>
        <w:tc>
          <w:tcPr>
            <w:tcW w:w="0" w:type="auto"/>
            <w:gridSpan w:val="2"/>
            <w:tcBorders>
              <w:top w:val="nil"/>
              <w:left w:val="nil"/>
              <w:bottom w:val="nil"/>
              <w:right w:val="nil"/>
            </w:tcBorders>
            <w:vAlign w:val="center"/>
          </w:tcPr>
          <w:p w:rsidR="007F46C9" w:rsidRPr="0056450F" w:rsidRDefault="007F46C9" w:rsidP="005C4C3F">
            <w:pPr>
              <w:rPr>
                <w:rFonts w:ascii="Arial" w:hAnsi="Arial" w:cs="Arial"/>
                <w:sz w:val="20"/>
                <w:szCs w:val="20"/>
                <w:lang w:val="sr-Latn-RS"/>
              </w:rPr>
            </w:pPr>
            <w:r w:rsidRPr="0056450F">
              <w:rPr>
                <w:rFonts w:ascii="Arial" w:hAnsi="Arial" w:cs="Arial"/>
                <w:sz w:val="20"/>
                <w:szCs w:val="20"/>
                <w:lang w:val="sr-Latn-RS"/>
              </w:rPr>
              <w:t xml:space="preserve">Number </w:t>
            </w:r>
            <w:r w:rsidR="00977AC7" w:rsidRPr="0056450F">
              <w:rPr>
                <w:rFonts w:ascii="Arial" w:hAnsi="Arial" w:cs="Arial"/>
                <w:sz w:val="20"/>
                <w:szCs w:val="20"/>
                <w:lang w:val="sr-Latn-RS"/>
              </w:rPr>
              <w:t>1</w:t>
            </w:r>
            <w:r w:rsidR="006C1E26" w:rsidRPr="0056450F">
              <w:rPr>
                <w:rFonts w:ascii="Arial" w:hAnsi="Arial" w:cs="Arial"/>
                <w:sz w:val="20"/>
                <w:szCs w:val="20"/>
                <w:lang w:val="sr-Latn-RS"/>
              </w:rPr>
              <w:t>72</w:t>
            </w:r>
            <w:r w:rsidRPr="0056450F">
              <w:rPr>
                <w:rFonts w:ascii="Arial" w:hAnsi="Arial" w:cs="Arial"/>
                <w:sz w:val="20"/>
                <w:szCs w:val="20"/>
                <w:lang w:val="sr-Latn-RS"/>
              </w:rPr>
              <w:t xml:space="preserve"> - year  LX</w:t>
            </w:r>
            <w:bookmarkStart w:id="0" w:name="_GoBack"/>
            <w:bookmarkEnd w:id="0"/>
            <w:r w:rsidR="00977AC7" w:rsidRPr="0056450F">
              <w:rPr>
                <w:rFonts w:ascii="Arial" w:hAnsi="Arial" w:cs="Arial"/>
                <w:sz w:val="20"/>
                <w:szCs w:val="20"/>
                <w:lang w:val="sr-Latn-RS"/>
              </w:rPr>
              <w:t>X</w:t>
            </w:r>
            <w:r w:rsidR="00907E04" w:rsidRPr="0056450F">
              <w:rPr>
                <w:rFonts w:ascii="Arial" w:hAnsi="Arial" w:cs="Arial"/>
                <w:sz w:val="20"/>
                <w:szCs w:val="20"/>
                <w:lang w:val="sr-Latn-RS"/>
              </w:rPr>
              <w:t xml:space="preserve">, </w:t>
            </w:r>
            <w:r w:rsidR="006C1E26" w:rsidRPr="0056450F">
              <w:rPr>
                <w:rFonts w:ascii="Arial" w:hAnsi="Arial" w:cs="Arial"/>
                <w:sz w:val="20"/>
                <w:szCs w:val="20"/>
                <w:lang w:val="sr-Latn-RS"/>
              </w:rPr>
              <w:t>01</w:t>
            </w:r>
            <w:r w:rsidRPr="0056450F">
              <w:rPr>
                <w:rFonts w:ascii="Arial" w:hAnsi="Arial" w:cs="Arial"/>
                <w:sz w:val="20"/>
                <w:szCs w:val="20"/>
                <w:lang w:val="sr-Latn-RS"/>
              </w:rPr>
              <w:t>/0</w:t>
            </w:r>
            <w:r w:rsidR="006C1E26" w:rsidRPr="0056450F">
              <w:rPr>
                <w:rFonts w:ascii="Arial" w:hAnsi="Arial" w:cs="Arial"/>
                <w:sz w:val="20"/>
                <w:szCs w:val="20"/>
                <w:lang w:val="sr-Latn-RS"/>
              </w:rPr>
              <w:t>7</w:t>
            </w:r>
            <w:r w:rsidRPr="0056450F">
              <w:rPr>
                <w:rFonts w:ascii="Arial" w:hAnsi="Arial" w:cs="Arial"/>
                <w:sz w:val="20"/>
                <w:szCs w:val="20"/>
                <w:lang w:val="sr-Latn-RS"/>
              </w:rPr>
              <w:t>/20</w:t>
            </w:r>
            <w:r w:rsidR="006C1E26" w:rsidRPr="0056450F">
              <w:rPr>
                <w:rFonts w:ascii="Arial" w:hAnsi="Arial" w:cs="Arial"/>
                <w:sz w:val="20"/>
                <w:szCs w:val="20"/>
                <w:lang w:val="sr-Latn-RS"/>
              </w:rPr>
              <w:t>20</w:t>
            </w:r>
          </w:p>
        </w:tc>
        <w:tc>
          <w:tcPr>
            <w:tcW w:w="0" w:type="auto"/>
            <w:tcBorders>
              <w:left w:val="nil"/>
              <w:bottom w:val="nil"/>
              <w:right w:val="nil"/>
            </w:tcBorders>
            <w:vAlign w:val="center"/>
          </w:tcPr>
          <w:p w:rsidR="007F46C9" w:rsidRPr="0056450F" w:rsidRDefault="007F46C9" w:rsidP="00830017">
            <w:pPr>
              <w:jc w:val="right"/>
              <w:rPr>
                <w:rFonts w:ascii="Arial" w:hAnsi="Arial" w:cs="Arial"/>
                <w:b/>
                <w:bCs/>
                <w:sz w:val="20"/>
                <w:szCs w:val="20"/>
                <w:lang w:val="sr-Latn-RS"/>
              </w:rPr>
            </w:pPr>
          </w:p>
        </w:tc>
      </w:tr>
      <w:tr w:rsidR="009A52D3" w:rsidRPr="0056450F">
        <w:trPr>
          <w:cantSplit/>
          <w:trHeight w:val="411"/>
          <w:jc w:val="center"/>
        </w:trPr>
        <w:tc>
          <w:tcPr>
            <w:tcW w:w="0" w:type="auto"/>
            <w:gridSpan w:val="2"/>
            <w:tcBorders>
              <w:top w:val="nil"/>
              <w:left w:val="nil"/>
              <w:bottom w:val="single" w:sz="12" w:space="0" w:color="808080"/>
              <w:right w:val="nil"/>
            </w:tcBorders>
            <w:vAlign w:val="center"/>
          </w:tcPr>
          <w:p w:rsidR="007F46C9" w:rsidRPr="0056450F" w:rsidRDefault="007F46C9" w:rsidP="004C5423">
            <w:pPr>
              <w:rPr>
                <w:rFonts w:ascii="Arial" w:hAnsi="Arial" w:cs="Arial"/>
                <w:b/>
                <w:bCs/>
                <w:lang w:val="sr-Latn-RS"/>
              </w:rPr>
            </w:pPr>
            <w:r w:rsidRPr="0056450F">
              <w:rPr>
                <w:rFonts w:ascii="Arial" w:hAnsi="Arial" w:cs="Arial"/>
                <w:b/>
                <w:bCs/>
                <w:lang w:val="sr-Latn-RS"/>
              </w:rPr>
              <w:t>Statistics of population</w:t>
            </w:r>
          </w:p>
        </w:tc>
        <w:tc>
          <w:tcPr>
            <w:tcW w:w="0" w:type="auto"/>
            <w:tcBorders>
              <w:top w:val="nil"/>
              <w:left w:val="nil"/>
              <w:bottom w:val="single" w:sz="12" w:space="0" w:color="808080"/>
              <w:right w:val="nil"/>
            </w:tcBorders>
            <w:vAlign w:val="center"/>
          </w:tcPr>
          <w:p w:rsidR="007F46C9" w:rsidRPr="0056450F" w:rsidRDefault="007F46C9" w:rsidP="006C1E26">
            <w:pPr>
              <w:jc w:val="right"/>
              <w:rPr>
                <w:rFonts w:ascii="Arial" w:hAnsi="Arial" w:cs="Arial"/>
                <w:b/>
                <w:bCs/>
                <w:sz w:val="20"/>
                <w:szCs w:val="20"/>
                <w:lang w:val="sr-Latn-RS"/>
              </w:rPr>
            </w:pPr>
            <w:r w:rsidRPr="0056450F">
              <w:rPr>
                <w:rFonts w:ascii="Arial" w:hAnsi="Arial" w:cs="Arial"/>
                <w:sz w:val="20"/>
                <w:szCs w:val="20"/>
                <w:lang w:val="sr-Latn-RS"/>
              </w:rPr>
              <w:t>SERB</w:t>
            </w:r>
            <w:r w:rsidR="00894370" w:rsidRPr="0056450F">
              <w:rPr>
                <w:rFonts w:ascii="Arial" w:hAnsi="Arial" w:cs="Arial"/>
                <w:sz w:val="20"/>
                <w:szCs w:val="20"/>
                <w:lang w:val="sr-Latn-RS"/>
              </w:rPr>
              <w:t>1</w:t>
            </w:r>
            <w:r w:rsidR="006C1E26" w:rsidRPr="0056450F">
              <w:rPr>
                <w:rFonts w:ascii="Arial" w:hAnsi="Arial" w:cs="Arial"/>
                <w:sz w:val="20"/>
                <w:szCs w:val="20"/>
                <w:lang w:val="sr-Latn-RS"/>
              </w:rPr>
              <w:t>72</w:t>
            </w:r>
            <w:r w:rsidR="00894370" w:rsidRPr="0056450F">
              <w:rPr>
                <w:rFonts w:ascii="Arial" w:hAnsi="Arial" w:cs="Arial"/>
                <w:sz w:val="20"/>
                <w:szCs w:val="20"/>
                <w:lang w:val="sr-Latn-RS"/>
              </w:rPr>
              <w:t xml:space="preserve"> </w:t>
            </w:r>
            <w:r w:rsidRPr="0056450F">
              <w:rPr>
                <w:rFonts w:ascii="Arial" w:hAnsi="Arial" w:cs="Arial"/>
                <w:sz w:val="20"/>
                <w:szCs w:val="20"/>
                <w:lang w:val="sr-Latn-RS"/>
              </w:rPr>
              <w:t xml:space="preserve">SN70 </w:t>
            </w:r>
            <w:r w:rsidR="006C1E26" w:rsidRPr="0056450F">
              <w:rPr>
                <w:rFonts w:ascii="Arial" w:hAnsi="Arial" w:cs="Arial"/>
                <w:sz w:val="20"/>
                <w:szCs w:val="20"/>
                <w:lang w:val="sr-Latn-RS"/>
              </w:rPr>
              <w:t>010720</w:t>
            </w:r>
          </w:p>
        </w:tc>
      </w:tr>
    </w:tbl>
    <w:p w:rsidR="007F46C9" w:rsidRPr="0056450F" w:rsidRDefault="007F46C9" w:rsidP="00BE39A5">
      <w:pPr>
        <w:rPr>
          <w:rFonts w:ascii="Arial" w:hAnsi="Arial" w:cs="Arial"/>
          <w:b/>
          <w:bCs/>
          <w:sz w:val="8"/>
          <w:szCs w:val="8"/>
          <w:lang w:val="sr-Latn-RS"/>
        </w:rPr>
      </w:pPr>
    </w:p>
    <w:p w:rsidR="0089248C" w:rsidRPr="0056450F" w:rsidRDefault="0089248C" w:rsidP="00977AC7">
      <w:pPr>
        <w:spacing w:before="360" w:line="233" w:lineRule="auto"/>
        <w:jc w:val="center"/>
        <w:rPr>
          <w:rFonts w:ascii="Arial" w:hAnsi="Arial" w:cs="Arial"/>
          <w:b/>
          <w:bCs/>
          <w:lang w:val="sr-Latn-RS"/>
        </w:rPr>
      </w:pPr>
    </w:p>
    <w:p w:rsidR="007F46C9" w:rsidRPr="0056450F" w:rsidRDefault="007F46C9" w:rsidP="00977AC7">
      <w:pPr>
        <w:spacing w:before="360" w:line="233" w:lineRule="auto"/>
        <w:jc w:val="center"/>
        <w:rPr>
          <w:rFonts w:ascii="Arial" w:hAnsi="Arial" w:cs="Arial"/>
          <w:b/>
          <w:bCs/>
          <w:lang w:val="sr-Latn-RS"/>
        </w:rPr>
      </w:pPr>
      <w:r w:rsidRPr="0056450F">
        <w:rPr>
          <w:rFonts w:ascii="Arial" w:hAnsi="Arial" w:cs="Arial"/>
          <w:b/>
          <w:bCs/>
          <w:lang w:val="sr-Latn-RS"/>
        </w:rPr>
        <w:t>Estimates of population</w:t>
      </w:r>
      <w:r w:rsidR="008F7BB9" w:rsidRPr="0056450F">
        <w:rPr>
          <w:rFonts w:ascii="Arial" w:hAnsi="Arial" w:cs="Arial"/>
          <w:b/>
          <w:bCs/>
          <w:lang w:val="sr-Latn-RS"/>
        </w:rPr>
        <w:t xml:space="preserve">, </w:t>
      </w:r>
      <w:r w:rsidR="00FE153C" w:rsidRPr="0056450F">
        <w:rPr>
          <w:rFonts w:ascii="Arial" w:hAnsi="Arial" w:cs="Arial"/>
          <w:b/>
          <w:bCs/>
          <w:lang w:val="sr-Latn-RS"/>
        </w:rPr>
        <w:t>201</w:t>
      </w:r>
      <w:r w:rsidR="006C1E26" w:rsidRPr="0056450F">
        <w:rPr>
          <w:rFonts w:ascii="Arial" w:hAnsi="Arial" w:cs="Arial"/>
          <w:b/>
          <w:bCs/>
          <w:lang w:val="sr-Latn-RS"/>
        </w:rPr>
        <w:t>9</w:t>
      </w:r>
      <w:r w:rsidRPr="0056450F">
        <w:rPr>
          <w:rFonts w:ascii="Arial" w:hAnsi="Arial" w:cs="Arial"/>
          <w:b/>
          <w:bCs/>
          <w:lang w:val="sr-Latn-RS"/>
        </w:rPr>
        <w:t xml:space="preserve">  </w:t>
      </w:r>
    </w:p>
    <w:p w:rsidR="007F46C9" w:rsidRPr="0056450F" w:rsidRDefault="007F46C9" w:rsidP="0009498B">
      <w:pPr>
        <w:spacing w:before="120" w:line="233" w:lineRule="auto"/>
        <w:jc w:val="both"/>
        <w:rPr>
          <w:rFonts w:ascii="Arial" w:hAnsi="Arial" w:cs="Arial"/>
          <w:sz w:val="8"/>
          <w:szCs w:val="8"/>
          <w:lang w:val="sr-Latn-RS"/>
        </w:rPr>
      </w:pPr>
    </w:p>
    <w:p w:rsidR="00C33F68" w:rsidRPr="0056450F" w:rsidRDefault="00C33F68" w:rsidP="00E0563B">
      <w:pPr>
        <w:spacing w:before="120" w:line="233" w:lineRule="auto"/>
        <w:jc w:val="both"/>
        <w:rPr>
          <w:rFonts w:ascii="Arial" w:hAnsi="Arial" w:cs="Arial"/>
          <w:sz w:val="20"/>
          <w:szCs w:val="20"/>
          <w:lang w:val="sr-Latn-RS"/>
        </w:rPr>
      </w:pPr>
      <w:r w:rsidRPr="00232800">
        <w:rPr>
          <w:rFonts w:ascii="Arial" w:hAnsi="Arial" w:cs="Arial"/>
          <w:sz w:val="20"/>
          <w:szCs w:val="20"/>
          <w:lang w:val="sr-Latn-RS"/>
        </w:rPr>
        <w:t>The estimated number of population in the Republic of Serbia in 201</w:t>
      </w:r>
      <w:r w:rsidR="00E0563B" w:rsidRPr="00232800">
        <w:rPr>
          <w:rFonts w:ascii="Arial" w:hAnsi="Arial" w:cs="Arial"/>
          <w:sz w:val="20"/>
          <w:szCs w:val="20"/>
          <w:lang w:val="sr-Latn-RS"/>
        </w:rPr>
        <w:t>9</w:t>
      </w:r>
      <w:r w:rsidRPr="00232800">
        <w:rPr>
          <w:rFonts w:ascii="Arial" w:hAnsi="Arial" w:cs="Arial"/>
          <w:sz w:val="20"/>
          <w:szCs w:val="20"/>
          <w:lang w:val="sr-Latn-RS"/>
        </w:rPr>
        <w:t xml:space="preserve"> was 6 </w:t>
      </w:r>
      <w:r w:rsidR="00E0563B" w:rsidRPr="00232800">
        <w:rPr>
          <w:rFonts w:ascii="Arial" w:hAnsi="Arial" w:cs="Arial"/>
          <w:sz w:val="20"/>
          <w:szCs w:val="20"/>
          <w:lang w:val="sr-Latn-RS"/>
        </w:rPr>
        <w:t>945 235</w:t>
      </w:r>
      <w:r w:rsidR="00232800" w:rsidRPr="00232800">
        <w:rPr>
          <w:rFonts w:ascii="Arial" w:hAnsi="Arial" w:cs="Arial"/>
          <w:sz w:val="20"/>
          <w:szCs w:val="20"/>
          <w:lang w:val="sr-Latn-RS"/>
        </w:rPr>
        <w:t xml:space="preserve"> </w:t>
      </w:r>
      <w:r w:rsidR="00232800" w:rsidRPr="00232800">
        <w:rPr>
          <w:rFonts w:ascii="Arial" w:hAnsi="Arial" w:cs="Arial"/>
          <w:sz w:val="20"/>
          <w:szCs w:val="20"/>
          <w:lang w:val="sr-Cyrl-RS"/>
        </w:rPr>
        <w:t>(</w:t>
      </w:r>
      <w:r w:rsidR="00232800" w:rsidRPr="00232800">
        <w:rPr>
          <w:rFonts w:ascii="Arial" w:hAnsi="Arial" w:cs="Arial"/>
          <w:sz w:val="20"/>
          <w:szCs w:val="20"/>
          <w:lang w:val="sr-Latn-CS"/>
        </w:rPr>
        <w:t>the estimations are based on the results of natural changes statistics and population internal migration</w:t>
      </w:r>
      <w:r w:rsidR="00232800" w:rsidRPr="00232800">
        <w:rPr>
          <w:rFonts w:ascii="Arial" w:hAnsi="Arial" w:cs="Arial"/>
          <w:sz w:val="20"/>
          <w:szCs w:val="20"/>
          <w:lang w:val="sr-Cyrl-RS"/>
        </w:rPr>
        <w:t>)</w:t>
      </w:r>
      <w:r w:rsidR="00232800" w:rsidRPr="00232800">
        <w:rPr>
          <w:rFonts w:ascii="Arial" w:hAnsi="Arial" w:cs="Arial"/>
          <w:sz w:val="20"/>
          <w:szCs w:val="20"/>
        </w:rPr>
        <w:t>.</w:t>
      </w:r>
      <w:r w:rsidRPr="00232800">
        <w:rPr>
          <w:rFonts w:ascii="Arial" w:hAnsi="Arial" w:cs="Arial"/>
          <w:sz w:val="20"/>
          <w:szCs w:val="20"/>
          <w:lang w:val="sr-Latn-RS"/>
        </w:rPr>
        <w:t xml:space="preserve">. Observed by sex, </w:t>
      </w:r>
      <w:r w:rsidRPr="00232800">
        <w:rPr>
          <w:rFonts w:ascii="Arial" w:hAnsi="Arial" w:cs="Arial"/>
          <w:b/>
          <w:sz w:val="20"/>
          <w:szCs w:val="20"/>
          <w:lang w:val="sr-Latn-RS"/>
        </w:rPr>
        <w:t xml:space="preserve">51.3% </w:t>
      </w:r>
      <w:r w:rsidRPr="00232800">
        <w:rPr>
          <w:rFonts w:ascii="Arial" w:hAnsi="Arial" w:cs="Arial"/>
          <w:sz w:val="20"/>
          <w:szCs w:val="20"/>
          <w:lang w:val="sr-Latn-RS"/>
        </w:rPr>
        <w:t>were women (</w:t>
      </w:r>
      <w:r w:rsidR="00E0563B" w:rsidRPr="00232800">
        <w:rPr>
          <w:rFonts w:ascii="Arial" w:hAnsi="Arial" w:cs="Arial"/>
          <w:sz w:val="20"/>
          <w:szCs w:val="20"/>
          <w:lang w:val="sr-Latn-RS"/>
        </w:rPr>
        <w:t>3 561 503</w:t>
      </w:r>
      <w:r w:rsidRPr="00232800">
        <w:rPr>
          <w:rFonts w:ascii="Arial" w:hAnsi="Arial" w:cs="Arial"/>
          <w:sz w:val="20"/>
          <w:szCs w:val="20"/>
          <w:lang w:val="sr-Latn-RS"/>
        </w:rPr>
        <w:t xml:space="preserve">) and </w:t>
      </w:r>
      <w:r w:rsidRPr="00232800">
        <w:rPr>
          <w:rFonts w:ascii="Arial" w:hAnsi="Arial" w:cs="Arial"/>
          <w:b/>
          <w:sz w:val="20"/>
          <w:szCs w:val="20"/>
          <w:lang w:val="sr-Latn-RS"/>
        </w:rPr>
        <w:t xml:space="preserve">48.7% </w:t>
      </w:r>
      <w:r w:rsidRPr="00232800">
        <w:rPr>
          <w:rFonts w:ascii="Arial" w:hAnsi="Arial" w:cs="Arial"/>
          <w:sz w:val="20"/>
          <w:szCs w:val="20"/>
          <w:lang w:val="sr-Latn-RS"/>
        </w:rPr>
        <w:t xml:space="preserve">were men (3 </w:t>
      </w:r>
      <w:r w:rsidR="00E0563B" w:rsidRPr="00232800">
        <w:rPr>
          <w:rFonts w:ascii="Arial" w:hAnsi="Arial" w:cs="Arial"/>
          <w:sz w:val="20"/>
          <w:szCs w:val="20"/>
          <w:lang w:val="sr-Latn-RS"/>
        </w:rPr>
        <w:t>383 732</w:t>
      </w:r>
      <w:r w:rsidRPr="00232800">
        <w:rPr>
          <w:rFonts w:ascii="Arial" w:hAnsi="Arial" w:cs="Arial"/>
          <w:sz w:val="20"/>
          <w:szCs w:val="20"/>
          <w:lang w:val="sr-Latn-RS"/>
        </w:rPr>
        <w:t>).</w:t>
      </w:r>
    </w:p>
    <w:p w:rsidR="000D5D92" w:rsidRPr="0056450F" w:rsidRDefault="00C33F68" w:rsidP="00FE153C">
      <w:pPr>
        <w:spacing w:before="120" w:line="233" w:lineRule="auto"/>
        <w:jc w:val="both"/>
        <w:rPr>
          <w:rFonts w:ascii="Arial" w:hAnsi="Arial" w:cs="Arial"/>
          <w:sz w:val="20"/>
          <w:szCs w:val="20"/>
          <w:lang w:val="sr-Latn-RS"/>
        </w:rPr>
      </w:pPr>
      <w:r w:rsidRPr="0056450F">
        <w:rPr>
          <w:rFonts w:ascii="Arial" w:hAnsi="Arial" w:cs="Arial"/>
          <w:sz w:val="20"/>
          <w:szCs w:val="20"/>
          <w:lang w:val="sr-Latn-RS"/>
        </w:rPr>
        <w:t xml:space="preserve">The depopulation trend continued, meaning that population growth rate, compared with the previous year, was negative and amounted to </w:t>
      </w:r>
      <w:r w:rsidRPr="0056450F">
        <w:rPr>
          <w:rFonts w:ascii="Arial" w:hAnsi="Arial" w:cs="Arial"/>
          <w:b/>
          <w:sz w:val="20"/>
          <w:szCs w:val="20"/>
          <w:lang w:val="sr-Latn-RS"/>
        </w:rPr>
        <w:t>-5.</w:t>
      </w:r>
      <w:r w:rsidR="00E0563B" w:rsidRPr="0056450F">
        <w:rPr>
          <w:rFonts w:ascii="Arial" w:hAnsi="Arial" w:cs="Arial"/>
          <w:b/>
          <w:sz w:val="20"/>
          <w:szCs w:val="20"/>
          <w:lang w:val="sr-Latn-RS"/>
        </w:rPr>
        <w:t>4</w:t>
      </w:r>
      <w:r w:rsidRPr="0056450F">
        <w:rPr>
          <w:rFonts w:ascii="Arial" w:hAnsi="Arial" w:cs="Arial"/>
          <w:b/>
          <w:sz w:val="20"/>
          <w:szCs w:val="20"/>
          <w:lang w:val="sr-Latn-RS"/>
        </w:rPr>
        <w:t xml:space="preserve">‰. </w:t>
      </w:r>
      <w:r w:rsidR="00660B52" w:rsidRPr="0056450F">
        <w:rPr>
          <w:rFonts w:ascii="Arial" w:hAnsi="Arial" w:cs="Arial"/>
          <w:sz w:val="20"/>
          <w:szCs w:val="20"/>
          <w:lang w:val="sr-Latn-RS"/>
        </w:rPr>
        <w:t xml:space="preserve"> At the same time, the process of demographic ageing of the population is manifested by the low and steadily declining participation of young people and the high and continuously increasing share of the elderly in the total population.</w:t>
      </w:r>
      <w:r w:rsidR="00702FCE" w:rsidRPr="0056450F">
        <w:rPr>
          <w:rFonts w:ascii="Arial" w:hAnsi="Arial" w:cs="Arial"/>
          <w:sz w:val="20"/>
          <w:szCs w:val="20"/>
          <w:lang w:val="sr-Latn-RS"/>
        </w:rPr>
        <w:t xml:space="preserve"> </w:t>
      </w:r>
      <w:r w:rsidR="000D5D92" w:rsidRPr="0056450F">
        <w:rPr>
          <w:rFonts w:ascii="Arial" w:hAnsi="Arial" w:cs="Arial"/>
          <w:sz w:val="20"/>
          <w:szCs w:val="20"/>
          <w:lang w:val="sr-Latn-RS"/>
        </w:rPr>
        <w:t>According to the data for the Republic of Serbia in 201</w:t>
      </w:r>
      <w:r w:rsidR="00E0563B" w:rsidRPr="0056450F">
        <w:rPr>
          <w:rFonts w:ascii="Arial" w:hAnsi="Arial" w:cs="Arial"/>
          <w:sz w:val="20"/>
          <w:szCs w:val="20"/>
          <w:lang w:val="sr-Latn-RS"/>
        </w:rPr>
        <w:t>9</w:t>
      </w:r>
      <w:r w:rsidR="000D5D92" w:rsidRPr="0056450F">
        <w:rPr>
          <w:rFonts w:ascii="Arial" w:hAnsi="Arial" w:cs="Arial"/>
          <w:sz w:val="20"/>
          <w:szCs w:val="20"/>
          <w:lang w:val="sr-Latn-RS"/>
        </w:rPr>
        <w:t xml:space="preserve"> the </w:t>
      </w:r>
      <w:r w:rsidR="00660B52" w:rsidRPr="0056450F">
        <w:rPr>
          <w:rFonts w:ascii="Arial" w:hAnsi="Arial" w:cs="Arial"/>
          <w:sz w:val="20"/>
          <w:szCs w:val="20"/>
          <w:lang w:val="sr-Latn-RS"/>
        </w:rPr>
        <w:t xml:space="preserve">share </w:t>
      </w:r>
      <w:r w:rsidR="000D5D92" w:rsidRPr="0056450F">
        <w:rPr>
          <w:rFonts w:ascii="Arial" w:hAnsi="Arial" w:cs="Arial"/>
          <w:sz w:val="20"/>
          <w:szCs w:val="20"/>
          <w:lang w:val="sr-Latn-RS"/>
        </w:rPr>
        <w:t>of persons aged 65 and over was 20.</w:t>
      </w:r>
      <w:r w:rsidR="00E0563B" w:rsidRPr="0056450F">
        <w:rPr>
          <w:rFonts w:ascii="Arial" w:hAnsi="Arial" w:cs="Arial"/>
          <w:sz w:val="20"/>
          <w:szCs w:val="20"/>
          <w:lang w:val="sr-Latn-RS"/>
        </w:rPr>
        <w:t>7</w:t>
      </w:r>
      <w:r w:rsidR="00A639C6" w:rsidRPr="0056450F">
        <w:rPr>
          <w:rFonts w:ascii="Arial" w:hAnsi="Arial" w:cs="Arial"/>
          <w:sz w:val="20"/>
          <w:szCs w:val="20"/>
          <w:lang w:val="sr-Latn-RS"/>
        </w:rPr>
        <w:t>%</w:t>
      </w:r>
      <w:r w:rsidR="000D5D92" w:rsidRPr="0056450F">
        <w:rPr>
          <w:rFonts w:ascii="Arial" w:hAnsi="Arial" w:cs="Arial"/>
          <w:sz w:val="20"/>
          <w:szCs w:val="20"/>
          <w:lang w:val="sr-Latn-RS"/>
        </w:rPr>
        <w:t xml:space="preserve"> and 14.3% for those under the age of 15.</w:t>
      </w:r>
    </w:p>
    <w:p w:rsidR="00232800" w:rsidRPr="0056450F" w:rsidRDefault="00232800" w:rsidP="00232800">
      <w:pPr>
        <w:spacing w:before="120" w:line="233" w:lineRule="auto"/>
        <w:jc w:val="both"/>
        <w:rPr>
          <w:rFonts w:ascii="Arial" w:hAnsi="Arial" w:cs="Arial"/>
          <w:sz w:val="20"/>
          <w:szCs w:val="20"/>
          <w:lang w:val="sr-Latn-RS"/>
        </w:rPr>
      </w:pPr>
      <w:r w:rsidRPr="00232800">
        <w:rPr>
          <w:rFonts w:ascii="Arial" w:hAnsi="Arial" w:cs="Arial"/>
          <w:sz w:val="20"/>
          <w:szCs w:val="20"/>
          <w:lang w:val="sr-Latn-RS"/>
        </w:rPr>
        <w:t>Observed at the level of areas, Zaječarska oblast saw the largest share of persons aged 65 and over (28.5%)</w:t>
      </w:r>
      <w:r w:rsidRPr="00232800">
        <w:rPr>
          <w:rFonts w:ascii="Arial" w:hAnsi="Arial" w:cs="Arial"/>
          <w:color w:val="00B0F0"/>
          <w:sz w:val="20"/>
          <w:szCs w:val="20"/>
          <w:lang w:val="sr-Latn-RS"/>
        </w:rPr>
        <w:t xml:space="preserve"> </w:t>
      </w:r>
      <w:r w:rsidRPr="00232800">
        <w:rPr>
          <w:rFonts w:ascii="Arial" w:hAnsi="Arial" w:cs="Arial"/>
          <w:sz w:val="20"/>
          <w:szCs w:val="20"/>
          <w:lang w:val="sr-Latn-RS"/>
        </w:rPr>
        <w:t xml:space="preserve">and at the same time the smallest share of population aged under 15 (11.2%). On the other hand, the lowest share of persons aged 65 and over was noted in Pčinjska oblast (15.7%); however the largest share of population aged below 15 was found for Raška oblast (18%), and then for Južnobačka oblast (15.5%). and Pčinjska oblast (15,4%). </w:t>
      </w:r>
      <w:r w:rsidRPr="00232800">
        <w:rPr>
          <w:rFonts w:ascii="Arial" w:hAnsi="Arial" w:cs="Arial"/>
          <w:sz w:val="20"/>
          <w:szCs w:val="20"/>
        </w:rPr>
        <w:t>Chart 1 shows the first and last five areas where the share of senior population (65+) is the largest, i.e. the smallest, respectively.</w:t>
      </w:r>
      <w:r w:rsidRPr="00232800">
        <w:rPr>
          <w:rFonts w:ascii="Arial" w:hAnsi="Arial" w:cs="Arial"/>
          <w:sz w:val="20"/>
          <w:szCs w:val="20"/>
          <w:lang w:val="sr-Latn-RS"/>
        </w:rPr>
        <w:t xml:space="preserve"> For the purpose of comparison, the share of the population under the age of 15 is also presented.</w:t>
      </w:r>
      <w:r w:rsidRPr="0056450F">
        <w:rPr>
          <w:rFonts w:ascii="Arial" w:hAnsi="Arial" w:cs="Arial"/>
          <w:sz w:val="20"/>
          <w:szCs w:val="20"/>
          <w:lang w:val="sr-Latn-RS"/>
        </w:rPr>
        <w:t xml:space="preserve"> </w:t>
      </w:r>
    </w:p>
    <w:p w:rsidR="007F46C9" w:rsidRPr="0056450F" w:rsidRDefault="007F46C9" w:rsidP="0009498B">
      <w:pPr>
        <w:spacing w:line="233" w:lineRule="auto"/>
        <w:rPr>
          <w:rFonts w:ascii="Arial" w:hAnsi="Arial" w:cs="Arial"/>
          <w:sz w:val="26"/>
          <w:szCs w:val="26"/>
          <w:lang w:val="sr-Latn-RS"/>
        </w:rPr>
      </w:pPr>
    </w:p>
    <w:p w:rsidR="002950B9" w:rsidRPr="0056450F" w:rsidRDefault="0089248C" w:rsidP="002950B9">
      <w:pPr>
        <w:ind w:left="680" w:hanging="680"/>
        <w:jc w:val="both"/>
        <w:rPr>
          <w:rFonts w:ascii="Arial" w:hAnsi="Arial" w:cs="Arial"/>
          <w:sz w:val="20"/>
          <w:szCs w:val="20"/>
          <w:lang w:val="sr-Latn-RS"/>
        </w:rPr>
      </w:pPr>
      <w:r w:rsidRPr="0056450F">
        <w:rPr>
          <w:rFonts w:ascii="Arial" w:hAnsi="Arial" w:cs="Arial"/>
          <w:sz w:val="20"/>
          <w:szCs w:val="20"/>
          <w:lang w:val="sr-Latn-RS"/>
        </w:rPr>
        <w:t xml:space="preserve">Chart </w:t>
      </w:r>
      <w:r w:rsidR="002950B9" w:rsidRPr="0056450F">
        <w:rPr>
          <w:rFonts w:ascii="Arial" w:hAnsi="Arial" w:cs="Arial"/>
          <w:bCs/>
          <w:sz w:val="20"/>
          <w:szCs w:val="20"/>
          <w:lang w:val="sr-Latn-RS"/>
        </w:rPr>
        <w:t>1.</w:t>
      </w:r>
      <w:r w:rsidR="002950B9" w:rsidRPr="0056450F">
        <w:rPr>
          <w:rFonts w:ascii="Arial" w:hAnsi="Arial" w:cs="Arial"/>
          <w:b/>
          <w:bCs/>
          <w:sz w:val="20"/>
          <w:szCs w:val="20"/>
          <w:lang w:val="sr-Latn-RS"/>
        </w:rPr>
        <w:t xml:space="preserve"> </w:t>
      </w:r>
      <w:r w:rsidR="00A86472" w:rsidRPr="0056450F">
        <w:rPr>
          <w:rFonts w:ascii="Arial" w:hAnsi="Arial" w:cs="Arial"/>
          <w:sz w:val="20"/>
          <w:szCs w:val="20"/>
          <w:lang w:val="sr-Latn-RS"/>
        </w:rPr>
        <w:t xml:space="preserve">Share of young and </w:t>
      </w:r>
      <w:r w:rsidR="00A639C6" w:rsidRPr="0056450F">
        <w:rPr>
          <w:rFonts w:ascii="Arial" w:hAnsi="Arial" w:cs="Arial"/>
          <w:sz w:val="20"/>
          <w:szCs w:val="20"/>
          <w:lang w:val="sr-Latn-RS"/>
        </w:rPr>
        <w:t xml:space="preserve">elderly </w:t>
      </w:r>
      <w:r w:rsidR="00A86472" w:rsidRPr="0056450F">
        <w:rPr>
          <w:rFonts w:ascii="Arial" w:hAnsi="Arial" w:cs="Arial"/>
          <w:sz w:val="20"/>
          <w:szCs w:val="20"/>
          <w:lang w:val="sr-Latn-RS"/>
        </w:rPr>
        <w:t>population in total population, mid-201</w:t>
      </w:r>
      <w:r w:rsidR="006C1E26" w:rsidRPr="0056450F">
        <w:rPr>
          <w:rFonts w:ascii="Arial" w:hAnsi="Arial" w:cs="Arial"/>
          <w:sz w:val="20"/>
          <w:szCs w:val="20"/>
          <w:lang w:val="sr-Latn-RS"/>
        </w:rPr>
        <w:t>9</w:t>
      </w:r>
      <w:r w:rsidR="00A86472" w:rsidRPr="0056450F">
        <w:rPr>
          <w:rFonts w:ascii="Arial" w:hAnsi="Arial" w:cs="Arial"/>
          <w:sz w:val="20"/>
          <w:szCs w:val="20"/>
          <w:lang w:val="sr-Latn-RS"/>
        </w:rPr>
        <w:t xml:space="preserve"> estimate</w:t>
      </w:r>
      <w:r w:rsidR="002950B9" w:rsidRPr="0056450F">
        <w:rPr>
          <w:rFonts w:ascii="Arial" w:hAnsi="Arial" w:cs="Arial"/>
          <w:sz w:val="20"/>
          <w:szCs w:val="20"/>
          <w:lang w:val="sr-Latn-RS"/>
        </w:rPr>
        <w:t xml:space="preserve"> </w:t>
      </w:r>
      <w:r w:rsidR="002950B9" w:rsidRPr="0056450F">
        <w:rPr>
          <w:rFonts w:ascii="Arial" w:hAnsi="Arial" w:cs="Arial"/>
          <w:sz w:val="20"/>
          <w:szCs w:val="20"/>
          <w:lang w:val="sr-Latn-RS"/>
        </w:rPr>
        <w:softHyphen/>
      </w:r>
    </w:p>
    <w:p w:rsidR="002950B9" w:rsidRPr="0056450F" w:rsidRDefault="002950B9" w:rsidP="00977AC7">
      <w:pPr>
        <w:ind w:left="680" w:hanging="680"/>
        <w:rPr>
          <w:rFonts w:ascii="Arial" w:hAnsi="Arial" w:cs="Arial"/>
          <w:b/>
          <w:sz w:val="10"/>
          <w:szCs w:val="10"/>
          <w:lang w:val="sr-Latn-RS"/>
        </w:rPr>
      </w:pPr>
      <w:r w:rsidRPr="0056450F">
        <w:rPr>
          <w:rFonts w:ascii="Arial" w:hAnsi="Arial" w:cs="Arial"/>
          <w:b/>
          <w:sz w:val="18"/>
          <w:szCs w:val="18"/>
          <w:lang w:val="sr-Latn-RS"/>
        </w:rPr>
        <w:t xml:space="preserve"> </w:t>
      </w:r>
      <w:r w:rsidRPr="0056450F">
        <w:rPr>
          <w:rFonts w:ascii="Arial" w:hAnsi="Arial" w:cs="Arial"/>
          <w:b/>
          <w:sz w:val="10"/>
          <w:szCs w:val="10"/>
          <w:lang w:val="sr-Latn-RS"/>
        </w:rPr>
        <w:tab/>
      </w:r>
    </w:p>
    <w:p w:rsidR="002950B9" w:rsidRPr="0056450F" w:rsidRDefault="005173C1" w:rsidP="002950B9">
      <w:pPr>
        <w:rPr>
          <w:rFonts w:ascii="Arial" w:hAnsi="Arial" w:cs="Arial"/>
          <w:sz w:val="20"/>
          <w:szCs w:val="20"/>
          <w:lang w:val="sr-Latn-RS"/>
        </w:rPr>
      </w:pPr>
      <w:r w:rsidRPr="0056450F">
        <w:rPr>
          <w:rFonts w:ascii="Arial" w:hAnsi="Arial" w:cs="Arial"/>
          <w:noProof/>
          <w:sz w:val="20"/>
          <w:szCs w:val="20"/>
        </w:rPr>
        <mc:AlternateContent>
          <mc:Choice Requires="wps">
            <w:drawing>
              <wp:anchor distT="0" distB="0" distL="114300" distR="114300" simplePos="0" relativeHeight="251659264" behindDoc="0" locked="0" layoutInCell="1" allowOverlap="1" wp14:anchorId="652FA8CB" wp14:editId="706B5214">
                <wp:simplePos x="0" y="0"/>
                <wp:positionH relativeFrom="column">
                  <wp:posOffset>4231640</wp:posOffset>
                </wp:positionH>
                <wp:positionV relativeFrom="paragraph">
                  <wp:posOffset>12700</wp:posOffset>
                </wp:positionV>
                <wp:extent cx="2238375" cy="35147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238375" cy="3514725"/>
                        </a:xfrm>
                        <a:prstGeom prst="roundRect">
                          <a:avLst/>
                        </a:prstGeom>
                        <a:solidFill>
                          <a:schemeClr val="bg1">
                            <a:lumMod val="95000"/>
                          </a:schemeClr>
                        </a:solidFill>
                        <a:ln w="3175">
                          <a:solidFill>
                            <a:schemeClr val="bg1">
                              <a:lumMod val="75000"/>
                            </a:schemeClr>
                          </a:solidFill>
                        </a:ln>
                      </wps:spPr>
                      <wps:txbx>
                        <w:txbxContent>
                          <w:p w:rsidR="006C1E26" w:rsidRDefault="006C1E26" w:rsidP="002950B9">
                            <w:pPr>
                              <w:shd w:val="clear" w:color="auto" w:fill="F2F2F2" w:themeFill="background1" w:themeFillShade="F2"/>
                              <w:rPr>
                                <w:rFonts w:ascii="Arial" w:hAnsi="Arial" w:cs="Arial"/>
                                <w:sz w:val="18"/>
                                <w:szCs w:val="18"/>
                                <w:lang w:val="sr-Latn-RS"/>
                              </w:rPr>
                            </w:pPr>
                          </w:p>
                          <w:p w:rsidR="006C1E26" w:rsidRPr="0056450F" w:rsidRDefault="006C1E26" w:rsidP="00977AC7">
                            <w:pPr>
                              <w:shd w:val="clear" w:color="auto" w:fill="F2F2F2" w:themeFill="background1" w:themeFillShade="F2"/>
                              <w:spacing w:before="240"/>
                              <w:rPr>
                                <w:rFonts w:ascii="Arial" w:hAnsi="Arial" w:cs="Arial"/>
                                <w:sz w:val="18"/>
                                <w:szCs w:val="18"/>
                                <w:lang w:val="sr-Latn-RS"/>
                              </w:rPr>
                            </w:pPr>
                            <w:r w:rsidRPr="0056450F">
                              <w:rPr>
                                <w:rFonts w:ascii="Arial" w:hAnsi="Arial" w:cs="Arial"/>
                                <w:sz w:val="18"/>
                                <w:szCs w:val="18"/>
                                <w:lang w:val="sr-Latn-RS"/>
                              </w:rPr>
                              <w:t>The impact of these demographic trends mostly reflects the dependence of elderly population (number of persons aged 65 and over per 100 persons aged 15 – 64), which is the most expressive in Zaječarska oblast (</w:t>
                            </w:r>
                            <w:r w:rsidR="009137BE" w:rsidRPr="0056450F">
                              <w:rPr>
                                <w:rFonts w:ascii="Arial" w:hAnsi="Arial" w:cs="Arial"/>
                                <w:sz w:val="18"/>
                                <w:szCs w:val="18"/>
                                <w:lang w:val="sr-Latn-RS"/>
                              </w:rPr>
                              <w:t>47,2</w:t>
                            </w:r>
                            <w:r w:rsidRPr="0056450F">
                              <w:rPr>
                                <w:rFonts w:ascii="Arial" w:hAnsi="Arial" w:cs="Arial"/>
                                <w:sz w:val="18"/>
                                <w:szCs w:val="18"/>
                                <w:lang w:val="sr-Latn-RS"/>
                              </w:rPr>
                              <w:t>) and in Pirotska oblast (</w:t>
                            </w:r>
                            <w:r w:rsidR="009137BE" w:rsidRPr="0056450F">
                              <w:rPr>
                                <w:rFonts w:ascii="Arial" w:hAnsi="Arial" w:cs="Arial"/>
                                <w:sz w:val="18"/>
                                <w:szCs w:val="18"/>
                                <w:lang w:val="sr-Latn-RS"/>
                              </w:rPr>
                              <w:t>41,2</w:t>
                            </w:r>
                            <w:r w:rsidRPr="0056450F">
                              <w:rPr>
                                <w:rFonts w:ascii="Arial" w:hAnsi="Arial" w:cs="Arial"/>
                                <w:sz w:val="18"/>
                                <w:szCs w:val="18"/>
                                <w:lang w:val="sr-Latn-RS"/>
                              </w:rPr>
                              <w:t>); while the smallest burden for labour force population wa</w:t>
                            </w:r>
                            <w:r w:rsidR="009137BE" w:rsidRPr="0056450F">
                              <w:rPr>
                                <w:rFonts w:ascii="Arial" w:hAnsi="Arial" w:cs="Arial"/>
                                <w:sz w:val="18"/>
                                <w:szCs w:val="18"/>
                                <w:lang w:val="sr-Latn-RS"/>
                              </w:rPr>
                              <w:t>s noted in Pčinjska oblast (22,8</w:t>
                            </w:r>
                            <w:r w:rsidRPr="0056450F">
                              <w:rPr>
                                <w:rFonts w:ascii="Arial" w:hAnsi="Arial" w:cs="Arial"/>
                                <w:sz w:val="18"/>
                                <w:szCs w:val="18"/>
                                <w:lang w:val="sr-Latn-RS"/>
                              </w:rPr>
                              <w:t xml:space="preserve">). </w:t>
                            </w:r>
                          </w:p>
                          <w:p w:rsidR="006C1E26" w:rsidRPr="0056450F" w:rsidRDefault="006C1E26" w:rsidP="00977AC7">
                            <w:pPr>
                              <w:shd w:val="clear" w:color="auto" w:fill="F2F2F2" w:themeFill="background1" w:themeFillShade="F2"/>
                              <w:spacing w:before="240"/>
                              <w:rPr>
                                <w:rFonts w:ascii="Arial" w:hAnsi="Arial" w:cs="Arial"/>
                                <w:sz w:val="18"/>
                                <w:szCs w:val="18"/>
                                <w:lang w:val="sr-Latn-RS"/>
                              </w:rPr>
                            </w:pPr>
                            <w:r w:rsidRPr="0056450F">
                              <w:rPr>
                                <w:rFonts w:ascii="Arial" w:hAnsi="Arial" w:cs="Arial"/>
                                <w:sz w:val="18"/>
                                <w:szCs w:val="18"/>
                                <w:lang w:val="sr-Latn-RS"/>
                              </w:rPr>
                              <w:t>According to the estimations made for 201</w:t>
                            </w:r>
                            <w:r w:rsidR="009137BE" w:rsidRPr="0056450F">
                              <w:rPr>
                                <w:rFonts w:ascii="Arial" w:hAnsi="Arial" w:cs="Arial"/>
                                <w:sz w:val="18"/>
                                <w:szCs w:val="18"/>
                                <w:lang w:val="sr-Latn-RS"/>
                              </w:rPr>
                              <w:t>9</w:t>
                            </w:r>
                            <w:r w:rsidRPr="0056450F">
                              <w:rPr>
                                <w:rFonts w:ascii="Arial" w:hAnsi="Arial" w:cs="Arial"/>
                                <w:sz w:val="18"/>
                                <w:szCs w:val="18"/>
                                <w:lang w:val="sr-Latn-RS"/>
                              </w:rPr>
                              <w:t>, in the Republic of Serbia the old-age dependency ratio equals 3</w:t>
                            </w:r>
                            <w:r w:rsidR="009137BE" w:rsidRPr="0056450F">
                              <w:rPr>
                                <w:rFonts w:ascii="Arial" w:hAnsi="Arial" w:cs="Arial"/>
                                <w:sz w:val="18"/>
                                <w:szCs w:val="18"/>
                                <w:lang w:val="sr-Latn-RS"/>
                              </w:rPr>
                              <w:t>1</w:t>
                            </w:r>
                            <w:r w:rsidRPr="0056450F">
                              <w:rPr>
                                <w:rFonts w:ascii="Arial" w:hAnsi="Arial" w:cs="Arial"/>
                                <w:sz w:val="18"/>
                                <w:szCs w:val="18"/>
                                <w:lang w:val="sr-Latn-RS"/>
                              </w:rPr>
                              <w:t>.8.</w:t>
                            </w:r>
                          </w:p>
                          <w:p w:rsidR="006C1E26" w:rsidRPr="002F5E7B" w:rsidRDefault="006C1E26" w:rsidP="00977AC7">
                            <w:pPr>
                              <w:shd w:val="clear" w:color="auto" w:fill="F2F2F2" w:themeFill="background1" w:themeFillShade="F2"/>
                              <w:spacing w:before="240"/>
                              <w:rPr>
                                <w:rFonts w:ascii="Arial" w:hAnsi="Arial" w:cs="Arial"/>
                                <w:sz w:val="18"/>
                                <w:szCs w:val="18"/>
                                <w:lang w:val="sr-Latn-RS"/>
                              </w:rPr>
                            </w:pPr>
                            <w:r w:rsidRPr="0056450F">
                              <w:rPr>
                                <w:rFonts w:ascii="Arial" w:hAnsi="Arial" w:cs="Arial"/>
                                <w:sz w:val="18"/>
                                <w:szCs w:val="18"/>
                                <w:lang w:val="sr-Latn-RS"/>
                              </w:rPr>
                              <w:t>At the level of city/municipality the values of this ratio were the highest in Gadžin Han, Crna Trava</w:t>
                            </w:r>
                            <w:r w:rsidR="009137BE" w:rsidRPr="0056450F">
                              <w:rPr>
                                <w:rFonts w:ascii="Arial" w:hAnsi="Arial" w:cs="Arial"/>
                                <w:sz w:val="18"/>
                                <w:szCs w:val="18"/>
                                <w:lang w:val="sr-Latn-RS"/>
                              </w:rPr>
                              <w:t>, Svrljig and Rekovac</w:t>
                            </w:r>
                            <w:r w:rsidRPr="0056450F">
                              <w:rPr>
                                <w:rFonts w:ascii="Arial" w:hAnsi="Arial" w:cs="Arial"/>
                                <w:sz w:val="18"/>
                                <w:szCs w:val="18"/>
                                <w:lang w:val="sr-Latn-RS"/>
                              </w:rPr>
                              <w:t xml:space="preserve"> (over 60), and the lowest in Preševo, </w:t>
                            </w:r>
                            <w:r w:rsidR="009137BE" w:rsidRPr="0056450F">
                              <w:rPr>
                                <w:rFonts w:ascii="Arial" w:hAnsi="Arial" w:cs="Arial"/>
                                <w:sz w:val="18"/>
                                <w:szCs w:val="18"/>
                                <w:lang w:val="sr-Latn-RS"/>
                              </w:rPr>
                              <w:t xml:space="preserve">Bujanovac, and </w:t>
                            </w:r>
                            <w:r w:rsidRPr="0056450F">
                              <w:rPr>
                                <w:rFonts w:ascii="Arial" w:hAnsi="Arial" w:cs="Arial"/>
                                <w:sz w:val="18"/>
                                <w:szCs w:val="18"/>
                                <w:lang w:val="sr-Latn-RS"/>
                              </w:rPr>
                              <w:t>Tutin (under 15).</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FA8CB" id="Text Box 18" o:spid="_x0000_s1026" style="position:absolute;margin-left:333.2pt;margin-top:1pt;width:176.25pt;height:2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" fillcolor="#f2f2f2 [3052]" strokecolor="#bfbfbf [2412]" strokeweight=".25pt">
                <v:textbox inset="1mm,0,1mm,0">
                  <w:txbxContent>
                    <w:p w:rsidR="006C1E26" w:rsidRDefault="006C1E26" w:rsidP="002950B9">
                      <w:pPr>
                        <w:shd w:val="clear" w:color="auto" w:fill="F2F2F2" w:themeFill="background1" w:themeFillShade="F2"/>
                        <w:rPr>
                          <w:rFonts w:ascii="Arial" w:hAnsi="Arial" w:cs="Arial"/>
                          <w:sz w:val="18"/>
                          <w:szCs w:val="18"/>
                          <w:lang w:val="sr-Latn-RS"/>
                        </w:rPr>
                      </w:pPr>
                    </w:p>
                    <w:p w:rsidR="006C1E26" w:rsidRPr="0056450F" w:rsidRDefault="006C1E26" w:rsidP="00977AC7">
                      <w:pPr>
                        <w:shd w:val="clear" w:color="auto" w:fill="F2F2F2" w:themeFill="background1" w:themeFillShade="F2"/>
                        <w:spacing w:before="240"/>
                        <w:rPr>
                          <w:rFonts w:ascii="Arial" w:hAnsi="Arial" w:cs="Arial"/>
                          <w:sz w:val="18"/>
                          <w:szCs w:val="18"/>
                          <w:lang w:val="sr-Latn-RS"/>
                        </w:rPr>
                      </w:pPr>
                      <w:r w:rsidRPr="0056450F">
                        <w:rPr>
                          <w:rFonts w:ascii="Arial" w:hAnsi="Arial" w:cs="Arial"/>
                          <w:sz w:val="18"/>
                          <w:szCs w:val="18"/>
                          <w:lang w:val="sr-Latn-RS"/>
                        </w:rPr>
                        <w:t>The impact of these demographic trends mostly reflects the dependence of elderly population (number of persons aged 65 and over per 100 persons aged 15 – 64), which is the most expressive in Zaječarska oblast (</w:t>
                      </w:r>
                      <w:r w:rsidR="009137BE" w:rsidRPr="0056450F">
                        <w:rPr>
                          <w:rFonts w:ascii="Arial" w:hAnsi="Arial" w:cs="Arial"/>
                          <w:sz w:val="18"/>
                          <w:szCs w:val="18"/>
                          <w:lang w:val="sr-Latn-RS"/>
                        </w:rPr>
                        <w:t>47,2</w:t>
                      </w:r>
                      <w:r w:rsidRPr="0056450F">
                        <w:rPr>
                          <w:rFonts w:ascii="Arial" w:hAnsi="Arial" w:cs="Arial"/>
                          <w:sz w:val="18"/>
                          <w:szCs w:val="18"/>
                          <w:lang w:val="sr-Latn-RS"/>
                        </w:rPr>
                        <w:t>) and in Pirotska oblast (</w:t>
                      </w:r>
                      <w:r w:rsidR="009137BE" w:rsidRPr="0056450F">
                        <w:rPr>
                          <w:rFonts w:ascii="Arial" w:hAnsi="Arial" w:cs="Arial"/>
                          <w:sz w:val="18"/>
                          <w:szCs w:val="18"/>
                          <w:lang w:val="sr-Latn-RS"/>
                        </w:rPr>
                        <w:t>41,2</w:t>
                      </w:r>
                      <w:r w:rsidRPr="0056450F">
                        <w:rPr>
                          <w:rFonts w:ascii="Arial" w:hAnsi="Arial" w:cs="Arial"/>
                          <w:sz w:val="18"/>
                          <w:szCs w:val="18"/>
                          <w:lang w:val="sr-Latn-RS"/>
                        </w:rPr>
                        <w:t>); while the smallest burden for labour force population wa</w:t>
                      </w:r>
                      <w:r w:rsidR="009137BE" w:rsidRPr="0056450F">
                        <w:rPr>
                          <w:rFonts w:ascii="Arial" w:hAnsi="Arial" w:cs="Arial"/>
                          <w:sz w:val="18"/>
                          <w:szCs w:val="18"/>
                          <w:lang w:val="sr-Latn-RS"/>
                        </w:rPr>
                        <w:t>s noted in Pčinjska oblast (22,8</w:t>
                      </w:r>
                      <w:r w:rsidRPr="0056450F">
                        <w:rPr>
                          <w:rFonts w:ascii="Arial" w:hAnsi="Arial" w:cs="Arial"/>
                          <w:sz w:val="18"/>
                          <w:szCs w:val="18"/>
                          <w:lang w:val="sr-Latn-RS"/>
                        </w:rPr>
                        <w:t xml:space="preserve">). </w:t>
                      </w:r>
                    </w:p>
                    <w:p w:rsidR="006C1E26" w:rsidRPr="0056450F" w:rsidRDefault="006C1E26" w:rsidP="00977AC7">
                      <w:pPr>
                        <w:shd w:val="clear" w:color="auto" w:fill="F2F2F2" w:themeFill="background1" w:themeFillShade="F2"/>
                        <w:spacing w:before="240"/>
                        <w:rPr>
                          <w:rFonts w:ascii="Arial" w:hAnsi="Arial" w:cs="Arial"/>
                          <w:sz w:val="18"/>
                          <w:szCs w:val="18"/>
                          <w:lang w:val="sr-Latn-RS"/>
                        </w:rPr>
                      </w:pPr>
                      <w:r w:rsidRPr="0056450F">
                        <w:rPr>
                          <w:rFonts w:ascii="Arial" w:hAnsi="Arial" w:cs="Arial"/>
                          <w:sz w:val="18"/>
                          <w:szCs w:val="18"/>
                          <w:lang w:val="sr-Latn-RS"/>
                        </w:rPr>
                        <w:t>According to the estimations made for 201</w:t>
                      </w:r>
                      <w:r w:rsidR="009137BE" w:rsidRPr="0056450F">
                        <w:rPr>
                          <w:rFonts w:ascii="Arial" w:hAnsi="Arial" w:cs="Arial"/>
                          <w:sz w:val="18"/>
                          <w:szCs w:val="18"/>
                          <w:lang w:val="sr-Latn-RS"/>
                        </w:rPr>
                        <w:t>9</w:t>
                      </w:r>
                      <w:r w:rsidRPr="0056450F">
                        <w:rPr>
                          <w:rFonts w:ascii="Arial" w:hAnsi="Arial" w:cs="Arial"/>
                          <w:sz w:val="18"/>
                          <w:szCs w:val="18"/>
                          <w:lang w:val="sr-Latn-RS"/>
                        </w:rPr>
                        <w:t>, in the Republic of Serbia the old-age dependency ratio equals 3</w:t>
                      </w:r>
                      <w:r w:rsidR="009137BE" w:rsidRPr="0056450F">
                        <w:rPr>
                          <w:rFonts w:ascii="Arial" w:hAnsi="Arial" w:cs="Arial"/>
                          <w:sz w:val="18"/>
                          <w:szCs w:val="18"/>
                          <w:lang w:val="sr-Latn-RS"/>
                        </w:rPr>
                        <w:t>1</w:t>
                      </w:r>
                      <w:r w:rsidRPr="0056450F">
                        <w:rPr>
                          <w:rFonts w:ascii="Arial" w:hAnsi="Arial" w:cs="Arial"/>
                          <w:sz w:val="18"/>
                          <w:szCs w:val="18"/>
                          <w:lang w:val="sr-Latn-RS"/>
                        </w:rPr>
                        <w:t>.8.</w:t>
                      </w:r>
                    </w:p>
                    <w:p w:rsidR="006C1E26" w:rsidRPr="002F5E7B" w:rsidRDefault="006C1E26" w:rsidP="00977AC7">
                      <w:pPr>
                        <w:shd w:val="clear" w:color="auto" w:fill="F2F2F2" w:themeFill="background1" w:themeFillShade="F2"/>
                        <w:spacing w:before="240"/>
                        <w:rPr>
                          <w:rFonts w:ascii="Arial" w:hAnsi="Arial" w:cs="Arial"/>
                          <w:sz w:val="18"/>
                          <w:szCs w:val="18"/>
                          <w:lang w:val="sr-Latn-RS"/>
                        </w:rPr>
                      </w:pPr>
                      <w:r w:rsidRPr="0056450F">
                        <w:rPr>
                          <w:rFonts w:ascii="Arial" w:hAnsi="Arial" w:cs="Arial"/>
                          <w:sz w:val="18"/>
                          <w:szCs w:val="18"/>
                          <w:lang w:val="sr-Latn-RS"/>
                        </w:rPr>
                        <w:t>At the level of city/municipality the values of this ratio were the highest in Gadžin Han, Crna Trava</w:t>
                      </w:r>
                      <w:r w:rsidR="009137BE" w:rsidRPr="0056450F">
                        <w:rPr>
                          <w:rFonts w:ascii="Arial" w:hAnsi="Arial" w:cs="Arial"/>
                          <w:sz w:val="18"/>
                          <w:szCs w:val="18"/>
                          <w:lang w:val="sr-Latn-RS"/>
                        </w:rPr>
                        <w:t>, Svrljig and Rekovac</w:t>
                      </w:r>
                      <w:r w:rsidRPr="0056450F">
                        <w:rPr>
                          <w:rFonts w:ascii="Arial" w:hAnsi="Arial" w:cs="Arial"/>
                          <w:sz w:val="18"/>
                          <w:szCs w:val="18"/>
                          <w:lang w:val="sr-Latn-RS"/>
                        </w:rPr>
                        <w:t xml:space="preserve"> (over 60), and the lowest in Preševo, </w:t>
                      </w:r>
                      <w:r w:rsidR="009137BE" w:rsidRPr="0056450F">
                        <w:rPr>
                          <w:rFonts w:ascii="Arial" w:hAnsi="Arial" w:cs="Arial"/>
                          <w:sz w:val="18"/>
                          <w:szCs w:val="18"/>
                          <w:lang w:val="sr-Latn-RS"/>
                        </w:rPr>
                        <w:t xml:space="preserve">Bujanovac, and </w:t>
                      </w:r>
                      <w:r w:rsidRPr="0056450F">
                        <w:rPr>
                          <w:rFonts w:ascii="Arial" w:hAnsi="Arial" w:cs="Arial"/>
                          <w:sz w:val="18"/>
                          <w:szCs w:val="18"/>
                          <w:lang w:val="sr-Latn-RS"/>
                        </w:rPr>
                        <w:t>Tutin (under 15).</w:t>
                      </w:r>
                    </w:p>
                  </w:txbxContent>
                </v:textbox>
              </v:roundrect>
            </w:pict>
          </mc:Fallback>
        </mc:AlternateContent>
      </w:r>
      <w:r w:rsidR="00E1289C" w:rsidRPr="0056450F">
        <w:rPr>
          <w:rFonts w:ascii="Arial" w:hAnsi="Arial" w:cs="Arial"/>
          <w:sz w:val="20"/>
          <w:szCs w:val="20"/>
          <w:lang w:val="sr-Latn-RS"/>
        </w:rPr>
        <w:t xml:space="preserve"> </w:t>
      </w:r>
      <w:r w:rsidR="00D97C40" w:rsidRPr="00D97C40">
        <w:rPr>
          <w:rFonts w:ascii="Arial" w:hAnsi="Arial" w:cs="Arial"/>
          <w:noProof/>
          <w:sz w:val="20"/>
          <w:szCs w:val="20"/>
        </w:rPr>
        <w:drawing>
          <wp:inline distT="0" distB="0" distL="0" distR="0">
            <wp:extent cx="4314825" cy="3600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3600450"/>
                    </a:xfrm>
                    <a:prstGeom prst="rect">
                      <a:avLst/>
                    </a:prstGeom>
                    <a:noFill/>
                    <a:ln>
                      <a:noFill/>
                    </a:ln>
                  </pic:spPr>
                </pic:pic>
              </a:graphicData>
            </a:graphic>
          </wp:inline>
        </w:drawing>
      </w:r>
    </w:p>
    <w:p w:rsidR="002950B9" w:rsidRPr="0056450F" w:rsidRDefault="002950B9" w:rsidP="0009498B">
      <w:pPr>
        <w:spacing w:line="233" w:lineRule="auto"/>
        <w:rPr>
          <w:rFonts w:ascii="Arial" w:hAnsi="Arial" w:cs="Arial"/>
          <w:sz w:val="26"/>
          <w:szCs w:val="26"/>
          <w:lang w:val="sr-Latn-RS"/>
        </w:rPr>
      </w:pPr>
    </w:p>
    <w:p w:rsidR="002950B9" w:rsidRDefault="002950B9" w:rsidP="0009498B">
      <w:pPr>
        <w:spacing w:line="233" w:lineRule="auto"/>
        <w:rPr>
          <w:rFonts w:ascii="Arial" w:hAnsi="Arial" w:cs="Arial"/>
          <w:sz w:val="26"/>
          <w:szCs w:val="26"/>
          <w:lang w:val="sr-Latn-RS"/>
        </w:rPr>
      </w:pPr>
    </w:p>
    <w:p w:rsidR="00D97C40" w:rsidRPr="0056450F" w:rsidRDefault="00D97C40" w:rsidP="0009498B">
      <w:pPr>
        <w:spacing w:line="233" w:lineRule="auto"/>
        <w:rPr>
          <w:rFonts w:ascii="Arial" w:hAnsi="Arial" w:cs="Arial"/>
          <w:sz w:val="26"/>
          <w:szCs w:val="26"/>
          <w:lang w:val="sr-Latn-RS"/>
        </w:rPr>
      </w:pPr>
    </w:p>
    <w:p w:rsidR="00D35E9A" w:rsidRPr="0056450F" w:rsidRDefault="00D35E9A" w:rsidP="0009498B">
      <w:pPr>
        <w:spacing w:line="233" w:lineRule="auto"/>
        <w:rPr>
          <w:rFonts w:ascii="Arial" w:hAnsi="Arial" w:cs="Arial"/>
          <w:sz w:val="26"/>
          <w:szCs w:val="26"/>
          <w:lang w:val="sr-Latn-RS"/>
        </w:rPr>
      </w:pPr>
    </w:p>
    <w:p w:rsidR="00365810" w:rsidRPr="0056450F" w:rsidRDefault="001C3BBF" w:rsidP="00830C5D">
      <w:pPr>
        <w:spacing w:before="120"/>
        <w:jc w:val="both"/>
        <w:rPr>
          <w:rFonts w:ascii="Arial" w:hAnsi="Arial" w:cs="Arial"/>
          <w:b/>
          <w:sz w:val="20"/>
          <w:szCs w:val="20"/>
          <w:lang w:val="sr-Latn-RS"/>
        </w:rPr>
      </w:pPr>
      <w:r w:rsidRPr="0056450F">
        <w:rPr>
          <w:rFonts w:ascii="Arial" w:hAnsi="Arial" w:cs="Arial"/>
          <w:b/>
          <w:sz w:val="20"/>
          <w:szCs w:val="20"/>
          <w:lang w:val="sr-Latn-RS"/>
        </w:rPr>
        <w:lastRenderedPageBreak/>
        <w:t>Population change in the period 2002-201</w:t>
      </w:r>
      <w:r w:rsidR="00906C37" w:rsidRPr="0056450F">
        <w:rPr>
          <w:rFonts w:ascii="Arial" w:hAnsi="Arial" w:cs="Arial"/>
          <w:b/>
          <w:sz w:val="20"/>
          <w:szCs w:val="20"/>
          <w:lang w:val="sr-Latn-RS"/>
        </w:rPr>
        <w:t>9</w:t>
      </w:r>
    </w:p>
    <w:p w:rsidR="00232800" w:rsidRPr="0056450F" w:rsidRDefault="00232800" w:rsidP="00232800">
      <w:pPr>
        <w:spacing w:before="120"/>
        <w:jc w:val="both"/>
        <w:rPr>
          <w:rFonts w:ascii="Arial" w:hAnsi="Arial" w:cs="Arial"/>
          <w:sz w:val="20"/>
          <w:szCs w:val="20"/>
          <w:lang w:val="sr-Latn-RS"/>
        </w:rPr>
      </w:pPr>
      <w:r w:rsidRPr="00232800">
        <w:rPr>
          <w:rFonts w:ascii="Arial" w:hAnsi="Arial" w:cs="Arial"/>
          <w:sz w:val="20"/>
          <w:szCs w:val="20"/>
          <w:lang w:val="sr-Latn-RS"/>
        </w:rPr>
        <w:t xml:space="preserve">Over 2002-2019, the number of population in the Republic of Serbia was continuously decreasing. </w:t>
      </w:r>
      <w:r w:rsidRPr="00232800">
        <w:rPr>
          <w:rFonts w:ascii="Arial" w:hAnsi="Arial" w:cs="Arial"/>
          <w:sz w:val="20"/>
          <w:szCs w:val="20"/>
        </w:rPr>
        <w:t xml:space="preserve">Observed </w:t>
      </w:r>
      <w:r w:rsidRPr="00232800">
        <w:rPr>
          <w:rFonts w:ascii="Arial" w:hAnsi="Arial" w:cs="Arial"/>
          <w:sz w:val="20"/>
          <w:szCs w:val="20"/>
          <w:lang w:val="sr-Latn-RS"/>
        </w:rPr>
        <w:t>at regional level, Beogradska oblast was the only to have seen population growth, while the most pronounced decrease was recorded in the Region Južne i Istočne Srbije.</w:t>
      </w:r>
      <w:r w:rsidRPr="0056450F">
        <w:rPr>
          <w:rFonts w:ascii="Arial" w:hAnsi="Arial" w:cs="Arial"/>
          <w:sz w:val="20"/>
          <w:szCs w:val="20"/>
          <w:lang w:val="sr-Latn-RS"/>
        </w:rPr>
        <w:t xml:space="preserve">  </w:t>
      </w:r>
    </w:p>
    <w:p w:rsidR="00C505D6" w:rsidRPr="0056450F" w:rsidRDefault="00C505D6" w:rsidP="00C505D6">
      <w:pPr>
        <w:spacing w:after="60"/>
        <w:jc w:val="both"/>
        <w:rPr>
          <w:rFonts w:ascii="Arial" w:hAnsi="Arial" w:cs="Arial"/>
          <w:sz w:val="20"/>
          <w:szCs w:val="20"/>
          <w:lang w:val="sr-Latn-RS"/>
        </w:rPr>
      </w:pPr>
    </w:p>
    <w:p w:rsidR="00232800" w:rsidRPr="00232800" w:rsidRDefault="00232800" w:rsidP="00232800">
      <w:pPr>
        <w:spacing w:before="120" w:after="40"/>
        <w:jc w:val="both"/>
        <w:rPr>
          <w:rFonts w:ascii="Arial" w:hAnsi="Arial" w:cs="Arial"/>
          <w:sz w:val="20"/>
          <w:szCs w:val="20"/>
          <w:lang w:val="sr-Latn-RS"/>
        </w:rPr>
      </w:pPr>
      <w:r w:rsidRPr="00232800">
        <w:rPr>
          <w:rFonts w:ascii="Arial" w:hAnsi="Arial" w:cs="Arial"/>
          <w:sz w:val="20"/>
          <w:szCs w:val="20"/>
          <w:lang w:val="sr-Latn-RS"/>
        </w:rPr>
        <w:t xml:space="preserve">Таble 1. Changes of the number of population, 2002–2019, by regions </w:t>
      </w:r>
    </w:p>
    <w:tbl>
      <w:tblPr>
        <w:tblW w:w="10261" w:type="dxa"/>
        <w:tblCellMar>
          <w:left w:w="28" w:type="dxa"/>
          <w:right w:w="28" w:type="dxa"/>
        </w:tblCellMar>
        <w:tblLook w:val="04A0" w:firstRow="1" w:lastRow="0" w:firstColumn="1" w:lastColumn="0" w:noHBand="0" w:noVBand="1"/>
      </w:tblPr>
      <w:tblGrid>
        <w:gridCol w:w="1845"/>
        <w:gridCol w:w="1417"/>
        <w:gridCol w:w="1417"/>
        <w:gridCol w:w="1417"/>
        <w:gridCol w:w="1417"/>
        <w:gridCol w:w="1417"/>
        <w:gridCol w:w="1331"/>
      </w:tblGrid>
      <w:tr w:rsidR="00B735CE" w:rsidRPr="0056450F" w:rsidTr="00B735CE">
        <w:trPr>
          <w:trHeight w:val="505"/>
        </w:trPr>
        <w:tc>
          <w:tcPr>
            <w:tcW w:w="184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B735CE" w:rsidRPr="0056450F" w:rsidRDefault="00B735CE" w:rsidP="00C505D6">
            <w:pPr>
              <w:spacing w:before="120" w:after="120"/>
              <w:jc w:val="center"/>
              <w:rPr>
                <w:rFonts w:ascii="Arial" w:hAnsi="Arial" w:cs="Arial"/>
                <w:sz w:val="16"/>
                <w:szCs w:val="16"/>
                <w:lang w:val="sr-Latn-RS"/>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noWrap/>
            <w:vAlign w:val="center"/>
            <w:hideMark/>
          </w:tcPr>
          <w:p w:rsidR="00B735CE" w:rsidRPr="0056450F" w:rsidRDefault="00B735CE" w:rsidP="00C505D6">
            <w:pPr>
              <w:spacing w:before="120" w:after="120"/>
              <w:ind w:right="113"/>
              <w:jc w:val="right"/>
              <w:rPr>
                <w:rFonts w:ascii="Arial" w:hAnsi="Arial" w:cs="Arial"/>
                <w:bCs/>
                <w:sz w:val="16"/>
                <w:szCs w:val="16"/>
                <w:lang w:val="sr-Latn-RS"/>
              </w:rPr>
            </w:pPr>
            <w:r w:rsidRPr="0056450F">
              <w:rPr>
                <w:rFonts w:ascii="Arial" w:hAnsi="Arial" w:cs="Arial"/>
                <w:bCs/>
                <w:sz w:val="16"/>
                <w:szCs w:val="16"/>
                <w:lang w:val="sr-Latn-RS"/>
              </w:rPr>
              <w:t>Republic of Serbia</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B735CE" w:rsidRPr="0056450F" w:rsidRDefault="00B735CE" w:rsidP="00C505D6">
            <w:pPr>
              <w:spacing w:before="120" w:after="120"/>
              <w:ind w:right="113"/>
              <w:jc w:val="right"/>
              <w:rPr>
                <w:rFonts w:ascii="Arial" w:hAnsi="Arial" w:cs="Arial"/>
                <w:sz w:val="16"/>
                <w:szCs w:val="16"/>
                <w:lang w:val="sr-Latn-RS"/>
              </w:rPr>
            </w:pPr>
            <w:r w:rsidRPr="0056450F">
              <w:rPr>
                <w:rFonts w:ascii="Arial" w:hAnsi="Arial" w:cs="Arial"/>
                <w:sz w:val="16"/>
                <w:szCs w:val="16"/>
                <w:lang w:val="sr-Latn-RS"/>
              </w:rPr>
              <w:t>Beogradski region</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B735CE" w:rsidRPr="0056450F" w:rsidRDefault="00B735CE" w:rsidP="00C505D6">
            <w:pPr>
              <w:spacing w:before="120" w:after="120"/>
              <w:ind w:right="113"/>
              <w:jc w:val="right"/>
              <w:rPr>
                <w:rFonts w:ascii="Arial" w:hAnsi="Arial" w:cs="Arial"/>
                <w:sz w:val="16"/>
                <w:szCs w:val="16"/>
                <w:lang w:val="sr-Latn-RS"/>
              </w:rPr>
            </w:pPr>
            <w:r w:rsidRPr="0056450F">
              <w:rPr>
                <w:rFonts w:ascii="Arial" w:hAnsi="Arial" w:cs="Arial"/>
                <w:bCs/>
                <w:sz w:val="16"/>
                <w:szCs w:val="16"/>
                <w:lang w:val="sr-Latn-RS"/>
              </w:rPr>
              <w:t>Region Vojvodine</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B735CE" w:rsidRPr="0056450F" w:rsidRDefault="00B735CE" w:rsidP="00C505D6">
            <w:pPr>
              <w:spacing w:before="120" w:after="120"/>
              <w:ind w:right="113"/>
              <w:jc w:val="right"/>
              <w:rPr>
                <w:rFonts w:ascii="Arial" w:hAnsi="Arial" w:cs="Arial"/>
                <w:sz w:val="16"/>
                <w:szCs w:val="16"/>
                <w:lang w:val="sr-Latn-RS"/>
              </w:rPr>
            </w:pPr>
            <w:r w:rsidRPr="0056450F">
              <w:rPr>
                <w:rFonts w:ascii="Arial" w:hAnsi="Arial" w:cs="Arial"/>
                <w:bCs/>
                <w:sz w:val="16"/>
                <w:szCs w:val="16"/>
                <w:lang w:val="sr-Latn-RS"/>
              </w:rPr>
              <w:t>Region Šumadije i Zapadne Srbije</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rsidR="00B735CE" w:rsidRPr="0056450F" w:rsidRDefault="00B735CE" w:rsidP="00C505D6">
            <w:pPr>
              <w:spacing w:before="120" w:after="120"/>
              <w:ind w:right="113"/>
              <w:jc w:val="right"/>
              <w:rPr>
                <w:rFonts w:ascii="Arial" w:hAnsi="Arial" w:cs="Arial"/>
                <w:sz w:val="16"/>
                <w:szCs w:val="16"/>
                <w:lang w:val="sr-Latn-RS"/>
              </w:rPr>
            </w:pPr>
            <w:r w:rsidRPr="0056450F">
              <w:rPr>
                <w:rFonts w:ascii="Arial" w:hAnsi="Arial" w:cs="Arial"/>
                <w:sz w:val="16"/>
                <w:szCs w:val="16"/>
                <w:lang w:val="sr-Latn-RS"/>
              </w:rPr>
              <w:t xml:space="preserve">  Region Južne i Istočne Srbije</w:t>
            </w:r>
          </w:p>
        </w:tc>
        <w:tc>
          <w:tcPr>
            <w:tcW w:w="133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rsidR="00B735CE" w:rsidRPr="0056450F" w:rsidRDefault="00B735CE" w:rsidP="00C505D6">
            <w:pPr>
              <w:spacing w:before="120" w:after="120"/>
              <w:ind w:right="113"/>
              <w:jc w:val="right"/>
              <w:rPr>
                <w:rFonts w:ascii="Arial" w:hAnsi="Arial" w:cs="Arial"/>
                <w:sz w:val="16"/>
                <w:szCs w:val="16"/>
                <w:lang w:val="sr-Latn-RS"/>
              </w:rPr>
            </w:pPr>
            <w:r w:rsidRPr="0056450F">
              <w:rPr>
                <w:rFonts w:ascii="Arial" w:hAnsi="Arial" w:cs="Arial"/>
                <w:sz w:val="16"/>
                <w:szCs w:val="16"/>
                <w:lang w:val="sr-Latn-RS"/>
              </w:rPr>
              <w:t>Region Kosovo i Metohija</w:t>
            </w:r>
          </w:p>
        </w:tc>
      </w:tr>
      <w:tr w:rsidR="00B735CE"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B735CE" w:rsidRPr="0056450F" w:rsidRDefault="00B735CE" w:rsidP="00C505D6">
            <w:pPr>
              <w:spacing w:before="40" w:after="40"/>
              <w:jc w:val="center"/>
              <w:rPr>
                <w:rFonts w:ascii="Arial" w:hAnsi="Arial" w:cs="Arial"/>
                <w:sz w:val="16"/>
                <w:szCs w:val="16"/>
                <w:lang w:val="sr-Latn-RS"/>
              </w:rPr>
            </w:pPr>
          </w:p>
        </w:tc>
        <w:tc>
          <w:tcPr>
            <w:tcW w:w="8416" w:type="dxa"/>
            <w:gridSpan w:val="6"/>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B735CE" w:rsidRPr="0056450F" w:rsidRDefault="00B735CE" w:rsidP="00B735CE">
            <w:pPr>
              <w:spacing w:before="40" w:after="40"/>
              <w:jc w:val="center"/>
              <w:rPr>
                <w:rFonts w:ascii="Arial" w:hAnsi="Arial" w:cs="Arial"/>
                <w:sz w:val="16"/>
                <w:szCs w:val="16"/>
                <w:lang w:val="sr-Latn-RS"/>
              </w:rPr>
            </w:pPr>
            <w:r w:rsidRPr="0056450F">
              <w:rPr>
                <w:rFonts w:ascii="Arial" w:hAnsi="Arial" w:cs="Arial"/>
                <w:sz w:val="16"/>
                <w:szCs w:val="16"/>
                <w:lang w:val="sr-Latn-RS"/>
              </w:rPr>
              <w:t>Estimated number of population (annual average)</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2002</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7500031</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1578364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2034851</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2135393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1751423</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2011</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7236519</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1658151</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1932945</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2033203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1612220</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2016</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7058322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1683962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1881357</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1956786</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1536217</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2017</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7020858</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1687132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1871515</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1941130</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1521081</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2018</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6982604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1690193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1861863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1924816</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1505732</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2019</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6945235</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1694056</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1852093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1908641</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1490445</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p>
        </w:tc>
        <w:tc>
          <w:tcPr>
            <w:tcW w:w="8416" w:type="dxa"/>
            <w:gridSpan w:val="6"/>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Absolute increase – decrease</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2002-2011</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-263512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79787</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-101906</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-102190</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-139203</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2011-2016</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-178197</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25811</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-51588</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-76417</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-76003</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2016-2017</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-37464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3170</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-9842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-15656</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-15136</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2017-2018</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-38254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3061</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-9652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-16314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-15349</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2018-2019</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-37369</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3863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-9770</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-16175</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-15287</w:t>
            </w:r>
          </w:p>
        </w:tc>
        <w:tc>
          <w:tcPr>
            <w:tcW w:w="1331" w:type="dxa"/>
            <w:tcBorders>
              <w:top w:val="single" w:sz="4" w:space="0" w:color="D9D9D9" w:themeColor="background1" w:themeShade="D9"/>
              <w:bottom w:val="single" w:sz="4" w:space="0" w:color="D9D9D9" w:themeColor="background1" w:themeShade="D9"/>
            </w:tcBorders>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6C1E26">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p>
        </w:tc>
        <w:tc>
          <w:tcPr>
            <w:tcW w:w="8416" w:type="dxa"/>
            <w:gridSpan w:val="6"/>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jc w:val="center"/>
              <w:rPr>
                <w:rFonts w:ascii="Arial" w:hAnsi="Arial" w:cs="Arial"/>
                <w:sz w:val="26"/>
                <w:szCs w:val="26"/>
                <w:lang w:val="sr-Latn-RS"/>
              </w:rPr>
            </w:pPr>
            <w:r w:rsidRPr="0056450F">
              <w:rPr>
                <w:rFonts w:ascii="Arial" w:hAnsi="Arial" w:cs="Arial"/>
                <w:sz w:val="16"/>
                <w:szCs w:val="16"/>
                <w:lang w:val="sr-Latn-RS"/>
              </w:rPr>
              <w:t>Growth rate (‰)</w:t>
            </w:r>
          </w:p>
        </w:tc>
      </w:tr>
      <w:tr w:rsidR="006C1E26" w:rsidRPr="0056450F" w:rsidTr="00B735CE">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2002/2011</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-35.8</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49.3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-51.4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-49.0</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-82.8</w:t>
            </w:r>
          </w:p>
        </w:tc>
        <w:tc>
          <w:tcPr>
            <w:tcW w:w="1331" w:type="dxa"/>
            <w:tcBorders>
              <w:top w:val="single" w:sz="4" w:space="0" w:color="D9D9D9" w:themeColor="background1" w:themeShade="D9"/>
              <w:bottom w:val="single" w:sz="4" w:space="0" w:color="D9D9D9" w:themeColor="background1" w:themeShade="D9"/>
            </w:tcBorders>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B735CE">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2011/2016</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-24.9</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15.4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-27.1</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-38.3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-48.3</w:t>
            </w:r>
          </w:p>
        </w:tc>
        <w:tc>
          <w:tcPr>
            <w:tcW w:w="1331" w:type="dxa"/>
            <w:tcBorders>
              <w:top w:val="single" w:sz="4" w:space="0" w:color="D9D9D9" w:themeColor="background1" w:themeShade="D9"/>
              <w:bottom w:val="single" w:sz="4" w:space="0" w:color="D9D9D9" w:themeColor="background1" w:themeShade="D9"/>
            </w:tcBorders>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B735CE">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2016/2017</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-5.3</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1.9</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-8.0</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-9.9</w:t>
            </w:r>
          </w:p>
        </w:tc>
        <w:tc>
          <w:tcPr>
            <w:tcW w:w="1331" w:type="dxa"/>
            <w:tcBorders>
              <w:top w:val="single" w:sz="4" w:space="0" w:color="D9D9D9" w:themeColor="background1" w:themeShade="D9"/>
              <w:bottom w:val="single" w:sz="4" w:space="0" w:color="D9D9D9" w:themeColor="background1" w:themeShade="D9"/>
            </w:tcBorders>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B735CE">
        <w:trPr>
          <w:trHeight w:val="22"/>
        </w:trPr>
        <w:tc>
          <w:tcPr>
            <w:tcW w:w="1845" w:type="dxa"/>
            <w:tcBorders>
              <w:top w:val="single" w:sz="4" w:space="0" w:color="D9D9D9" w:themeColor="background1" w:themeShade="D9"/>
              <w:bottom w:val="single" w:sz="4" w:space="0" w:color="D9D9D9" w:themeColor="background1" w:themeShade="D9"/>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2017/2018</w:t>
            </w:r>
          </w:p>
        </w:tc>
        <w:tc>
          <w:tcPr>
            <w:tcW w:w="1417" w:type="dxa"/>
            <w:tcBorders>
              <w:top w:val="single" w:sz="4" w:space="0" w:color="D9D9D9" w:themeColor="background1" w:themeShade="D9"/>
              <w:left w:val="single" w:sz="4" w:space="0" w:color="808080" w:themeColor="background1" w:themeShade="80"/>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-5.5</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1.8</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-5.2</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-8.4</w:t>
            </w:r>
          </w:p>
        </w:tc>
        <w:tc>
          <w:tcPr>
            <w:tcW w:w="1417" w:type="dxa"/>
            <w:tcBorders>
              <w:top w:val="single" w:sz="4" w:space="0" w:color="D9D9D9" w:themeColor="background1" w:themeShade="D9"/>
              <w:bottom w:val="single" w:sz="4" w:space="0" w:color="D9D9D9" w:themeColor="background1" w:themeShade="D9"/>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-10.1</w:t>
            </w:r>
          </w:p>
        </w:tc>
        <w:tc>
          <w:tcPr>
            <w:tcW w:w="1331" w:type="dxa"/>
            <w:tcBorders>
              <w:top w:val="single" w:sz="4" w:space="0" w:color="D9D9D9" w:themeColor="background1" w:themeShade="D9"/>
              <w:bottom w:val="single" w:sz="4" w:space="0" w:color="D9D9D9" w:themeColor="background1" w:themeShade="D9"/>
            </w:tcBorders>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r w:rsidR="006C1E26" w:rsidRPr="0056450F" w:rsidTr="00B735CE">
        <w:trPr>
          <w:trHeight w:val="72"/>
        </w:trPr>
        <w:tc>
          <w:tcPr>
            <w:tcW w:w="1845" w:type="dxa"/>
            <w:tcBorders>
              <w:top w:val="single" w:sz="4" w:space="0" w:color="D9D9D9" w:themeColor="background1" w:themeShade="D9"/>
              <w:bottom w:val="single" w:sz="4" w:space="0" w:color="808080" w:themeColor="background1" w:themeShade="80"/>
              <w:right w:val="single" w:sz="4" w:space="0" w:color="808080" w:themeColor="background1" w:themeShade="80"/>
            </w:tcBorders>
            <w:shd w:val="clear" w:color="auto" w:fill="auto"/>
            <w:vAlign w:val="center"/>
            <w:hideMark/>
          </w:tcPr>
          <w:p w:rsidR="006C1E26" w:rsidRPr="0056450F" w:rsidRDefault="006C1E26" w:rsidP="006C1E26">
            <w:pPr>
              <w:spacing w:before="40" w:after="40"/>
              <w:jc w:val="center"/>
              <w:rPr>
                <w:rFonts w:ascii="Arial" w:hAnsi="Arial" w:cs="Arial"/>
                <w:sz w:val="16"/>
                <w:szCs w:val="16"/>
                <w:lang w:val="sr-Latn-RS"/>
              </w:rPr>
            </w:pPr>
            <w:r w:rsidRPr="0056450F">
              <w:rPr>
                <w:rFonts w:ascii="Arial" w:hAnsi="Arial" w:cs="Arial"/>
                <w:sz w:val="16"/>
                <w:szCs w:val="16"/>
                <w:lang w:val="sr-Latn-RS"/>
              </w:rPr>
              <w:t>2018/2019</w:t>
            </w:r>
          </w:p>
        </w:tc>
        <w:tc>
          <w:tcPr>
            <w:tcW w:w="1417" w:type="dxa"/>
            <w:tcBorders>
              <w:top w:val="single" w:sz="4" w:space="0" w:color="D9D9D9" w:themeColor="background1" w:themeShade="D9"/>
              <w:left w:val="single" w:sz="4" w:space="0" w:color="808080" w:themeColor="background1" w:themeShade="80"/>
              <w:bottom w:val="single" w:sz="4" w:space="0" w:color="808080" w:themeColor="background1" w:themeShade="80"/>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-5.4</w:t>
            </w:r>
          </w:p>
        </w:tc>
        <w:tc>
          <w:tcPr>
            <w:tcW w:w="1417" w:type="dxa"/>
            <w:tcBorders>
              <w:top w:val="single" w:sz="4" w:space="0" w:color="D9D9D9" w:themeColor="background1" w:themeShade="D9"/>
              <w:bottom w:val="single" w:sz="4" w:space="0" w:color="808080" w:themeColor="background1" w:themeShade="80"/>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2.3</w:t>
            </w:r>
          </w:p>
        </w:tc>
        <w:tc>
          <w:tcPr>
            <w:tcW w:w="1417" w:type="dxa"/>
            <w:tcBorders>
              <w:top w:val="single" w:sz="4" w:space="0" w:color="D9D9D9" w:themeColor="background1" w:themeShade="D9"/>
              <w:bottom w:val="single" w:sz="4" w:space="0" w:color="808080" w:themeColor="background1" w:themeShade="80"/>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-5.3</w:t>
            </w:r>
          </w:p>
        </w:tc>
        <w:tc>
          <w:tcPr>
            <w:tcW w:w="1417" w:type="dxa"/>
            <w:tcBorders>
              <w:top w:val="single" w:sz="4" w:space="0" w:color="D9D9D9" w:themeColor="background1" w:themeShade="D9"/>
              <w:bottom w:val="single" w:sz="4" w:space="0" w:color="808080" w:themeColor="background1" w:themeShade="80"/>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-8.4</w:t>
            </w:r>
          </w:p>
        </w:tc>
        <w:tc>
          <w:tcPr>
            <w:tcW w:w="1417" w:type="dxa"/>
            <w:tcBorders>
              <w:top w:val="single" w:sz="4" w:space="0" w:color="D9D9D9" w:themeColor="background1" w:themeShade="D9"/>
              <w:bottom w:val="single" w:sz="4" w:space="0" w:color="808080" w:themeColor="background1" w:themeShade="80"/>
            </w:tcBorders>
            <w:shd w:val="clear" w:color="auto" w:fill="auto"/>
            <w:noWrap/>
            <w:vAlign w:val="center"/>
            <w:hideMark/>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-10.2</w:t>
            </w:r>
          </w:p>
        </w:tc>
        <w:tc>
          <w:tcPr>
            <w:tcW w:w="1331" w:type="dxa"/>
            <w:tcBorders>
              <w:top w:val="single" w:sz="4" w:space="0" w:color="D9D9D9" w:themeColor="background1" w:themeShade="D9"/>
              <w:bottom w:val="single" w:sz="4" w:space="0" w:color="808080" w:themeColor="background1" w:themeShade="80"/>
            </w:tcBorders>
          </w:tcPr>
          <w:p w:rsidR="006C1E26" w:rsidRPr="0056450F" w:rsidRDefault="006C1E26" w:rsidP="006C1E26">
            <w:pPr>
              <w:spacing w:before="40" w:after="40"/>
              <w:ind w:right="170"/>
              <w:jc w:val="right"/>
              <w:rPr>
                <w:rFonts w:ascii="Arial" w:hAnsi="Arial" w:cs="Arial"/>
                <w:sz w:val="16"/>
                <w:szCs w:val="16"/>
                <w:lang w:val="sr-Latn-RS"/>
              </w:rPr>
            </w:pPr>
            <w:r w:rsidRPr="0056450F">
              <w:rPr>
                <w:rFonts w:ascii="Arial" w:hAnsi="Arial" w:cs="Arial"/>
                <w:sz w:val="16"/>
                <w:szCs w:val="16"/>
                <w:lang w:val="sr-Latn-RS"/>
              </w:rPr>
              <w:t>...</w:t>
            </w:r>
          </w:p>
        </w:tc>
      </w:tr>
    </w:tbl>
    <w:p w:rsidR="002A2F6B" w:rsidRPr="0056450F" w:rsidRDefault="002A2F6B" w:rsidP="00B735CE">
      <w:pPr>
        <w:rPr>
          <w:rFonts w:ascii="Arial" w:hAnsi="Arial" w:cs="Arial"/>
          <w:sz w:val="26"/>
          <w:szCs w:val="26"/>
          <w:lang w:val="sr-Latn-RS"/>
        </w:rPr>
      </w:pPr>
      <w:r w:rsidRPr="0056450F">
        <w:rPr>
          <w:rFonts w:ascii="Arial" w:hAnsi="Arial" w:cs="Arial"/>
          <w:sz w:val="16"/>
          <w:szCs w:val="16"/>
          <w:lang w:val="sr-Latn-RS"/>
        </w:rPr>
        <w:t xml:space="preserve">                                                           </w:t>
      </w:r>
    </w:p>
    <w:p w:rsidR="00232800" w:rsidRDefault="00232800" w:rsidP="00232800">
      <w:pPr>
        <w:spacing w:before="240" w:after="120"/>
        <w:rPr>
          <w:lang w:val="sr-Latn-RS"/>
        </w:rPr>
      </w:pPr>
      <w:r w:rsidRPr="00232800">
        <w:rPr>
          <w:rFonts w:ascii="Arial" w:hAnsi="Arial" w:cs="Arial"/>
          <w:sz w:val="20"/>
          <w:szCs w:val="20"/>
        </w:rPr>
        <w:t>Chart</w:t>
      </w:r>
      <w:r w:rsidRPr="00232800">
        <w:rPr>
          <w:rFonts w:ascii="Arial" w:hAnsi="Arial" w:cs="Arial"/>
          <w:sz w:val="20"/>
          <w:szCs w:val="20"/>
          <w:lang w:val="sr-Latn-RS"/>
        </w:rPr>
        <w:t xml:space="preserve"> 2. </w:t>
      </w:r>
      <w:r w:rsidRPr="00232800">
        <w:rPr>
          <w:rFonts w:ascii="Arial" w:hAnsi="Arial" w:cs="Arial"/>
          <w:sz w:val="20"/>
          <w:szCs w:val="20"/>
        </w:rPr>
        <w:t>Estimated number of population (annual average)</w:t>
      </w:r>
      <w:r w:rsidRPr="00232800">
        <w:rPr>
          <w:rFonts w:ascii="Arial" w:hAnsi="Arial" w:cs="Arial"/>
          <w:sz w:val="20"/>
          <w:szCs w:val="20"/>
          <w:lang w:val="sr-Latn-RS"/>
        </w:rPr>
        <w:t>, 2002–2019, by regions</w:t>
      </w:r>
    </w:p>
    <w:p w:rsidR="005173C1" w:rsidRPr="0056450F" w:rsidRDefault="005173C1" w:rsidP="00977AC7">
      <w:pPr>
        <w:spacing w:before="60"/>
        <w:rPr>
          <w:noProof/>
          <w:sz w:val="10"/>
          <w:szCs w:val="10"/>
          <w:lang w:val="sr-Latn-RS"/>
        </w:rPr>
      </w:pPr>
      <w:r w:rsidRPr="0056450F">
        <w:rPr>
          <w:rFonts w:ascii="Arial" w:hAnsi="Arial" w:cs="Arial"/>
          <w:b/>
          <w:noProof/>
          <w:sz w:val="20"/>
          <w:szCs w:val="20"/>
        </w:rPr>
        <mc:AlternateContent>
          <mc:Choice Requires="wps">
            <w:drawing>
              <wp:anchor distT="0" distB="0" distL="114300" distR="114300" simplePos="0" relativeHeight="251661312" behindDoc="0" locked="0" layoutInCell="1" allowOverlap="1" wp14:anchorId="1308A962" wp14:editId="4E56C83A">
                <wp:simplePos x="0" y="0"/>
                <wp:positionH relativeFrom="column">
                  <wp:posOffset>4498340</wp:posOffset>
                </wp:positionH>
                <wp:positionV relativeFrom="paragraph">
                  <wp:posOffset>1270</wp:posOffset>
                </wp:positionV>
                <wp:extent cx="1982470" cy="2657475"/>
                <wp:effectExtent l="0" t="0" r="17780" b="28575"/>
                <wp:wrapNone/>
                <wp:docPr id="13" name="Text Box 13"/>
                <wp:cNvGraphicFramePr/>
                <a:graphic xmlns:a="http://schemas.openxmlformats.org/drawingml/2006/main">
                  <a:graphicData uri="http://schemas.microsoft.com/office/word/2010/wordprocessingShape">
                    <wps:wsp>
                      <wps:cNvSpPr txBox="1"/>
                      <wps:spPr>
                        <a:xfrm>
                          <a:off x="0" y="0"/>
                          <a:ext cx="1982470" cy="2657475"/>
                        </a:xfrm>
                        <a:prstGeom prst="roundRect">
                          <a:avLst/>
                        </a:prstGeom>
                        <a:solidFill>
                          <a:schemeClr val="bg1">
                            <a:lumMod val="95000"/>
                          </a:schemeClr>
                        </a:solidFill>
                        <a:ln w="3175">
                          <a:solidFill>
                            <a:schemeClr val="bg1">
                              <a:lumMod val="75000"/>
                            </a:schemeClr>
                          </a:solidFill>
                        </a:ln>
                      </wps:spPr>
                      <wps:txbx>
                        <w:txbxContent>
                          <w:p w:rsidR="006C1E26" w:rsidRPr="00232800" w:rsidRDefault="006C1E26" w:rsidP="00232800">
                            <w:pPr>
                              <w:spacing w:before="120" w:after="120"/>
                              <w:rPr>
                                <w:rFonts w:ascii="Arial" w:hAnsi="Arial" w:cs="Arial"/>
                                <w:sz w:val="18"/>
                                <w:szCs w:val="18"/>
                              </w:rPr>
                            </w:pPr>
                            <w:r w:rsidRPr="0056450F">
                              <w:rPr>
                                <w:rFonts w:ascii="Arial" w:hAnsi="Arial" w:cs="Arial"/>
                                <w:sz w:val="18"/>
                                <w:szCs w:val="18"/>
                              </w:rPr>
                              <w:t xml:space="preserve">In </w:t>
                            </w:r>
                            <w:proofErr w:type="spellStart"/>
                            <w:r w:rsidRPr="0056450F">
                              <w:rPr>
                                <w:rFonts w:ascii="Arial" w:hAnsi="Arial" w:cs="Arial"/>
                                <w:sz w:val="18"/>
                                <w:szCs w:val="18"/>
                              </w:rPr>
                              <w:t>Beogradska</w:t>
                            </w:r>
                            <w:proofErr w:type="spellEnd"/>
                            <w:r w:rsidRPr="0056450F">
                              <w:rPr>
                                <w:rFonts w:ascii="Arial" w:hAnsi="Arial" w:cs="Arial"/>
                                <w:sz w:val="18"/>
                                <w:szCs w:val="18"/>
                              </w:rPr>
                              <w:t xml:space="preserve"> and </w:t>
                            </w:r>
                            <w:proofErr w:type="spellStart"/>
                            <w:r w:rsidRPr="0056450F">
                              <w:rPr>
                                <w:rFonts w:ascii="Arial" w:hAnsi="Arial" w:cs="Arial"/>
                                <w:sz w:val="18"/>
                                <w:szCs w:val="18"/>
                              </w:rPr>
                              <w:t>Južnobačka</w:t>
                            </w:r>
                            <w:proofErr w:type="spellEnd"/>
                            <w:r w:rsidRPr="0056450F">
                              <w:rPr>
                                <w:rFonts w:ascii="Arial" w:hAnsi="Arial" w:cs="Arial"/>
                                <w:sz w:val="18"/>
                                <w:szCs w:val="18"/>
                              </w:rPr>
                              <w:t xml:space="preserve"> oblast, in 201</w:t>
                            </w:r>
                            <w:r w:rsidR="00906C37" w:rsidRPr="0056450F">
                              <w:rPr>
                                <w:rFonts w:ascii="Arial" w:hAnsi="Arial" w:cs="Arial"/>
                                <w:sz w:val="18"/>
                                <w:szCs w:val="18"/>
                              </w:rPr>
                              <w:t>9</w:t>
                            </w:r>
                            <w:r w:rsidRPr="0056450F">
                              <w:rPr>
                                <w:rFonts w:ascii="Arial" w:hAnsi="Arial" w:cs="Arial"/>
                                <w:sz w:val="18"/>
                                <w:szCs w:val="18"/>
                              </w:rPr>
                              <w:t xml:space="preserve">, the number of population increased compared with the previous year, while the biggest fall </w:t>
                            </w:r>
                            <w:proofErr w:type="gramStart"/>
                            <w:r w:rsidRPr="0056450F">
                              <w:rPr>
                                <w:rFonts w:ascii="Arial" w:hAnsi="Arial" w:cs="Arial"/>
                                <w:sz w:val="18"/>
                                <w:szCs w:val="18"/>
                              </w:rPr>
                              <w:t>was recorded</w:t>
                            </w:r>
                            <w:proofErr w:type="gramEnd"/>
                            <w:r w:rsidRPr="0056450F">
                              <w:rPr>
                                <w:rFonts w:ascii="Arial" w:hAnsi="Arial" w:cs="Arial"/>
                                <w:sz w:val="18"/>
                                <w:szCs w:val="18"/>
                              </w:rPr>
                              <w:t xml:space="preserve"> in </w:t>
                            </w:r>
                            <w:proofErr w:type="spellStart"/>
                            <w:r w:rsidR="00906C37" w:rsidRPr="0056450F">
                              <w:rPr>
                                <w:rFonts w:ascii="Arial" w:hAnsi="Arial" w:cs="Arial"/>
                                <w:sz w:val="18"/>
                                <w:szCs w:val="18"/>
                              </w:rPr>
                              <w:t>Bor</w:t>
                            </w:r>
                            <w:r w:rsidRPr="0056450F">
                              <w:rPr>
                                <w:rFonts w:ascii="Arial" w:hAnsi="Arial" w:cs="Arial"/>
                                <w:sz w:val="18"/>
                                <w:szCs w:val="18"/>
                              </w:rPr>
                              <w:t>ska</w:t>
                            </w:r>
                            <w:proofErr w:type="spellEnd"/>
                            <w:r w:rsidRPr="0056450F">
                              <w:rPr>
                                <w:rFonts w:ascii="Arial" w:hAnsi="Arial" w:cs="Arial"/>
                                <w:sz w:val="18"/>
                                <w:szCs w:val="18"/>
                              </w:rPr>
                              <w:t xml:space="preserve"> oblast.  </w:t>
                            </w:r>
                          </w:p>
                          <w:p w:rsidR="006C1E26" w:rsidRPr="00232800" w:rsidRDefault="00232800" w:rsidP="00232800">
                            <w:pPr>
                              <w:spacing w:before="120" w:after="120"/>
                              <w:rPr>
                                <w:rFonts w:ascii="Arial" w:hAnsi="Arial" w:cs="Arial"/>
                                <w:sz w:val="18"/>
                                <w:szCs w:val="18"/>
                              </w:rPr>
                            </w:pPr>
                            <w:r w:rsidRPr="00232800">
                              <w:rPr>
                                <w:rFonts w:ascii="Arial" w:hAnsi="Arial" w:cs="Arial"/>
                                <w:sz w:val="18"/>
                                <w:szCs w:val="18"/>
                              </w:rPr>
                              <w:t xml:space="preserve">Observed at the level of municipalities/cities, the </w:t>
                            </w:r>
                            <w:proofErr w:type="gramStart"/>
                            <w:r w:rsidRPr="00232800">
                              <w:rPr>
                                <w:rFonts w:ascii="Arial" w:hAnsi="Arial" w:cs="Arial"/>
                                <w:sz w:val="18"/>
                                <w:szCs w:val="18"/>
                              </w:rPr>
                              <w:t>largest  increase</w:t>
                            </w:r>
                            <w:proofErr w:type="gramEnd"/>
                            <w:r w:rsidRPr="00232800">
                              <w:rPr>
                                <w:rFonts w:ascii="Arial" w:hAnsi="Arial" w:cs="Arial"/>
                                <w:sz w:val="18"/>
                                <w:szCs w:val="18"/>
                              </w:rPr>
                              <w:t xml:space="preserve"> in the number of population happened in seven Belgrade municipalities and </w:t>
                            </w:r>
                            <w:r w:rsidRPr="0056450F">
                              <w:rPr>
                                <w:rFonts w:ascii="Arial" w:hAnsi="Arial" w:cs="Arial"/>
                                <w:sz w:val="18"/>
                                <w:szCs w:val="18"/>
                              </w:rPr>
                              <w:t xml:space="preserve">in Novi Sad, but also in Novi </w:t>
                            </w:r>
                            <w:proofErr w:type="spellStart"/>
                            <w:r w:rsidRPr="0056450F">
                              <w:rPr>
                                <w:rFonts w:ascii="Arial" w:hAnsi="Arial" w:cs="Arial"/>
                                <w:sz w:val="18"/>
                                <w:szCs w:val="18"/>
                              </w:rPr>
                              <w:t>Pazar</w:t>
                            </w:r>
                            <w:proofErr w:type="spellEnd"/>
                            <w:r w:rsidRPr="0056450F">
                              <w:rPr>
                                <w:rFonts w:ascii="Arial" w:hAnsi="Arial" w:cs="Arial"/>
                                <w:sz w:val="18"/>
                                <w:szCs w:val="18"/>
                              </w:rPr>
                              <w:t xml:space="preserve">, </w:t>
                            </w:r>
                            <w:proofErr w:type="spellStart"/>
                            <w:r w:rsidRPr="0056450F">
                              <w:rPr>
                                <w:rFonts w:ascii="Arial" w:hAnsi="Arial" w:cs="Arial"/>
                                <w:sz w:val="18"/>
                                <w:szCs w:val="18"/>
                              </w:rPr>
                              <w:t>Tutin</w:t>
                            </w:r>
                            <w:proofErr w:type="spellEnd"/>
                            <w:r w:rsidRPr="00232800">
                              <w:rPr>
                                <w:rFonts w:ascii="Arial" w:hAnsi="Arial" w:cs="Arial"/>
                                <w:sz w:val="18"/>
                                <w:szCs w:val="18"/>
                              </w:rPr>
                              <w:t xml:space="preserve"> and </w:t>
                            </w:r>
                            <w:proofErr w:type="spellStart"/>
                            <w:r w:rsidRPr="00232800">
                              <w:rPr>
                                <w:rFonts w:ascii="Arial" w:hAnsi="Arial" w:cs="Arial"/>
                                <w:sz w:val="18"/>
                                <w:szCs w:val="18"/>
                              </w:rPr>
                              <w:t>Preševo</w:t>
                            </w:r>
                            <w:proofErr w:type="spellEnd"/>
                            <w:r w:rsidRPr="00232800">
                              <w:rPr>
                                <w:rFonts w:ascii="Arial" w:hAnsi="Arial" w:cs="Arial"/>
                                <w:sz w:val="18"/>
                                <w:szCs w:val="18"/>
                              </w:rPr>
                              <w:t xml:space="preserve">, and the largest loss in </w:t>
                            </w:r>
                            <w:proofErr w:type="spellStart"/>
                            <w:r w:rsidRPr="00232800">
                              <w:rPr>
                                <w:rFonts w:ascii="Arial" w:hAnsi="Arial" w:cs="Arial"/>
                                <w:sz w:val="18"/>
                                <w:szCs w:val="18"/>
                              </w:rPr>
                              <w:t>Crna</w:t>
                            </w:r>
                            <w:proofErr w:type="spellEnd"/>
                            <w:r w:rsidRPr="00232800">
                              <w:rPr>
                                <w:rFonts w:ascii="Arial" w:hAnsi="Arial" w:cs="Arial"/>
                                <w:sz w:val="18"/>
                                <w:szCs w:val="18"/>
                              </w:rPr>
                              <w:t xml:space="preserve"> </w:t>
                            </w:r>
                            <w:proofErr w:type="spellStart"/>
                            <w:r w:rsidRPr="00232800">
                              <w:rPr>
                                <w:rFonts w:ascii="Arial" w:hAnsi="Arial" w:cs="Arial"/>
                                <w:sz w:val="18"/>
                                <w:szCs w:val="18"/>
                              </w:rPr>
                              <w:t>Trava</w:t>
                            </w:r>
                            <w:proofErr w:type="spellEnd"/>
                            <w:r w:rsidRPr="00232800">
                              <w:rPr>
                                <w:rFonts w:ascii="Arial" w:hAnsi="Arial" w:cs="Arial"/>
                                <w:sz w:val="18"/>
                                <w:szCs w:val="18"/>
                              </w:rPr>
                              <w:t xml:space="preserve">, </w:t>
                            </w:r>
                            <w:proofErr w:type="spellStart"/>
                            <w:r w:rsidRPr="0056450F">
                              <w:rPr>
                                <w:rFonts w:ascii="Arial" w:hAnsi="Arial" w:cs="Arial"/>
                                <w:sz w:val="18"/>
                                <w:szCs w:val="18"/>
                              </w:rPr>
                              <w:t>Gadžin</w:t>
                            </w:r>
                            <w:proofErr w:type="spellEnd"/>
                            <w:r w:rsidRPr="0056450F">
                              <w:rPr>
                                <w:rFonts w:ascii="Arial" w:hAnsi="Arial" w:cs="Arial"/>
                                <w:sz w:val="18"/>
                                <w:szCs w:val="18"/>
                              </w:rPr>
                              <w:t xml:space="preserve"> Han and </w:t>
                            </w:r>
                            <w:proofErr w:type="spellStart"/>
                            <w:r w:rsidRPr="0056450F">
                              <w:rPr>
                                <w:rFonts w:ascii="Arial" w:hAnsi="Arial" w:cs="Arial"/>
                                <w:sz w:val="18"/>
                                <w:szCs w:val="18"/>
                              </w:rPr>
                              <w:t>Babušnica</w:t>
                            </w:r>
                            <w:proofErr w:type="spellEnd"/>
                            <w:r w:rsidRPr="0056450F">
                              <w:rPr>
                                <w:rFonts w:ascii="Arial" w:hAnsi="Arial" w:cs="Arial"/>
                                <w:sz w:val="18"/>
                                <w:szCs w:val="18"/>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8A962" id="Text Box 13" o:spid="_x0000_s1027" style="position:absolute;margin-left:354.2pt;margin-top:.1pt;width:156.1pt;height:20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" fillcolor="#f2f2f2 [3052]" strokecolor="#bfbfbf [2412]" strokeweight=".25pt">
                <v:textbox inset="1mm,0,1mm,0">
                  <w:txbxContent>
                    <w:p w:rsidR="006C1E26" w:rsidRPr="00232800" w:rsidRDefault="006C1E26" w:rsidP="00232800">
                      <w:pPr>
                        <w:spacing w:before="120" w:after="120"/>
                        <w:rPr>
                          <w:rFonts w:ascii="Arial" w:hAnsi="Arial" w:cs="Arial"/>
                          <w:sz w:val="18"/>
                          <w:szCs w:val="18"/>
                        </w:rPr>
                      </w:pPr>
                      <w:r w:rsidRPr="0056450F">
                        <w:rPr>
                          <w:rFonts w:ascii="Arial" w:hAnsi="Arial" w:cs="Arial"/>
                          <w:sz w:val="18"/>
                          <w:szCs w:val="18"/>
                        </w:rPr>
                        <w:t>In Beogradska and Južnobačka oblast, in 201</w:t>
                      </w:r>
                      <w:r w:rsidR="00906C37" w:rsidRPr="0056450F">
                        <w:rPr>
                          <w:rFonts w:ascii="Arial" w:hAnsi="Arial" w:cs="Arial"/>
                          <w:sz w:val="18"/>
                          <w:szCs w:val="18"/>
                        </w:rPr>
                        <w:t>9</w:t>
                      </w:r>
                      <w:r w:rsidRPr="0056450F">
                        <w:rPr>
                          <w:rFonts w:ascii="Arial" w:hAnsi="Arial" w:cs="Arial"/>
                          <w:sz w:val="18"/>
                          <w:szCs w:val="18"/>
                        </w:rPr>
                        <w:t xml:space="preserve">, the number of population increased compared with the previous year, while the biggest fall was recorded in </w:t>
                      </w:r>
                      <w:r w:rsidR="00906C37" w:rsidRPr="0056450F">
                        <w:rPr>
                          <w:rFonts w:ascii="Arial" w:hAnsi="Arial" w:cs="Arial"/>
                          <w:sz w:val="18"/>
                          <w:szCs w:val="18"/>
                        </w:rPr>
                        <w:t>Bor</w:t>
                      </w:r>
                      <w:r w:rsidRPr="0056450F">
                        <w:rPr>
                          <w:rFonts w:ascii="Arial" w:hAnsi="Arial" w:cs="Arial"/>
                          <w:sz w:val="18"/>
                          <w:szCs w:val="18"/>
                        </w:rPr>
                        <w:t xml:space="preserve">ska oblast.  </w:t>
                      </w:r>
                    </w:p>
                    <w:p w:rsidR="006C1E26" w:rsidRPr="00232800" w:rsidRDefault="00232800" w:rsidP="00232800">
                      <w:pPr>
                        <w:spacing w:before="120" w:after="120"/>
                        <w:rPr>
                          <w:rFonts w:ascii="Arial" w:hAnsi="Arial" w:cs="Arial"/>
                          <w:sz w:val="18"/>
                          <w:szCs w:val="18"/>
                        </w:rPr>
                      </w:pPr>
                      <w:r w:rsidRPr="00232800">
                        <w:rPr>
                          <w:rFonts w:ascii="Arial" w:hAnsi="Arial" w:cs="Arial"/>
                          <w:sz w:val="18"/>
                          <w:szCs w:val="18"/>
                        </w:rPr>
                        <w:t xml:space="preserve">Observed at the level of municipalities/cities, the largest  increase in the number of population happened in seven Belgrade municipalities and </w:t>
                      </w:r>
                      <w:r w:rsidRPr="0056450F">
                        <w:rPr>
                          <w:rFonts w:ascii="Arial" w:hAnsi="Arial" w:cs="Arial"/>
                          <w:sz w:val="18"/>
                          <w:szCs w:val="18"/>
                        </w:rPr>
                        <w:t>in Novi Sad, but also in Novi Pazar, Tutin</w:t>
                      </w:r>
                      <w:r w:rsidRPr="00232800">
                        <w:rPr>
                          <w:rFonts w:ascii="Arial" w:hAnsi="Arial" w:cs="Arial"/>
                          <w:sz w:val="18"/>
                          <w:szCs w:val="18"/>
                        </w:rPr>
                        <w:t xml:space="preserve"> and Preševo, and the largest loss in Crna Trava, </w:t>
                      </w:r>
                      <w:r w:rsidRPr="0056450F">
                        <w:rPr>
                          <w:rFonts w:ascii="Arial" w:hAnsi="Arial" w:cs="Arial"/>
                          <w:sz w:val="18"/>
                          <w:szCs w:val="18"/>
                        </w:rPr>
                        <w:t>Gadžin Han and Babušnica.</w:t>
                      </w:r>
                    </w:p>
                  </w:txbxContent>
                </v:textbox>
              </v:roundrect>
            </w:pict>
          </mc:Fallback>
        </mc:AlternateContent>
      </w:r>
      <w:r w:rsidR="00903BC9" w:rsidRPr="0056450F">
        <w:rPr>
          <w:noProof/>
          <w:sz w:val="10"/>
          <w:szCs w:val="10"/>
          <w:lang w:val="sr-Latn-RS"/>
        </w:rPr>
        <w:t xml:space="preserve"> </w:t>
      </w:r>
      <w:r w:rsidR="00F02B66" w:rsidRPr="0056450F">
        <w:rPr>
          <w:noProof/>
          <w:sz w:val="10"/>
          <w:szCs w:val="10"/>
        </w:rPr>
        <w:drawing>
          <wp:inline distT="0" distB="0" distL="0" distR="0">
            <wp:extent cx="4667250" cy="2657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5173C1" w:rsidRPr="0056450F" w:rsidRDefault="005173C1" w:rsidP="005173C1">
      <w:pPr>
        <w:rPr>
          <w:noProof/>
          <w:sz w:val="10"/>
          <w:szCs w:val="10"/>
          <w:lang w:val="sr-Latn-RS"/>
        </w:rPr>
      </w:pPr>
    </w:p>
    <w:p w:rsidR="005173C1" w:rsidRPr="0056450F" w:rsidRDefault="005173C1" w:rsidP="005173C1">
      <w:pPr>
        <w:spacing w:before="120"/>
        <w:jc w:val="both"/>
        <w:rPr>
          <w:rFonts w:ascii="Arial" w:hAnsi="Arial" w:cs="Arial"/>
          <w:sz w:val="20"/>
          <w:szCs w:val="20"/>
          <w:lang w:val="sr-Latn-RS"/>
        </w:rPr>
      </w:pPr>
    </w:p>
    <w:p w:rsidR="005173C1" w:rsidRPr="0056450F" w:rsidRDefault="005173C1" w:rsidP="00275B3C">
      <w:pPr>
        <w:jc w:val="center"/>
        <w:rPr>
          <w:rFonts w:ascii="Arial" w:hAnsi="Arial" w:cs="Arial"/>
          <w:lang w:val="sr-Latn-RS"/>
        </w:rPr>
      </w:pPr>
    </w:p>
    <w:p w:rsidR="002F5E7B" w:rsidRPr="0056450F" w:rsidRDefault="002F5E7B">
      <w:pPr>
        <w:rPr>
          <w:rFonts w:ascii="Arial" w:hAnsi="Arial" w:cs="Arial"/>
          <w:lang w:val="sr-Latn-RS"/>
        </w:rPr>
      </w:pPr>
      <w:r w:rsidRPr="0056450F">
        <w:rPr>
          <w:rFonts w:ascii="Arial" w:hAnsi="Arial" w:cs="Arial"/>
          <w:lang w:val="sr-Latn-RS"/>
        </w:rPr>
        <w:br w:type="page"/>
      </w:r>
    </w:p>
    <w:p w:rsidR="00232800" w:rsidRPr="00232800" w:rsidRDefault="00232800" w:rsidP="00232800">
      <w:pPr>
        <w:spacing w:before="100" w:line="233" w:lineRule="auto"/>
        <w:jc w:val="both"/>
        <w:rPr>
          <w:rFonts w:ascii="Arial" w:hAnsi="Arial" w:cs="Arial"/>
          <w:b/>
          <w:sz w:val="20"/>
          <w:szCs w:val="20"/>
          <w:lang w:val="sr-Latn-RS"/>
        </w:rPr>
      </w:pPr>
      <w:r w:rsidRPr="00232800">
        <w:rPr>
          <w:rFonts w:ascii="Arial" w:hAnsi="Arial" w:cs="Arial"/>
          <w:b/>
          <w:sz w:val="20"/>
          <w:szCs w:val="20"/>
          <w:lang w:val="sr-Latn-RS"/>
        </w:rPr>
        <w:lastRenderedPageBreak/>
        <w:t>Population age-sex structure over 2002-2019</w:t>
      </w:r>
    </w:p>
    <w:p w:rsidR="00232800" w:rsidRPr="0056450F" w:rsidRDefault="00232800" w:rsidP="00232800">
      <w:pPr>
        <w:spacing w:before="100" w:line="233" w:lineRule="auto"/>
        <w:jc w:val="both"/>
        <w:rPr>
          <w:rFonts w:ascii="Arial" w:hAnsi="Arial" w:cs="Arial"/>
          <w:sz w:val="20"/>
          <w:szCs w:val="20"/>
          <w:lang w:val="sr-Latn-RS"/>
        </w:rPr>
      </w:pPr>
      <w:r w:rsidRPr="00232800">
        <w:rPr>
          <w:rFonts w:ascii="Arial" w:hAnsi="Arial" w:cs="Arial"/>
          <w:sz w:val="20"/>
          <w:szCs w:val="20"/>
          <w:lang w:val="sr-Latn-RS"/>
        </w:rPr>
        <w:t>Apart from the change in the total number of population, there is an evident change in the population age-sex structure, which is best visible in the age pyramid. In 2002, the population aged 45-49 was the most represented, while in 2019 the largest shares in the total population were those of men aged 40-44 and women aged 60-69.</w:t>
      </w:r>
      <w:r w:rsidRPr="0056450F">
        <w:rPr>
          <w:rFonts w:ascii="Arial" w:hAnsi="Arial" w:cs="Arial"/>
          <w:sz w:val="20"/>
          <w:szCs w:val="20"/>
          <w:lang w:val="sr-Latn-RS"/>
        </w:rPr>
        <w:t xml:space="preserve">  </w:t>
      </w:r>
    </w:p>
    <w:p w:rsidR="00903BC9" w:rsidRPr="0056450F" w:rsidRDefault="007F46C9" w:rsidP="002F5E7B">
      <w:pPr>
        <w:spacing w:before="100" w:line="233" w:lineRule="auto"/>
        <w:jc w:val="both"/>
        <w:rPr>
          <w:rFonts w:ascii="Arial" w:hAnsi="Arial" w:cs="Arial"/>
          <w:b/>
          <w:bCs/>
          <w:sz w:val="20"/>
          <w:szCs w:val="20"/>
          <w:lang w:val="sr-Latn-RS"/>
        </w:rPr>
      </w:pPr>
      <w:r w:rsidRPr="0056450F">
        <w:rPr>
          <w:rFonts w:ascii="Arial" w:hAnsi="Arial" w:cs="Arial"/>
          <w:sz w:val="20"/>
          <w:szCs w:val="20"/>
          <w:lang w:val="sr-Latn-R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769"/>
        <w:gridCol w:w="5492"/>
      </w:tblGrid>
      <w:tr w:rsidR="002F5E7B" w:rsidRPr="0056450F" w:rsidTr="00977AC7">
        <w:trPr>
          <w:trHeight w:val="227"/>
          <w:jc w:val="center"/>
        </w:trPr>
        <w:tc>
          <w:tcPr>
            <w:tcW w:w="5037" w:type="dxa"/>
            <w:vAlign w:val="bottom"/>
          </w:tcPr>
          <w:p w:rsidR="00903BC9" w:rsidRPr="0056450F" w:rsidRDefault="0089248C" w:rsidP="0089248C">
            <w:pPr>
              <w:spacing w:after="60"/>
              <w:rPr>
                <w:rFonts w:ascii="Arial" w:hAnsi="Arial" w:cs="Arial"/>
                <w:sz w:val="20"/>
                <w:szCs w:val="20"/>
                <w:lang w:val="sr-Latn-RS"/>
              </w:rPr>
            </w:pPr>
            <w:r w:rsidRPr="0056450F">
              <w:rPr>
                <w:rFonts w:ascii="Arial" w:hAnsi="Arial" w:cs="Arial"/>
                <w:sz w:val="20"/>
                <w:szCs w:val="20"/>
                <w:lang w:val="sr-Latn-RS"/>
              </w:rPr>
              <w:t xml:space="preserve">Chart 3. </w:t>
            </w:r>
            <w:r w:rsidR="00614523" w:rsidRPr="0056450F">
              <w:rPr>
                <w:rFonts w:ascii="Arial" w:hAnsi="Arial" w:cs="Arial"/>
                <w:sz w:val="20"/>
                <w:szCs w:val="20"/>
                <w:lang w:val="sr-Latn-RS"/>
              </w:rPr>
              <w:t xml:space="preserve">Population age pyramid </w:t>
            </w:r>
          </w:p>
        </w:tc>
        <w:tc>
          <w:tcPr>
            <w:tcW w:w="5224" w:type="dxa"/>
            <w:vAlign w:val="bottom"/>
          </w:tcPr>
          <w:p w:rsidR="006C1E26" w:rsidRPr="0056450F" w:rsidRDefault="006C1E26" w:rsidP="006C1E26">
            <w:pPr>
              <w:spacing w:after="60"/>
              <w:rPr>
                <w:rFonts w:ascii="Arial" w:hAnsi="Arial" w:cs="Arial"/>
                <w:bCs/>
                <w:sz w:val="20"/>
                <w:szCs w:val="20"/>
                <w:lang w:val="sr-Latn-RS"/>
              </w:rPr>
            </w:pPr>
            <w:r w:rsidRPr="0056450F">
              <w:rPr>
                <w:rFonts w:ascii="Arial" w:hAnsi="Arial" w:cs="Arial"/>
                <w:bCs/>
                <w:sz w:val="20"/>
                <w:szCs w:val="20"/>
                <w:lang w:val="sr-Latn-RS"/>
              </w:rPr>
              <w:t>Таble 2. Demographic indicators</w:t>
            </w:r>
          </w:p>
        </w:tc>
      </w:tr>
      <w:tr w:rsidR="002F5E7B" w:rsidRPr="0056450F" w:rsidTr="00977AC7">
        <w:trPr>
          <w:trHeight w:val="4932"/>
          <w:jc w:val="center"/>
        </w:trPr>
        <w:tc>
          <w:tcPr>
            <w:tcW w:w="5037" w:type="dxa"/>
            <w:vAlign w:val="bottom"/>
          </w:tcPr>
          <w:p w:rsidR="00903BC9" w:rsidRPr="0056450F" w:rsidRDefault="00832CF8" w:rsidP="002F5E7B">
            <w:pPr>
              <w:jc w:val="center"/>
              <w:rPr>
                <w:rFonts w:ascii="Arial" w:hAnsi="Arial" w:cs="Arial"/>
                <w:sz w:val="20"/>
                <w:szCs w:val="20"/>
                <w:lang w:val="sr-Latn-RS"/>
              </w:rPr>
            </w:pPr>
            <w:r>
              <w:rPr>
                <w:rFonts w:ascii="Arial" w:hAnsi="Arial" w:cs="Arial"/>
                <w:noProof/>
                <w:sz w:val="20"/>
                <w:szCs w:val="20"/>
              </w:rPr>
              <w:drawing>
                <wp:inline distT="0" distB="0" distL="0" distR="0">
                  <wp:extent cx="2810256" cy="31577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70-2020-Pir-saop-ENG.jpg"/>
                          <pic:cNvPicPr/>
                        </pic:nvPicPr>
                        <pic:blipFill>
                          <a:blip r:embed="rId11">
                            <a:extLst>
                              <a:ext uri="{28A0092B-C50C-407E-A947-70E740481C1C}">
                                <a14:useLocalDpi xmlns:a14="http://schemas.microsoft.com/office/drawing/2010/main" val="0"/>
                              </a:ext>
                            </a:extLst>
                          </a:blip>
                          <a:stretch>
                            <a:fillRect/>
                          </a:stretch>
                        </pic:blipFill>
                        <pic:spPr>
                          <a:xfrm>
                            <a:off x="0" y="0"/>
                            <a:ext cx="2810256" cy="3157728"/>
                          </a:xfrm>
                          <a:prstGeom prst="rect">
                            <a:avLst/>
                          </a:prstGeom>
                        </pic:spPr>
                      </pic:pic>
                    </a:graphicData>
                  </a:graphic>
                </wp:inline>
              </w:drawing>
            </w:r>
          </w:p>
        </w:tc>
        <w:tc>
          <w:tcPr>
            <w:tcW w:w="5224" w:type="dxa"/>
            <w:vAlign w:val="center"/>
          </w:tcPr>
          <w:tbl>
            <w:tblPr>
              <w:tblpPr w:leftFromText="180" w:rightFromText="180" w:vertAnchor="text" w:tblpXSpec="right" w:tblpY="1"/>
              <w:tblOverlap w:val="never"/>
              <w:tblW w:w="4820" w:type="dxa"/>
              <w:tblCellMar>
                <w:left w:w="28" w:type="dxa"/>
                <w:right w:w="28" w:type="dxa"/>
              </w:tblCellMar>
              <w:tblLook w:val="04A0" w:firstRow="1" w:lastRow="0" w:firstColumn="1" w:lastColumn="0" w:noHBand="0" w:noVBand="1"/>
            </w:tblPr>
            <w:tblGrid>
              <w:gridCol w:w="2002"/>
              <w:gridCol w:w="686"/>
              <w:gridCol w:w="687"/>
              <w:gridCol w:w="687"/>
              <w:gridCol w:w="687"/>
              <w:gridCol w:w="687"/>
            </w:tblGrid>
            <w:tr w:rsidR="006C1E26" w:rsidRPr="0056450F" w:rsidTr="006C1E26">
              <w:trPr>
                <w:trHeight w:val="26"/>
              </w:trPr>
              <w:tc>
                <w:tcPr>
                  <w:tcW w:w="200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6C1E26" w:rsidRPr="0056450F" w:rsidRDefault="006C1E26" w:rsidP="006C1E26">
                  <w:pPr>
                    <w:spacing w:before="120" w:after="120"/>
                    <w:rPr>
                      <w:rFonts w:ascii="Arial" w:hAnsi="Arial" w:cs="Arial"/>
                      <w:bCs/>
                      <w:sz w:val="16"/>
                      <w:szCs w:val="16"/>
                      <w:lang w:val="sr-Latn-RS"/>
                    </w:rPr>
                  </w:pPr>
                  <w:r w:rsidRPr="0056450F">
                    <w:rPr>
                      <w:rFonts w:ascii="Arial" w:hAnsi="Arial" w:cs="Arial"/>
                      <w:bCs/>
                      <w:sz w:val="16"/>
                      <w:szCs w:val="16"/>
                      <w:lang w:val="sr-Latn-RS"/>
                    </w:rPr>
                    <w:t> </w:t>
                  </w:r>
                </w:p>
              </w:tc>
              <w:tc>
                <w:tcPr>
                  <w:tcW w:w="6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6C1E26" w:rsidRPr="0056450F" w:rsidRDefault="006C1E26" w:rsidP="006C1E26">
                  <w:pPr>
                    <w:spacing w:before="120" w:after="120"/>
                    <w:jc w:val="center"/>
                    <w:rPr>
                      <w:rFonts w:ascii="Arial" w:hAnsi="Arial" w:cs="Arial"/>
                      <w:bCs/>
                      <w:sz w:val="16"/>
                      <w:szCs w:val="16"/>
                      <w:lang w:val="sr-Latn-RS"/>
                    </w:rPr>
                  </w:pPr>
                  <w:r w:rsidRPr="0056450F">
                    <w:rPr>
                      <w:rFonts w:ascii="Arial" w:hAnsi="Arial" w:cs="Arial"/>
                      <w:bCs/>
                      <w:sz w:val="16"/>
                      <w:szCs w:val="16"/>
                      <w:lang w:val="sr-Latn-RS"/>
                    </w:rPr>
                    <w:t>2002</w:t>
                  </w:r>
                </w:p>
              </w:tc>
              <w:tc>
                <w:tcPr>
                  <w:tcW w:w="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6C1E26" w:rsidRPr="0056450F" w:rsidRDefault="006C1E26" w:rsidP="006C1E26">
                  <w:pPr>
                    <w:spacing w:before="120" w:after="120"/>
                    <w:jc w:val="center"/>
                    <w:rPr>
                      <w:rFonts w:ascii="Arial" w:hAnsi="Arial" w:cs="Arial"/>
                      <w:bCs/>
                      <w:sz w:val="16"/>
                      <w:szCs w:val="16"/>
                      <w:lang w:val="sr-Latn-RS"/>
                    </w:rPr>
                  </w:pPr>
                  <w:r w:rsidRPr="0056450F">
                    <w:rPr>
                      <w:rFonts w:ascii="Arial" w:hAnsi="Arial" w:cs="Arial"/>
                      <w:bCs/>
                      <w:sz w:val="16"/>
                      <w:szCs w:val="16"/>
                      <w:lang w:val="sr-Latn-RS"/>
                    </w:rPr>
                    <w:t>2011</w:t>
                  </w:r>
                </w:p>
              </w:tc>
              <w:tc>
                <w:tcPr>
                  <w:tcW w:w="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6C1E26" w:rsidRPr="0056450F" w:rsidRDefault="006C1E26" w:rsidP="006C1E26">
                  <w:pPr>
                    <w:spacing w:before="120" w:after="120"/>
                    <w:jc w:val="center"/>
                    <w:rPr>
                      <w:rFonts w:ascii="Arial" w:hAnsi="Arial" w:cs="Arial"/>
                      <w:bCs/>
                      <w:sz w:val="16"/>
                      <w:szCs w:val="16"/>
                      <w:lang w:val="sr-Latn-RS"/>
                    </w:rPr>
                  </w:pPr>
                  <w:r w:rsidRPr="0056450F">
                    <w:rPr>
                      <w:rFonts w:ascii="Arial" w:hAnsi="Arial" w:cs="Arial"/>
                      <w:bCs/>
                      <w:sz w:val="16"/>
                      <w:szCs w:val="16"/>
                      <w:lang w:val="sr-Latn-RS"/>
                    </w:rPr>
                    <w:t>2017</w:t>
                  </w:r>
                </w:p>
              </w:tc>
              <w:tc>
                <w:tcPr>
                  <w:tcW w:w="6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6C1E26" w:rsidRPr="0056450F" w:rsidRDefault="006C1E26" w:rsidP="006C1E26">
                  <w:pPr>
                    <w:spacing w:before="120" w:after="120"/>
                    <w:jc w:val="center"/>
                    <w:rPr>
                      <w:rFonts w:ascii="Arial" w:hAnsi="Arial" w:cs="Arial"/>
                      <w:bCs/>
                      <w:sz w:val="16"/>
                      <w:szCs w:val="16"/>
                      <w:lang w:val="sr-Latn-RS"/>
                    </w:rPr>
                  </w:pPr>
                  <w:r w:rsidRPr="0056450F">
                    <w:rPr>
                      <w:rFonts w:ascii="Arial" w:hAnsi="Arial" w:cs="Arial"/>
                      <w:bCs/>
                      <w:sz w:val="16"/>
                      <w:szCs w:val="16"/>
                      <w:lang w:val="sr-Latn-RS"/>
                    </w:rPr>
                    <w:t>2018</w:t>
                  </w:r>
                </w:p>
              </w:tc>
              <w:tc>
                <w:tcPr>
                  <w:tcW w:w="687"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rsidR="006C1E26" w:rsidRPr="0056450F" w:rsidRDefault="006C1E26" w:rsidP="006C1E26">
                  <w:pPr>
                    <w:spacing w:before="120" w:after="120"/>
                    <w:jc w:val="center"/>
                    <w:rPr>
                      <w:rFonts w:ascii="Arial" w:hAnsi="Arial" w:cs="Arial"/>
                      <w:bCs/>
                      <w:sz w:val="16"/>
                      <w:szCs w:val="16"/>
                      <w:lang w:val="sr-Latn-RS"/>
                    </w:rPr>
                  </w:pPr>
                  <w:r w:rsidRPr="0056450F">
                    <w:rPr>
                      <w:rFonts w:ascii="Arial" w:hAnsi="Arial" w:cs="Arial"/>
                      <w:bCs/>
                      <w:sz w:val="16"/>
                      <w:szCs w:val="16"/>
                      <w:lang w:val="sr-Latn-RS"/>
                    </w:rPr>
                    <w:t>2019</w:t>
                  </w:r>
                </w:p>
              </w:tc>
            </w:tr>
            <w:tr w:rsidR="006C1E26" w:rsidRPr="0056450F" w:rsidTr="006C1E26">
              <w:trPr>
                <w:trHeight w:val="26"/>
              </w:trPr>
              <w:tc>
                <w:tcPr>
                  <w:tcW w:w="5436" w:type="dxa"/>
                  <w:gridSpan w:val="6"/>
                  <w:tcBorders>
                    <w:top w:val="single" w:sz="4" w:space="0" w:color="808080" w:themeColor="background1" w:themeShade="80"/>
                    <w:left w:val="nil"/>
                    <w:bottom w:val="single" w:sz="4" w:space="0" w:color="D9D9D9" w:themeColor="background1" w:themeShade="D9"/>
                    <w:right w:val="nil"/>
                  </w:tcBorders>
                  <w:shd w:val="clear" w:color="auto" w:fill="auto"/>
                  <w:vAlign w:val="center"/>
                  <w:hideMark/>
                </w:tcPr>
                <w:p w:rsidR="006C1E26" w:rsidRPr="0056450F" w:rsidRDefault="006C1E26" w:rsidP="006C1E26">
                  <w:pPr>
                    <w:spacing w:before="40"/>
                    <w:rPr>
                      <w:rFonts w:ascii="Arial" w:hAnsi="Arial" w:cs="Arial"/>
                      <w:b/>
                      <w:bCs/>
                      <w:iCs/>
                      <w:sz w:val="16"/>
                      <w:szCs w:val="16"/>
                      <w:lang w:val="sr-Latn-RS"/>
                    </w:rPr>
                  </w:pPr>
                  <w:r w:rsidRPr="0056450F">
                    <w:rPr>
                      <w:rFonts w:ascii="Arial" w:hAnsi="Arial" w:cs="Arial"/>
                      <w:b/>
                      <w:bCs/>
                      <w:iCs/>
                      <w:sz w:val="16"/>
                      <w:szCs w:val="16"/>
                      <w:lang w:val="sr-Latn-RS"/>
                    </w:rPr>
                    <w:t>Number of population, in thous.</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Total</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7500.0</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7236.5</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7020.9</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6982.6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6945.2</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Men</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3647.2</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3523.9</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3419.8</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3401.7</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3383.7</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Women</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3852.8</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3712.6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3601.0</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3580.9</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3561.5</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rPr>
                      <w:rFonts w:ascii="Arial" w:hAnsi="Arial" w:cs="Arial"/>
                      <w:b/>
                      <w:sz w:val="16"/>
                      <w:szCs w:val="16"/>
                      <w:lang w:val="sr-Latn-RS"/>
                    </w:rPr>
                  </w:pPr>
                  <w:r w:rsidRPr="0056450F">
                    <w:rPr>
                      <w:rFonts w:ascii="Arial" w:hAnsi="Arial" w:cs="Arial"/>
                      <w:b/>
                      <w:sz w:val="16"/>
                      <w:szCs w:val="16"/>
                      <w:lang w:val="sr-Latn-RS"/>
                    </w:rPr>
                    <w:t>Masculinity ratio</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946.6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949.2</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949.7</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950.0</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noWrap/>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950.1</w:t>
                  </w:r>
                </w:p>
              </w:tc>
            </w:tr>
            <w:tr w:rsidR="006C1E26" w:rsidRPr="0056450F" w:rsidTr="006C1E26">
              <w:trPr>
                <w:trHeight w:val="26"/>
              </w:trPr>
              <w:tc>
                <w:tcPr>
                  <w:tcW w:w="5436" w:type="dxa"/>
                  <w:gridSpan w:val="6"/>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b/>
                      <w:sz w:val="16"/>
                      <w:szCs w:val="16"/>
                      <w:lang w:val="sr-Latn-RS"/>
                    </w:rPr>
                  </w:pPr>
                  <w:r w:rsidRPr="0056450F">
                    <w:rPr>
                      <w:rFonts w:ascii="Arial" w:hAnsi="Arial" w:cs="Arial"/>
                      <w:b/>
                      <w:sz w:val="16"/>
                      <w:szCs w:val="16"/>
                      <w:lang w:val="sr-Latn-RS"/>
                    </w:rPr>
                    <w:t>Age groups (%)</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0-14</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16.1</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14.4</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14.4</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14.3</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14.3</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15-64</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67.3</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68.3</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66.0</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65.5</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65.0</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65 and over</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16.6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17.3</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19.6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20.2</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20.7</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Fertile contingent</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24.1</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22.6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22.1</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21.8</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21.7</w:t>
                  </w:r>
                </w:p>
              </w:tc>
            </w:tr>
            <w:tr w:rsidR="006C1E26" w:rsidRPr="0056450F" w:rsidTr="006C1E26">
              <w:trPr>
                <w:trHeight w:val="26"/>
              </w:trPr>
              <w:tc>
                <w:tcPr>
                  <w:tcW w:w="5436" w:type="dxa"/>
                  <w:gridSpan w:val="6"/>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b/>
                      <w:sz w:val="16"/>
                      <w:szCs w:val="16"/>
                      <w:lang w:val="sr-Latn-RS"/>
                    </w:rPr>
                  </w:pPr>
                  <w:r w:rsidRPr="0056450F">
                    <w:rPr>
                      <w:rFonts w:ascii="Arial" w:hAnsi="Arial" w:cs="Arial"/>
                      <w:b/>
                      <w:sz w:val="16"/>
                      <w:szCs w:val="16"/>
                      <w:lang w:val="sr-Latn-RS"/>
                    </w:rPr>
                    <w:t>Dependency ratio</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Young-age dependency ratio</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23.9</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21.1</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21.8</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21.9</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22.0</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Old-age dependency ratio</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24.7</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25.2</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29.8</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30.8</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31.8</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 xml:space="preserve">Total dependency ratio </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48.6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46.3</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51.5</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52.7</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53.8</w:t>
                  </w:r>
                </w:p>
              </w:tc>
            </w:tr>
            <w:tr w:rsidR="006C1E26" w:rsidRPr="0056450F" w:rsidTr="006C1E26">
              <w:trPr>
                <w:trHeight w:val="26"/>
              </w:trPr>
              <w:tc>
                <w:tcPr>
                  <w:tcW w:w="5436" w:type="dxa"/>
                  <w:gridSpan w:val="6"/>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b/>
                      <w:sz w:val="16"/>
                      <w:szCs w:val="16"/>
                      <w:lang w:val="sr-Latn-RS"/>
                    </w:rPr>
                  </w:pPr>
                  <w:r w:rsidRPr="0056450F">
                    <w:rPr>
                      <w:rFonts w:ascii="Arial" w:hAnsi="Arial" w:cs="Arial"/>
                      <w:b/>
                      <w:sz w:val="16"/>
                      <w:szCs w:val="16"/>
                      <w:lang w:val="sr-Latn-RS"/>
                    </w:rPr>
                    <w:t>Age indicators</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Average age</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40.2</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42.1</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43.0</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43.2</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43.3</w:t>
                  </w:r>
                </w:p>
              </w:tc>
            </w:tr>
            <w:tr w:rsidR="006C1E26" w:rsidRPr="0056450F" w:rsidTr="006C1E26">
              <w:trPr>
                <w:trHeight w:val="26"/>
              </w:trPr>
              <w:tc>
                <w:tcPr>
                  <w:tcW w:w="2002"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rPr>
                      <w:rFonts w:ascii="Arial" w:hAnsi="Arial" w:cs="Arial"/>
                      <w:sz w:val="16"/>
                      <w:szCs w:val="16"/>
                      <w:lang w:val="sr-Latn-RS"/>
                    </w:rPr>
                  </w:pPr>
                  <w:r w:rsidRPr="0056450F">
                    <w:rPr>
                      <w:rFonts w:ascii="Arial" w:hAnsi="Arial" w:cs="Arial"/>
                      <w:sz w:val="16"/>
                      <w:szCs w:val="16"/>
                      <w:lang w:val="sr-Latn-RS"/>
                    </w:rPr>
                    <w:t>Ageing index</w:t>
                  </w:r>
                </w:p>
              </w:tc>
              <w:tc>
                <w:tcPr>
                  <w:tcW w:w="686"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99.1</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121.9</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141.6</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142.9</w:t>
                  </w:r>
                </w:p>
              </w:tc>
              <w:tc>
                <w:tcPr>
                  <w:tcW w:w="687" w:type="dxa"/>
                  <w:tcBorders>
                    <w:top w:val="single" w:sz="4" w:space="0" w:color="D9D9D9" w:themeColor="background1" w:themeShade="D9"/>
                    <w:left w:val="nil"/>
                    <w:bottom w:val="single" w:sz="4" w:space="0" w:color="D9D9D9" w:themeColor="background1" w:themeShade="D9"/>
                    <w:right w:val="nil"/>
                  </w:tcBorders>
                  <w:shd w:val="clear" w:color="auto" w:fill="auto"/>
                  <w:hideMark/>
                </w:tcPr>
                <w:p w:rsidR="006C1E26" w:rsidRPr="0056450F" w:rsidRDefault="006C1E26" w:rsidP="006C1E26">
                  <w:pPr>
                    <w:spacing w:before="40"/>
                    <w:jc w:val="right"/>
                    <w:rPr>
                      <w:rFonts w:ascii="Arial" w:hAnsi="Arial" w:cs="Arial"/>
                      <w:sz w:val="16"/>
                      <w:szCs w:val="16"/>
                      <w:lang w:val="sr-Latn-RS"/>
                    </w:rPr>
                  </w:pPr>
                  <w:r w:rsidRPr="0056450F">
                    <w:rPr>
                      <w:rFonts w:ascii="Arial" w:hAnsi="Arial" w:cs="Arial"/>
                      <w:sz w:val="16"/>
                      <w:szCs w:val="16"/>
                      <w:lang w:val="sr-Latn-RS"/>
                    </w:rPr>
                    <w:t>144.1</w:t>
                  </w:r>
                </w:p>
              </w:tc>
            </w:tr>
            <w:tr w:rsidR="006C1E26" w:rsidRPr="0056450F" w:rsidTr="006C1E26">
              <w:trPr>
                <w:trHeight w:val="26"/>
              </w:trPr>
              <w:tc>
                <w:tcPr>
                  <w:tcW w:w="2002" w:type="dxa"/>
                  <w:tcBorders>
                    <w:top w:val="single" w:sz="4" w:space="0" w:color="D9D9D9" w:themeColor="background1" w:themeShade="D9"/>
                    <w:left w:val="nil"/>
                    <w:bottom w:val="single" w:sz="4" w:space="0" w:color="808080" w:themeColor="background1" w:themeShade="80"/>
                    <w:right w:val="nil"/>
                  </w:tcBorders>
                  <w:shd w:val="clear" w:color="auto" w:fill="auto"/>
                  <w:hideMark/>
                </w:tcPr>
                <w:p w:rsidR="006C1E26" w:rsidRPr="0056450F" w:rsidRDefault="006C1E26" w:rsidP="00F74206">
                  <w:pPr>
                    <w:spacing w:before="40" w:after="40"/>
                    <w:rPr>
                      <w:rFonts w:ascii="Arial" w:hAnsi="Arial" w:cs="Arial"/>
                      <w:sz w:val="16"/>
                      <w:szCs w:val="16"/>
                      <w:lang w:val="sr-Latn-RS"/>
                    </w:rPr>
                  </w:pPr>
                  <w:r w:rsidRPr="0056450F">
                    <w:rPr>
                      <w:rFonts w:ascii="Arial" w:hAnsi="Arial" w:cs="Arial"/>
                      <w:sz w:val="16"/>
                      <w:szCs w:val="16"/>
                      <w:lang w:val="sr-Latn-RS"/>
                    </w:rPr>
                    <w:t>Life expectancy</w:t>
                  </w:r>
                </w:p>
              </w:tc>
              <w:tc>
                <w:tcPr>
                  <w:tcW w:w="686" w:type="dxa"/>
                  <w:tcBorders>
                    <w:top w:val="single" w:sz="4" w:space="0" w:color="D9D9D9" w:themeColor="background1" w:themeShade="D9"/>
                    <w:left w:val="nil"/>
                    <w:bottom w:val="single" w:sz="4" w:space="0" w:color="808080" w:themeColor="background1" w:themeShade="80"/>
                    <w:right w:val="nil"/>
                  </w:tcBorders>
                  <w:shd w:val="clear" w:color="auto" w:fill="auto"/>
                  <w:hideMark/>
                </w:tcPr>
                <w:p w:rsidR="006C1E26" w:rsidRPr="0056450F" w:rsidRDefault="006C1E26" w:rsidP="00F74206">
                  <w:pPr>
                    <w:spacing w:before="40" w:after="40"/>
                    <w:jc w:val="right"/>
                    <w:rPr>
                      <w:rFonts w:ascii="Arial" w:hAnsi="Arial" w:cs="Arial"/>
                      <w:sz w:val="16"/>
                      <w:szCs w:val="16"/>
                      <w:lang w:val="sr-Latn-RS"/>
                    </w:rPr>
                  </w:pPr>
                  <w:r w:rsidRPr="0056450F">
                    <w:rPr>
                      <w:rFonts w:ascii="Arial" w:hAnsi="Arial" w:cs="Arial"/>
                      <w:sz w:val="16"/>
                      <w:szCs w:val="16"/>
                      <w:lang w:val="sr-Latn-RS"/>
                    </w:rPr>
                    <w:t>72.3</w:t>
                  </w:r>
                </w:p>
              </w:tc>
              <w:tc>
                <w:tcPr>
                  <w:tcW w:w="687" w:type="dxa"/>
                  <w:tcBorders>
                    <w:top w:val="single" w:sz="4" w:space="0" w:color="D9D9D9" w:themeColor="background1" w:themeShade="D9"/>
                    <w:left w:val="nil"/>
                    <w:bottom w:val="single" w:sz="4" w:space="0" w:color="808080" w:themeColor="background1" w:themeShade="80"/>
                    <w:right w:val="nil"/>
                  </w:tcBorders>
                  <w:shd w:val="clear" w:color="auto" w:fill="auto"/>
                  <w:hideMark/>
                </w:tcPr>
                <w:p w:rsidR="006C1E26" w:rsidRPr="0056450F" w:rsidRDefault="006C1E26" w:rsidP="00F74206">
                  <w:pPr>
                    <w:spacing w:before="40" w:after="40"/>
                    <w:jc w:val="right"/>
                    <w:rPr>
                      <w:rFonts w:ascii="Arial" w:hAnsi="Arial" w:cs="Arial"/>
                      <w:sz w:val="16"/>
                      <w:szCs w:val="16"/>
                      <w:lang w:val="sr-Latn-RS"/>
                    </w:rPr>
                  </w:pPr>
                  <w:r w:rsidRPr="0056450F">
                    <w:rPr>
                      <w:rFonts w:ascii="Arial" w:hAnsi="Arial" w:cs="Arial"/>
                      <w:sz w:val="16"/>
                      <w:szCs w:val="16"/>
                      <w:lang w:val="sr-Latn-RS"/>
                    </w:rPr>
                    <w:t>74.2</w:t>
                  </w:r>
                </w:p>
              </w:tc>
              <w:tc>
                <w:tcPr>
                  <w:tcW w:w="687" w:type="dxa"/>
                  <w:tcBorders>
                    <w:top w:val="single" w:sz="4" w:space="0" w:color="D9D9D9" w:themeColor="background1" w:themeShade="D9"/>
                    <w:left w:val="nil"/>
                    <w:bottom w:val="single" w:sz="4" w:space="0" w:color="808080" w:themeColor="background1" w:themeShade="80"/>
                    <w:right w:val="nil"/>
                  </w:tcBorders>
                  <w:shd w:val="clear" w:color="auto" w:fill="auto"/>
                  <w:hideMark/>
                </w:tcPr>
                <w:p w:rsidR="006C1E26" w:rsidRPr="0056450F" w:rsidRDefault="006C1E26" w:rsidP="00F74206">
                  <w:pPr>
                    <w:spacing w:before="40" w:after="40"/>
                    <w:jc w:val="right"/>
                    <w:rPr>
                      <w:rFonts w:ascii="Arial" w:hAnsi="Arial" w:cs="Arial"/>
                      <w:sz w:val="16"/>
                      <w:szCs w:val="16"/>
                      <w:lang w:val="sr-Latn-RS"/>
                    </w:rPr>
                  </w:pPr>
                  <w:r w:rsidRPr="0056450F">
                    <w:rPr>
                      <w:rFonts w:ascii="Arial" w:hAnsi="Arial" w:cs="Arial"/>
                      <w:sz w:val="16"/>
                      <w:szCs w:val="16"/>
                      <w:lang w:val="sr-Latn-RS"/>
                    </w:rPr>
                    <w:t>75.4</w:t>
                  </w:r>
                </w:p>
              </w:tc>
              <w:tc>
                <w:tcPr>
                  <w:tcW w:w="687" w:type="dxa"/>
                  <w:tcBorders>
                    <w:top w:val="single" w:sz="4" w:space="0" w:color="D9D9D9" w:themeColor="background1" w:themeShade="D9"/>
                    <w:left w:val="nil"/>
                    <w:bottom w:val="single" w:sz="4" w:space="0" w:color="808080" w:themeColor="background1" w:themeShade="80"/>
                    <w:right w:val="nil"/>
                  </w:tcBorders>
                  <w:shd w:val="clear" w:color="auto" w:fill="auto"/>
                  <w:hideMark/>
                </w:tcPr>
                <w:p w:rsidR="006C1E26" w:rsidRPr="0056450F" w:rsidRDefault="006C1E26" w:rsidP="00F74206">
                  <w:pPr>
                    <w:spacing w:before="40" w:after="40"/>
                    <w:jc w:val="right"/>
                    <w:rPr>
                      <w:rFonts w:ascii="Arial" w:hAnsi="Arial" w:cs="Arial"/>
                      <w:sz w:val="16"/>
                      <w:szCs w:val="16"/>
                      <w:lang w:val="sr-Latn-RS"/>
                    </w:rPr>
                  </w:pPr>
                  <w:r w:rsidRPr="0056450F">
                    <w:rPr>
                      <w:rFonts w:ascii="Arial" w:hAnsi="Arial" w:cs="Arial"/>
                      <w:sz w:val="16"/>
                      <w:szCs w:val="16"/>
                      <w:lang w:val="sr-Latn-RS"/>
                    </w:rPr>
                    <w:t>75.6</w:t>
                  </w:r>
                </w:p>
              </w:tc>
              <w:tc>
                <w:tcPr>
                  <w:tcW w:w="687" w:type="dxa"/>
                  <w:tcBorders>
                    <w:top w:val="single" w:sz="4" w:space="0" w:color="D9D9D9" w:themeColor="background1" w:themeShade="D9"/>
                    <w:left w:val="nil"/>
                    <w:bottom w:val="single" w:sz="4" w:space="0" w:color="808080" w:themeColor="background1" w:themeShade="80"/>
                    <w:right w:val="nil"/>
                  </w:tcBorders>
                  <w:shd w:val="clear" w:color="auto" w:fill="auto"/>
                  <w:hideMark/>
                </w:tcPr>
                <w:p w:rsidR="006C1E26" w:rsidRPr="0056450F" w:rsidRDefault="006C1E26" w:rsidP="00F74206">
                  <w:pPr>
                    <w:spacing w:before="40" w:after="40"/>
                    <w:jc w:val="right"/>
                    <w:rPr>
                      <w:rFonts w:ascii="Arial" w:hAnsi="Arial" w:cs="Arial"/>
                      <w:sz w:val="16"/>
                      <w:szCs w:val="16"/>
                      <w:lang w:val="sr-Latn-RS"/>
                    </w:rPr>
                  </w:pPr>
                  <w:r w:rsidRPr="0056450F">
                    <w:rPr>
                      <w:rFonts w:ascii="Arial" w:hAnsi="Arial" w:cs="Arial"/>
                      <w:sz w:val="16"/>
                      <w:szCs w:val="16"/>
                      <w:lang w:val="sr-Latn-RS"/>
                    </w:rPr>
                    <w:t>75.7</w:t>
                  </w:r>
                </w:p>
              </w:tc>
            </w:tr>
          </w:tbl>
          <w:p w:rsidR="00903BC9" w:rsidRPr="0056450F" w:rsidRDefault="00903BC9" w:rsidP="00AD6D4C">
            <w:pPr>
              <w:rPr>
                <w:rFonts w:ascii="Arial" w:hAnsi="Arial" w:cs="Arial"/>
                <w:sz w:val="20"/>
                <w:szCs w:val="20"/>
                <w:lang w:val="sr-Latn-RS"/>
              </w:rPr>
            </w:pPr>
          </w:p>
        </w:tc>
      </w:tr>
    </w:tbl>
    <w:p w:rsidR="00903BC9" w:rsidRPr="0056450F" w:rsidRDefault="00903BC9" w:rsidP="00E2275B">
      <w:pPr>
        <w:jc w:val="center"/>
        <w:rPr>
          <w:rFonts w:ascii="Arial" w:hAnsi="Arial" w:cs="Arial"/>
          <w:b/>
          <w:bCs/>
          <w:sz w:val="20"/>
          <w:szCs w:val="20"/>
          <w:lang w:val="sr-Latn-RS"/>
        </w:rPr>
      </w:pPr>
    </w:p>
    <w:p w:rsidR="00482819" w:rsidRPr="0056450F" w:rsidRDefault="00482819" w:rsidP="00E2275B">
      <w:pPr>
        <w:spacing w:before="120"/>
        <w:jc w:val="both"/>
        <w:rPr>
          <w:rFonts w:ascii="Arial" w:hAnsi="Arial" w:cs="Arial"/>
          <w:sz w:val="20"/>
          <w:szCs w:val="20"/>
          <w:lang w:val="sr-Latn-RS"/>
        </w:rPr>
      </w:pPr>
      <w:r w:rsidRPr="0056450F">
        <w:rPr>
          <w:rFonts w:ascii="Arial" w:hAnsi="Arial" w:cs="Arial"/>
          <w:sz w:val="20"/>
          <w:szCs w:val="20"/>
          <w:lang w:val="sr-Latn-RS"/>
        </w:rPr>
        <w:t>In the period 2002-201</w:t>
      </w:r>
      <w:r w:rsidR="00906C37" w:rsidRPr="0056450F">
        <w:rPr>
          <w:rFonts w:ascii="Arial" w:hAnsi="Arial" w:cs="Arial"/>
          <w:sz w:val="20"/>
          <w:szCs w:val="20"/>
          <w:lang w:val="sr-Latn-RS"/>
        </w:rPr>
        <w:t>9</w:t>
      </w:r>
      <w:r w:rsidRPr="0056450F">
        <w:rPr>
          <w:rFonts w:ascii="Arial" w:hAnsi="Arial" w:cs="Arial"/>
          <w:sz w:val="20"/>
          <w:szCs w:val="20"/>
          <w:lang w:val="sr-Latn-RS"/>
        </w:rPr>
        <w:t xml:space="preserve"> the share of persons under </w:t>
      </w:r>
      <w:r w:rsidR="00F0420E" w:rsidRPr="0056450F">
        <w:rPr>
          <w:rFonts w:ascii="Arial" w:hAnsi="Arial" w:cs="Arial"/>
          <w:sz w:val="20"/>
          <w:szCs w:val="20"/>
          <w:lang w:val="sr-Latn-RS"/>
        </w:rPr>
        <w:t>the age of 15 decreased from 16.</w:t>
      </w:r>
      <w:r w:rsidRPr="0056450F">
        <w:rPr>
          <w:rFonts w:ascii="Arial" w:hAnsi="Arial" w:cs="Arial"/>
          <w:sz w:val="20"/>
          <w:szCs w:val="20"/>
          <w:lang w:val="sr-Latn-RS"/>
        </w:rPr>
        <w:t xml:space="preserve">1% to 14.3%, while at the same time the share of </w:t>
      </w:r>
      <w:r w:rsidR="009D662B" w:rsidRPr="0056450F">
        <w:rPr>
          <w:rFonts w:ascii="Arial" w:hAnsi="Arial" w:cs="Arial"/>
          <w:sz w:val="20"/>
          <w:szCs w:val="20"/>
          <w:lang w:val="sr-Latn-RS"/>
        </w:rPr>
        <w:t>old persons</w:t>
      </w:r>
      <w:r w:rsidRPr="0056450F">
        <w:rPr>
          <w:rFonts w:ascii="Arial" w:hAnsi="Arial" w:cs="Arial"/>
          <w:sz w:val="20"/>
          <w:szCs w:val="20"/>
          <w:lang w:val="sr-Latn-RS"/>
        </w:rPr>
        <w:t xml:space="preserve"> (65 years and ov</w:t>
      </w:r>
      <w:r w:rsidR="00906C37" w:rsidRPr="0056450F">
        <w:rPr>
          <w:rFonts w:ascii="Arial" w:hAnsi="Arial" w:cs="Arial"/>
          <w:sz w:val="20"/>
          <w:szCs w:val="20"/>
          <w:lang w:val="sr-Latn-RS"/>
        </w:rPr>
        <w:t>er) increased from 16,6% to 20.7</w:t>
      </w:r>
      <w:r w:rsidRPr="0056450F">
        <w:rPr>
          <w:rFonts w:ascii="Arial" w:hAnsi="Arial" w:cs="Arial"/>
          <w:sz w:val="20"/>
          <w:szCs w:val="20"/>
          <w:lang w:val="sr-Latn-RS"/>
        </w:rPr>
        <w:t>%. The proportion of female fertile population (15-49 years) in the total populatio</w:t>
      </w:r>
      <w:r w:rsidR="00906C37" w:rsidRPr="0056450F">
        <w:rPr>
          <w:rFonts w:ascii="Arial" w:hAnsi="Arial" w:cs="Arial"/>
          <w:sz w:val="20"/>
          <w:szCs w:val="20"/>
          <w:lang w:val="sr-Latn-RS"/>
        </w:rPr>
        <w:t>n in the same period fell by 2.4</w:t>
      </w:r>
      <w:r w:rsidRPr="0056450F">
        <w:rPr>
          <w:rFonts w:ascii="Arial" w:hAnsi="Arial" w:cs="Arial"/>
          <w:sz w:val="20"/>
          <w:szCs w:val="20"/>
          <w:lang w:val="sr-Latn-RS"/>
        </w:rPr>
        <w:t>%.</w:t>
      </w:r>
    </w:p>
    <w:p w:rsidR="00482819" w:rsidRPr="0056450F" w:rsidRDefault="00482819" w:rsidP="00E2275B">
      <w:pPr>
        <w:spacing w:before="120"/>
        <w:jc w:val="both"/>
        <w:rPr>
          <w:rFonts w:ascii="Arial" w:hAnsi="Arial" w:cs="Arial"/>
          <w:sz w:val="20"/>
          <w:szCs w:val="20"/>
          <w:lang w:val="sr-Latn-RS"/>
        </w:rPr>
      </w:pPr>
      <w:r w:rsidRPr="0056450F">
        <w:rPr>
          <w:rFonts w:ascii="Arial" w:hAnsi="Arial" w:cs="Arial"/>
          <w:sz w:val="20"/>
          <w:szCs w:val="20"/>
          <w:lang w:val="sr-Latn-RS"/>
        </w:rPr>
        <w:t>Such trends affect</w:t>
      </w:r>
      <w:r w:rsidR="00811992" w:rsidRPr="0056450F">
        <w:rPr>
          <w:rFonts w:ascii="Arial" w:hAnsi="Arial" w:cs="Arial"/>
          <w:sz w:val="20"/>
          <w:szCs w:val="20"/>
          <w:lang w:val="sr-Latn-RS"/>
        </w:rPr>
        <w:t>ed</w:t>
      </w:r>
      <w:r w:rsidRPr="0056450F">
        <w:rPr>
          <w:rFonts w:ascii="Arial" w:hAnsi="Arial" w:cs="Arial"/>
          <w:sz w:val="20"/>
          <w:szCs w:val="20"/>
          <w:lang w:val="sr-Latn-RS"/>
        </w:rPr>
        <w:t xml:space="preserve"> also the decline of the share of the working-age population aged 15-64 in the total population from 67</w:t>
      </w:r>
      <w:r w:rsidR="00F0420E" w:rsidRPr="0056450F">
        <w:rPr>
          <w:rFonts w:ascii="Arial" w:hAnsi="Arial" w:cs="Arial"/>
          <w:sz w:val="20"/>
          <w:szCs w:val="20"/>
          <w:lang w:val="sr-Latn-RS"/>
        </w:rPr>
        <w:t>.3</w:t>
      </w:r>
      <w:r w:rsidRPr="0056450F">
        <w:rPr>
          <w:rFonts w:ascii="Arial" w:hAnsi="Arial" w:cs="Arial"/>
          <w:sz w:val="20"/>
          <w:szCs w:val="20"/>
          <w:lang w:val="sr-Latn-RS"/>
        </w:rPr>
        <w:t>% (2002) to 65.</w:t>
      </w:r>
      <w:r w:rsidR="00906C37" w:rsidRPr="0056450F">
        <w:rPr>
          <w:rFonts w:ascii="Arial" w:hAnsi="Arial" w:cs="Arial"/>
          <w:sz w:val="20"/>
          <w:szCs w:val="20"/>
          <w:lang w:val="sr-Latn-RS"/>
        </w:rPr>
        <w:t>0</w:t>
      </w:r>
      <w:r w:rsidRPr="0056450F">
        <w:rPr>
          <w:rFonts w:ascii="Arial" w:hAnsi="Arial" w:cs="Arial"/>
          <w:sz w:val="20"/>
          <w:szCs w:val="20"/>
          <w:lang w:val="sr-Latn-RS"/>
        </w:rPr>
        <w:t>% (201</w:t>
      </w:r>
      <w:r w:rsidR="00906C37" w:rsidRPr="0056450F">
        <w:rPr>
          <w:rFonts w:ascii="Arial" w:hAnsi="Arial" w:cs="Arial"/>
          <w:sz w:val="20"/>
          <w:szCs w:val="20"/>
          <w:lang w:val="sr-Latn-RS"/>
        </w:rPr>
        <w:t>9</w:t>
      </w:r>
      <w:r w:rsidRPr="0056450F">
        <w:rPr>
          <w:rFonts w:ascii="Arial" w:hAnsi="Arial" w:cs="Arial"/>
          <w:sz w:val="20"/>
          <w:szCs w:val="20"/>
          <w:lang w:val="sr-Latn-RS"/>
        </w:rPr>
        <w:t xml:space="preserve">). In the same time interval, the average population age increased </w:t>
      </w:r>
      <w:r w:rsidR="00811992" w:rsidRPr="0056450F">
        <w:rPr>
          <w:rFonts w:ascii="Arial" w:hAnsi="Arial" w:cs="Arial"/>
          <w:sz w:val="20"/>
          <w:szCs w:val="20"/>
          <w:lang w:val="sr-Latn-RS"/>
        </w:rPr>
        <w:t>b</w:t>
      </w:r>
      <w:r w:rsidR="00906C37" w:rsidRPr="0056450F">
        <w:rPr>
          <w:rFonts w:ascii="Arial" w:hAnsi="Arial" w:cs="Arial"/>
          <w:sz w:val="20"/>
          <w:szCs w:val="20"/>
          <w:lang w:val="sr-Latn-RS"/>
        </w:rPr>
        <w:t>y three years, from 40.2 to 43.3</w:t>
      </w:r>
      <w:r w:rsidR="00811992" w:rsidRPr="0056450F">
        <w:rPr>
          <w:rFonts w:ascii="Arial" w:hAnsi="Arial" w:cs="Arial"/>
          <w:sz w:val="20"/>
          <w:szCs w:val="20"/>
          <w:lang w:val="sr-Latn-RS"/>
        </w:rPr>
        <w:t xml:space="preserve"> years. The increase in the number of </w:t>
      </w:r>
      <w:r w:rsidR="00B10A48" w:rsidRPr="0056450F">
        <w:rPr>
          <w:rFonts w:ascii="Arial" w:hAnsi="Arial" w:cs="Arial"/>
          <w:sz w:val="20"/>
          <w:szCs w:val="20"/>
          <w:lang w:val="sr-Latn-RS"/>
        </w:rPr>
        <w:t xml:space="preserve">elderly </w:t>
      </w:r>
      <w:r w:rsidR="00811992" w:rsidRPr="0056450F">
        <w:rPr>
          <w:rFonts w:ascii="Arial" w:hAnsi="Arial" w:cs="Arial"/>
          <w:sz w:val="20"/>
          <w:szCs w:val="20"/>
          <w:lang w:val="sr-Latn-RS"/>
        </w:rPr>
        <w:t xml:space="preserve">was also affected by </w:t>
      </w:r>
      <w:r w:rsidR="00B10A48" w:rsidRPr="0056450F">
        <w:rPr>
          <w:rFonts w:ascii="Arial" w:hAnsi="Arial" w:cs="Arial"/>
          <w:sz w:val="20"/>
          <w:szCs w:val="20"/>
          <w:lang w:val="sr-Latn-RS"/>
        </w:rPr>
        <w:t xml:space="preserve">the extension of </w:t>
      </w:r>
      <w:r w:rsidR="00811992" w:rsidRPr="0056450F">
        <w:rPr>
          <w:rFonts w:ascii="Arial" w:hAnsi="Arial" w:cs="Arial"/>
          <w:sz w:val="20"/>
          <w:szCs w:val="20"/>
          <w:lang w:val="sr-Latn-RS"/>
        </w:rPr>
        <w:t>life expectancy, being 3.</w:t>
      </w:r>
      <w:r w:rsidR="00906C37" w:rsidRPr="0056450F">
        <w:rPr>
          <w:rFonts w:ascii="Arial" w:hAnsi="Arial" w:cs="Arial"/>
          <w:sz w:val="20"/>
          <w:szCs w:val="20"/>
          <w:lang w:val="sr-Latn-RS"/>
        </w:rPr>
        <w:t>4</w:t>
      </w:r>
      <w:r w:rsidR="00811992" w:rsidRPr="0056450F">
        <w:rPr>
          <w:rFonts w:ascii="Arial" w:hAnsi="Arial" w:cs="Arial"/>
          <w:sz w:val="20"/>
          <w:szCs w:val="20"/>
          <w:lang w:val="sr-Latn-RS"/>
        </w:rPr>
        <w:t xml:space="preserve"> year</w:t>
      </w:r>
      <w:r w:rsidR="00EB0ACA" w:rsidRPr="0056450F">
        <w:rPr>
          <w:rFonts w:ascii="Arial" w:hAnsi="Arial" w:cs="Arial"/>
          <w:sz w:val="20"/>
          <w:szCs w:val="20"/>
          <w:lang w:val="sr-Latn-RS"/>
        </w:rPr>
        <w:t>s</w:t>
      </w:r>
      <w:r w:rsidR="00811992" w:rsidRPr="0056450F">
        <w:rPr>
          <w:rFonts w:ascii="Arial" w:hAnsi="Arial" w:cs="Arial"/>
          <w:sz w:val="20"/>
          <w:szCs w:val="20"/>
          <w:lang w:val="sr-Latn-RS"/>
        </w:rPr>
        <w:t xml:space="preserve"> for the total population, from 72.3 years in 2002 to 75.</w:t>
      </w:r>
      <w:r w:rsidR="00906C37" w:rsidRPr="0056450F">
        <w:rPr>
          <w:rFonts w:ascii="Arial" w:hAnsi="Arial" w:cs="Arial"/>
          <w:sz w:val="20"/>
          <w:szCs w:val="20"/>
          <w:lang w:val="sr-Latn-RS"/>
        </w:rPr>
        <w:t>7 years in 2019</w:t>
      </w:r>
      <w:r w:rsidR="00811992" w:rsidRPr="0056450F">
        <w:rPr>
          <w:rFonts w:ascii="Arial" w:hAnsi="Arial" w:cs="Arial"/>
          <w:sz w:val="20"/>
          <w:szCs w:val="20"/>
          <w:lang w:val="sr-Latn-RS"/>
        </w:rPr>
        <w:t>.</w:t>
      </w:r>
    </w:p>
    <w:p w:rsidR="00977AC7" w:rsidRPr="0056450F" w:rsidRDefault="00977AC7" w:rsidP="00E2275B">
      <w:pPr>
        <w:spacing w:before="120"/>
        <w:jc w:val="both"/>
        <w:rPr>
          <w:rFonts w:ascii="Arial" w:hAnsi="Arial" w:cs="Arial"/>
          <w:b/>
          <w:sz w:val="20"/>
          <w:szCs w:val="20"/>
          <w:lang w:val="sr-Latn-RS"/>
        </w:rPr>
      </w:pPr>
    </w:p>
    <w:p w:rsidR="00811992" w:rsidRPr="0056450F" w:rsidRDefault="00811992" w:rsidP="00E2275B">
      <w:pPr>
        <w:spacing w:before="120"/>
        <w:jc w:val="both"/>
        <w:rPr>
          <w:rFonts w:ascii="Arial" w:hAnsi="Arial" w:cs="Arial"/>
          <w:b/>
          <w:sz w:val="20"/>
          <w:szCs w:val="20"/>
          <w:lang w:val="sr-Latn-RS"/>
        </w:rPr>
      </w:pPr>
      <w:r w:rsidRPr="0056450F">
        <w:rPr>
          <w:rFonts w:ascii="Arial" w:hAnsi="Arial" w:cs="Arial"/>
          <w:b/>
          <w:sz w:val="20"/>
          <w:szCs w:val="20"/>
          <w:lang w:val="sr-Latn-RS"/>
        </w:rPr>
        <w:t>Population by type of settlements</w:t>
      </w:r>
    </w:p>
    <w:p w:rsidR="00811992" w:rsidRPr="0056450F" w:rsidRDefault="00811992" w:rsidP="00E2275B">
      <w:pPr>
        <w:spacing w:before="120"/>
        <w:jc w:val="both"/>
        <w:rPr>
          <w:rFonts w:ascii="Arial" w:hAnsi="Arial" w:cs="Arial"/>
          <w:sz w:val="20"/>
          <w:szCs w:val="20"/>
          <w:lang w:val="sr-Latn-RS"/>
        </w:rPr>
      </w:pPr>
      <w:r w:rsidRPr="0056450F">
        <w:rPr>
          <w:rFonts w:ascii="Arial" w:hAnsi="Arial" w:cs="Arial"/>
          <w:sz w:val="20"/>
          <w:szCs w:val="20"/>
          <w:lang w:val="sr-Latn-RS"/>
        </w:rPr>
        <w:t>Population estimates by type of settlements show that urban population (6</w:t>
      </w:r>
      <w:r w:rsidR="00906C37" w:rsidRPr="0056450F">
        <w:rPr>
          <w:rFonts w:ascii="Arial" w:hAnsi="Arial" w:cs="Arial"/>
          <w:sz w:val="20"/>
          <w:szCs w:val="20"/>
          <w:lang w:val="sr-Latn-RS"/>
        </w:rPr>
        <w:t>1.0</w:t>
      </w:r>
      <w:r w:rsidRPr="0056450F">
        <w:rPr>
          <w:rFonts w:ascii="Arial" w:hAnsi="Arial" w:cs="Arial"/>
          <w:sz w:val="20"/>
          <w:szCs w:val="20"/>
          <w:lang w:val="sr-Latn-RS"/>
        </w:rPr>
        <w:t xml:space="preserve">%) is </w:t>
      </w:r>
      <w:r w:rsidR="00EB0ACA" w:rsidRPr="0056450F">
        <w:rPr>
          <w:rFonts w:ascii="Arial" w:hAnsi="Arial" w:cs="Arial"/>
          <w:sz w:val="20"/>
          <w:szCs w:val="20"/>
          <w:lang w:val="sr-Latn-RS"/>
        </w:rPr>
        <w:t>prevailing</w:t>
      </w:r>
      <w:r w:rsidRPr="0056450F">
        <w:rPr>
          <w:rFonts w:ascii="Arial" w:hAnsi="Arial" w:cs="Arial"/>
          <w:sz w:val="20"/>
          <w:szCs w:val="20"/>
          <w:lang w:val="sr-Latn-RS"/>
        </w:rPr>
        <w:t xml:space="preserve"> in the Republic of Serbia. Urban population is demographically younger tha</w:t>
      </w:r>
      <w:r w:rsidR="0043479E" w:rsidRPr="0056450F">
        <w:rPr>
          <w:rFonts w:ascii="Arial" w:hAnsi="Arial" w:cs="Arial"/>
          <w:sz w:val="20"/>
          <w:szCs w:val="20"/>
          <w:lang w:val="sr-Latn-RS"/>
        </w:rPr>
        <w:t>n</w:t>
      </w:r>
      <w:r w:rsidRPr="0056450F">
        <w:rPr>
          <w:rFonts w:ascii="Arial" w:hAnsi="Arial" w:cs="Arial"/>
          <w:sz w:val="20"/>
          <w:szCs w:val="20"/>
          <w:lang w:val="sr-Latn-RS"/>
        </w:rPr>
        <w:t xml:space="preserve"> the population in other settlements. The average age of the urban population is </w:t>
      </w:r>
      <w:r w:rsidR="00BC45EC" w:rsidRPr="0056450F">
        <w:rPr>
          <w:rFonts w:ascii="Arial" w:hAnsi="Arial" w:cs="Arial"/>
          <w:sz w:val="20"/>
          <w:szCs w:val="20"/>
          <w:lang w:val="sr-Latn-RS"/>
        </w:rPr>
        <w:t>low</w:t>
      </w:r>
      <w:r w:rsidRPr="0056450F">
        <w:rPr>
          <w:rFonts w:ascii="Arial" w:hAnsi="Arial" w:cs="Arial"/>
          <w:sz w:val="20"/>
          <w:szCs w:val="20"/>
          <w:lang w:val="sr-Latn-RS"/>
        </w:rPr>
        <w:t>er than that of the population in so-called other se</w:t>
      </w:r>
      <w:r w:rsidR="006E1BE1" w:rsidRPr="0056450F">
        <w:rPr>
          <w:rFonts w:ascii="Arial" w:hAnsi="Arial" w:cs="Arial"/>
          <w:sz w:val="20"/>
          <w:szCs w:val="20"/>
          <w:lang w:val="sr-Latn-RS"/>
        </w:rPr>
        <w:t>ttlements by 2.6 year</w:t>
      </w:r>
      <w:r w:rsidR="009D662B" w:rsidRPr="0056450F">
        <w:rPr>
          <w:rFonts w:ascii="Arial" w:hAnsi="Arial" w:cs="Arial"/>
          <w:sz w:val="20"/>
          <w:szCs w:val="20"/>
          <w:lang w:val="sr-Latn-RS"/>
        </w:rPr>
        <w:t>s</w:t>
      </w:r>
      <w:r w:rsidR="006E1BE1" w:rsidRPr="0056450F">
        <w:rPr>
          <w:rFonts w:ascii="Arial" w:hAnsi="Arial" w:cs="Arial"/>
          <w:sz w:val="20"/>
          <w:szCs w:val="20"/>
          <w:lang w:val="sr-Latn-RS"/>
        </w:rPr>
        <w:t>.</w:t>
      </w:r>
    </w:p>
    <w:p w:rsidR="00232800" w:rsidRPr="0056450F" w:rsidRDefault="00232800" w:rsidP="00232800">
      <w:pPr>
        <w:spacing w:before="120"/>
        <w:jc w:val="both"/>
        <w:rPr>
          <w:rFonts w:ascii="Arial" w:hAnsi="Arial" w:cs="Arial"/>
          <w:sz w:val="20"/>
          <w:szCs w:val="20"/>
          <w:lang w:val="sr-Latn-RS"/>
        </w:rPr>
      </w:pPr>
      <w:r w:rsidRPr="00232800">
        <w:rPr>
          <w:rFonts w:ascii="Arial" w:hAnsi="Arial" w:cs="Arial"/>
          <w:sz w:val="20"/>
          <w:szCs w:val="20"/>
          <w:lang w:val="sr-Latn-RS"/>
        </w:rPr>
        <w:t>The various age structures of population by type of settlement were caused by the differences in fertility and mortality, however primarily by the differences regarding the direction and scope of migratory movements.</w:t>
      </w:r>
    </w:p>
    <w:p w:rsidR="007F46C9" w:rsidRPr="0056450F" w:rsidRDefault="007F46C9" w:rsidP="00275B3C">
      <w:pPr>
        <w:rPr>
          <w:rFonts w:ascii="Arial" w:hAnsi="Arial" w:cs="Arial"/>
          <w:b/>
          <w:bCs/>
          <w:sz w:val="20"/>
          <w:szCs w:val="20"/>
          <w:lang w:val="sr-Latn-RS"/>
        </w:rPr>
      </w:pPr>
    </w:p>
    <w:p w:rsidR="00903BC9" w:rsidRPr="0056450F" w:rsidRDefault="00903BC9" w:rsidP="00903BC9">
      <w:pPr>
        <w:spacing w:before="120"/>
        <w:jc w:val="both"/>
        <w:rPr>
          <w:rFonts w:ascii="Arial" w:hAnsi="Arial" w:cs="Arial"/>
          <w:sz w:val="20"/>
          <w:szCs w:val="20"/>
          <w:lang w:val="sr-Latn-RS"/>
        </w:rPr>
      </w:pPr>
      <w:r w:rsidRPr="0056450F">
        <w:rPr>
          <w:rFonts w:ascii="Arial" w:hAnsi="Arial" w:cs="Arial"/>
          <w:sz w:val="20"/>
          <w:szCs w:val="20"/>
          <w:lang w:val="sr-Latn-RS"/>
        </w:rPr>
        <w:t>Та</w:t>
      </w:r>
      <w:r w:rsidR="006E1BE1" w:rsidRPr="0056450F">
        <w:rPr>
          <w:rFonts w:ascii="Arial" w:hAnsi="Arial" w:cs="Arial"/>
          <w:sz w:val="20"/>
          <w:szCs w:val="20"/>
          <w:lang w:val="sr-Latn-RS"/>
        </w:rPr>
        <w:t>ble</w:t>
      </w:r>
      <w:r w:rsidRPr="0056450F">
        <w:rPr>
          <w:rFonts w:ascii="Arial" w:hAnsi="Arial" w:cs="Arial"/>
          <w:sz w:val="20"/>
          <w:szCs w:val="20"/>
          <w:lang w:val="sr-Latn-RS"/>
        </w:rPr>
        <w:t xml:space="preserve"> 3. </w:t>
      </w:r>
      <w:r w:rsidR="006E1BE1" w:rsidRPr="0056450F">
        <w:rPr>
          <w:rFonts w:ascii="Arial" w:hAnsi="Arial" w:cs="Arial"/>
          <w:sz w:val="20"/>
          <w:szCs w:val="20"/>
          <w:lang w:val="sr-Latn-RS"/>
        </w:rPr>
        <w:t>Population by type of settlements</w:t>
      </w:r>
    </w:p>
    <w:tbl>
      <w:tblPr>
        <w:tblW w:w="10211" w:type="dxa"/>
        <w:tblLayout w:type="fixed"/>
        <w:tblCellMar>
          <w:left w:w="28" w:type="dxa"/>
          <w:right w:w="28" w:type="dxa"/>
        </w:tblCellMar>
        <w:tblLook w:val="04A0" w:firstRow="1" w:lastRow="0" w:firstColumn="1" w:lastColumn="0" w:noHBand="0" w:noVBand="1"/>
      </w:tblPr>
      <w:tblGrid>
        <w:gridCol w:w="2552"/>
        <w:gridCol w:w="851"/>
        <w:gridCol w:w="851"/>
        <w:gridCol w:w="851"/>
        <w:gridCol w:w="851"/>
        <w:gridCol w:w="851"/>
        <w:gridCol w:w="851"/>
        <w:gridCol w:w="851"/>
        <w:gridCol w:w="851"/>
        <w:gridCol w:w="851"/>
      </w:tblGrid>
      <w:tr w:rsidR="002F5E7B" w:rsidRPr="0056450F" w:rsidTr="00AD6D4C">
        <w:trPr>
          <w:trHeight w:val="20"/>
        </w:trPr>
        <w:tc>
          <w:tcPr>
            <w:tcW w:w="2552" w:type="dxa"/>
            <w:vMerge w:val="restart"/>
            <w:tcBorders>
              <w:top w:val="single" w:sz="4" w:space="0" w:color="808080" w:themeColor="background1" w:themeShade="80"/>
              <w:left w:val="nil"/>
              <w:right w:val="single" w:sz="4" w:space="0" w:color="808080" w:themeColor="background1" w:themeShade="80"/>
            </w:tcBorders>
            <w:shd w:val="clear" w:color="auto" w:fill="F2F2F2" w:themeFill="background1" w:themeFillShade="F2"/>
            <w:vAlign w:val="center"/>
          </w:tcPr>
          <w:p w:rsidR="00903BC9" w:rsidRPr="0056450F" w:rsidRDefault="00903BC9" w:rsidP="00AD6D4C">
            <w:pPr>
              <w:spacing w:before="60" w:afterLines="60" w:after="144"/>
              <w:rPr>
                <w:rFonts w:ascii="Arial" w:hAnsi="Arial" w:cs="Arial"/>
                <w:sz w:val="16"/>
                <w:szCs w:val="16"/>
                <w:lang w:val="sr-Latn-RS"/>
              </w:rPr>
            </w:pPr>
            <w:r w:rsidRPr="0056450F">
              <w:rPr>
                <w:rFonts w:ascii="Arial" w:hAnsi="Arial" w:cs="Arial"/>
                <w:sz w:val="16"/>
                <w:szCs w:val="16"/>
                <w:lang w:val="sr-Latn-RS"/>
              </w:rPr>
              <w:t> </w:t>
            </w:r>
          </w:p>
        </w:tc>
        <w:tc>
          <w:tcPr>
            <w:tcW w:w="255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bottom"/>
          </w:tcPr>
          <w:p w:rsidR="00903BC9" w:rsidRPr="0056450F" w:rsidRDefault="00903BC9"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2002</w:t>
            </w:r>
          </w:p>
        </w:tc>
        <w:tc>
          <w:tcPr>
            <w:tcW w:w="255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bottom"/>
          </w:tcPr>
          <w:p w:rsidR="00903BC9" w:rsidRPr="0056450F" w:rsidRDefault="00903BC9"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2011</w:t>
            </w:r>
          </w:p>
        </w:tc>
        <w:tc>
          <w:tcPr>
            <w:tcW w:w="2553"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bottom"/>
          </w:tcPr>
          <w:p w:rsidR="00903BC9" w:rsidRPr="0056450F" w:rsidRDefault="00903BC9" w:rsidP="006C1E26">
            <w:pPr>
              <w:spacing w:before="60" w:afterLines="60" w:after="144"/>
              <w:jc w:val="center"/>
              <w:rPr>
                <w:rFonts w:ascii="Arial" w:hAnsi="Arial" w:cs="Arial"/>
                <w:sz w:val="16"/>
                <w:szCs w:val="16"/>
                <w:lang w:val="sr-Latn-RS"/>
              </w:rPr>
            </w:pPr>
            <w:r w:rsidRPr="0056450F">
              <w:rPr>
                <w:rFonts w:ascii="Arial" w:hAnsi="Arial" w:cs="Arial"/>
                <w:sz w:val="16"/>
                <w:szCs w:val="16"/>
                <w:lang w:val="sr-Latn-RS"/>
              </w:rPr>
              <w:t>201</w:t>
            </w:r>
            <w:r w:rsidR="006C1E26" w:rsidRPr="0056450F">
              <w:rPr>
                <w:rFonts w:ascii="Arial" w:hAnsi="Arial" w:cs="Arial"/>
                <w:sz w:val="16"/>
                <w:szCs w:val="16"/>
                <w:lang w:val="sr-Latn-RS"/>
              </w:rPr>
              <w:t>9</w:t>
            </w:r>
          </w:p>
        </w:tc>
      </w:tr>
      <w:tr w:rsidR="002F5E7B" w:rsidRPr="0056450F" w:rsidTr="00AD6D4C">
        <w:trPr>
          <w:trHeight w:val="20"/>
        </w:trPr>
        <w:tc>
          <w:tcPr>
            <w:tcW w:w="2552" w:type="dxa"/>
            <w:vMerge/>
            <w:tcBorders>
              <w:left w:val="nil"/>
              <w:right w:val="single" w:sz="4" w:space="0" w:color="808080" w:themeColor="background1" w:themeShade="80"/>
            </w:tcBorders>
            <w:shd w:val="clear" w:color="auto" w:fill="F2F2F2" w:themeFill="background1" w:themeFillShade="F2"/>
            <w:vAlign w:val="center"/>
            <w:hideMark/>
          </w:tcPr>
          <w:p w:rsidR="00903BC9" w:rsidRPr="0056450F" w:rsidRDefault="00903BC9" w:rsidP="00AD6D4C">
            <w:pPr>
              <w:spacing w:before="60" w:afterLines="60" w:after="144"/>
              <w:rPr>
                <w:rFonts w:ascii="Arial" w:hAnsi="Arial" w:cs="Arial"/>
                <w:sz w:val="16"/>
                <w:szCs w:val="16"/>
                <w:lang w:val="sr-Latn-RS"/>
              </w:rPr>
            </w:pP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Total</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Urban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Other</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Total</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Urban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Other</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Total</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Urban</w:t>
            </w:r>
          </w:p>
        </w:tc>
        <w:tc>
          <w:tcPr>
            <w:tcW w:w="851"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2F2F2" w:themeFill="background1" w:themeFillShade="F2"/>
            <w:vAlign w:val="center"/>
            <w:hideMark/>
          </w:tcPr>
          <w:p w:rsidR="00903BC9" w:rsidRPr="0056450F" w:rsidRDefault="006E1BE1" w:rsidP="00AD6D4C">
            <w:pPr>
              <w:spacing w:before="60" w:afterLines="60" w:after="144"/>
              <w:jc w:val="center"/>
              <w:rPr>
                <w:rFonts w:ascii="Arial" w:hAnsi="Arial" w:cs="Arial"/>
                <w:sz w:val="16"/>
                <w:szCs w:val="16"/>
                <w:lang w:val="sr-Latn-RS"/>
              </w:rPr>
            </w:pPr>
            <w:r w:rsidRPr="0056450F">
              <w:rPr>
                <w:rFonts w:ascii="Arial" w:hAnsi="Arial" w:cs="Arial"/>
                <w:sz w:val="16"/>
                <w:szCs w:val="16"/>
                <w:lang w:val="sr-Latn-RS"/>
              </w:rPr>
              <w:t>Other</w:t>
            </w:r>
          </w:p>
        </w:tc>
      </w:tr>
      <w:tr w:rsidR="006C1E26" w:rsidRPr="0056450F" w:rsidTr="006C1E26">
        <w:trPr>
          <w:trHeight w:val="20"/>
        </w:trPr>
        <w:tc>
          <w:tcPr>
            <w:tcW w:w="2552" w:type="dxa"/>
            <w:tcBorders>
              <w:top w:val="single" w:sz="4" w:space="0" w:color="808080" w:themeColor="background1" w:themeShade="80"/>
              <w:left w:val="nil"/>
              <w:bottom w:val="single" w:sz="4" w:space="0" w:color="D9D9D9" w:themeColor="background1" w:themeShade="D9"/>
              <w:right w:val="single" w:sz="4" w:space="0" w:color="808080" w:themeColor="background1" w:themeShade="80"/>
            </w:tcBorders>
            <w:shd w:val="clear" w:color="auto" w:fill="auto"/>
            <w:vAlign w:val="bottom"/>
            <w:hideMark/>
          </w:tcPr>
          <w:p w:rsidR="006C1E26" w:rsidRPr="0056450F" w:rsidRDefault="006C1E26" w:rsidP="006C1E26">
            <w:pPr>
              <w:spacing w:before="40" w:after="40"/>
              <w:rPr>
                <w:rFonts w:ascii="Arial" w:hAnsi="Arial" w:cs="Arial"/>
                <w:sz w:val="16"/>
                <w:szCs w:val="16"/>
                <w:lang w:val="sr-Latn-RS"/>
              </w:rPr>
            </w:pPr>
            <w:r w:rsidRPr="0056450F">
              <w:rPr>
                <w:rFonts w:ascii="Arial" w:hAnsi="Arial" w:cs="Arial"/>
                <w:sz w:val="16"/>
                <w:szCs w:val="16"/>
                <w:lang w:val="sr-Latn-RS"/>
              </w:rPr>
              <w:t>Population  number</w:t>
            </w:r>
          </w:p>
        </w:tc>
        <w:tc>
          <w:tcPr>
            <w:tcW w:w="851" w:type="dxa"/>
            <w:tcBorders>
              <w:top w:val="single" w:sz="4" w:space="0" w:color="808080" w:themeColor="background1" w:themeShade="80"/>
              <w:left w:val="single" w:sz="4" w:space="0" w:color="808080" w:themeColor="background1" w:themeShade="80"/>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7500031</w:t>
            </w:r>
          </w:p>
        </w:tc>
        <w:tc>
          <w:tcPr>
            <w:tcW w:w="851" w:type="dxa"/>
            <w:tcBorders>
              <w:top w:val="single" w:sz="4" w:space="0" w:color="808080" w:themeColor="background1" w:themeShade="80"/>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4233302</w:t>
            </w:r>
          </w:p>
        </w:tc>
        <w:tc>
          <w:tcPr>
            <w:tcW w:w="851" w:type="dxa"/>
            <w:tcBorders>
              <w:top w:val="single" w:sz="4" w:space="0" w:color="808080" w:themeColor="background1" w:themeShade="80"/>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3266729</w:t>
            </w:r>
          </w:p>
        </w:tc>
        <w:tc>
          <w:tcPr>
            <w:tcW w:w="851" w:type="dxa"/>
            <w:tcBorders>
              <w:top w:val="single" w:sz="4" w:space="0" w:color="808080" w:themeColor="background1" w:themeShade="80"/>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7236519</w:t>
            </w:r>
          </w:p>
        </w:tc>
        <w:tc>
          <w:tcPr>
            <w:tcW w:w="851" w:type="dxa"/>
            <w:tcBorders>
              <w:top w:val="single" w:sz="4" w:space="0" w:color="808080" w:themeColor="background1" w:themeShade="80"/>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4275178</w:t>
            </w:r>
          </w:p>
        </w:tc>
        <w:tc>
          <w:tcPr>
            <w:tcW w:w="851" w:type="dxa"/>
            <w:tcBorders>
              <w:top w:val="single" w:sz="4" w:space="0" w:color="808080" w:themeColor="background1" w:themeShade="80"/>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2961341</w:t>
            </w:r>
          </w:p>
        </w:tc>
        <w:tc>
          <w:tcPr>
            <w:tcW w:w="851" w:type="dxa"/>
            <w:tcBorders>
              <w:top w:val="single" w:sz="4" w:space="0" w:color="808080" w:themeColor="background1" w:themeShade="80"/>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6945235</w:t>
            </w:r>
          </w:p>
        </w:tc>
        <w:tc>
          <w:tcPr>
            <w:tcW w:w="851" w:type="dxa"/>
            <w:tcBorders>
              <w:top w:val="single" w:sz="4" w:space="0" w:color="808080" w:themeColor="background1" w:themeShade="80"/>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4240015</w:t>
            </w:r>
          </w:p>
        </w:tc>
        <w:tc>
          <w:tcPr>
            <w:tcW w:w="851" w:type="dxa"/>
            <w:tcBorders>
              <w:top w:val="single" w:sz="4" w:space="0" w:color="808080" w:themeColor="background1" w:themeShade="80"/>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2705220</w:t>
            </w:r>
          </w:p>
        </w:tc>
      </w:tr>
      <w:tr w:rsidR="006C1E26" w:rsidRPr="0056450F" w:rsidTr="006C1E26">
        <w:trPr>
          <w:trHeight w:val="20"/>
        </w:trPr>
        <w:tc>
          <w:tcPr>
            <w:tcW w:w="2552" w:type="dxa"/>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auto"/>
            <w:vAlign w:val="bottom"/>
            <w:hideMark/>
          </w:tcPr>
          <w:p w:rsidR="006C1E26" w:rsidRPr="0056450F" w:rsidRDefault="006C1E26" w:rsidP="006C1E26">
            <w:pPr>
              <w:spacing w:before="40" w:after="40"/>
              <w:rPr>
                <w:rFonts w:ascii="Arial" w:hAnsi="Arial" w:cs="Arial"/>
                <w:sz w:val="16"/>
                <w:szCs w:val="16"/>
                <w:lang w:val="sr-Latn-RS"/>
              </w:rPr>
            </w:pPr>
            <w:r w:rsidRPr="0056450F">
              <w:rPr>
                <w:rFonts w:ascii="Arial" w:hAnsi="Arial" w:cs="Arial"/>
                <w:sz w:val="16"/>
                <w:szCs w:val="16"/>
                <w:lang w:val="sr-Latn-RS"/>
              </w:rPr>
              <w:t>Share in total (%)</w:t>
            </w:r>
          </w:p>
        </w:tc>
        <w:tc>
          <w:tcPr>
            <w:tcW w:w="851" w:type="dxa"/>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100.0</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56.4</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41.6</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100.0</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59.1</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40.9</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100.0</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61.0</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39.0</w:t>
            </w:r>
          </w:p>
        </w:tc>
      </w:tr>
      <w:tr w:rsidR="006C1E26" w:rsidRPr="0056450F" w:rsidTr="006C1E26">
        <w:trPr>
          <w:trHeight w:val="80"/>
        </w:trPr>
        <w:tc>
          <w:tcPr>
            <w:tcW w:w="2552" w:type="dxa"/>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auto"/>
            <w:vAlign w:val="bottom"/>
            <w:hideMark/>
          </w:tcPr>
          <w:p w:rsidR="006C1E26" w:rsidRPr="0056450F" w:rsidRDefault="006C1E26" w:rsidP="006C1E26">
            <w:pPr>
              <w:spacing w:before="40" w:after="40"/>
              <w:rPr>
                <w:rFonts w:ascii="Arial" w:hAnsi="Arial" w:cs="Arial"/>
                <w:sz w:val="16"/>
                <w:szCs w:val="16"/>
                <w:lang w:val="sr-Latn-RS"/>
              </w:rPr>
            </w:pPr>
            <w:r w:rsidRPr="0056450F">
              <w:rPr>
                <w:rFonts w:ascii="Arial" w:hAnsi="Arial" w:cs="Arial"/>
                <w:sz w:val="16"/>
                <w:szCs w:val="16"/>
                <w:lang w:val="sr-Latn-RS"/>
              </w:rPr>
              <w:t>Average age</w:t>
            </w:r>
          </w:p>
        </w:tc>
        <w:tc>
          <w:tcPr>
            <w:tcW w:w="851" w:type="dxa"/>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40.1</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39.2</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41.4</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42.1</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41.2</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43.3</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43.3</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42.3</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44.9</w:t>
            </w:r>
          </w:p>
        </w:tc>
      </w:tr>
      <w:tr w:rsidR="006C1E26" w:rsidRPr="0056450F" w:rsidTr="006C1E26">
        <w:trPr>
          <w:trHeight w:val="20"/>
        </w:trPr>
        <w:tc>
          <w:tcPr>
            <w:tcW w:w="2552" w:type="dxa"/>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auto"/>
            <w:vAlign w:val="bottom"/>
            <w:hideMark/>
          </w:tcPr>
          <w:p w:rsidR="006C1E26" w:rsidRPr="0056450F" w:rsidRDefault="006C1E26" w:rsidP="006C1E26">
            <w:pPr>
              <w:spacing w:before="40" w:after="40"/>
              <w:rPr>
                <w:rFonts w:ascii="Arial" w:hAnsi="Arial" w:cs="Arial"/>
                <w:sz w:val="16"/>
                <w:szCs w:val="16"/>
                <w:lang w:val="sr-Latn-RS"/>
              </w:rPr>
            </w:pPr>
            <w:r w:rsidRPr="0056450F">
              <w:rPr>
                <w:rFonts w:ascii="Arial" w:hAnsi="Arial" w:cs="Arial"/>
                <w:sz w:val="16"/>
                <w:szCs w:val="16"/>
                <w:lang w:val="sr-Latn-RS"/>
              </w:rPr>
              <w:t>Ageing index</w:t>
            </w:r>
          </w:p>
        </w:tc>
        <w:tc>
          <w:tcPr>
            <w:tcW w:w="851" w:type="dxa"/>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99.0</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86.7</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114.9</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121.9</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112.3</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136.0</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144.1</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128.7</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171.0</w:t>
            </w:r>
          </w:p>
        </w:tc>
      </w:tr>
      <w:tr w:rsidR="006C1E26" w:rsidRPr="0056450F" w:rsidTr="006C1E26">
        <w:trPr>
          <w:trHeight w:val="20"/>
        </w:trPr>
        <w:tc>
          <w:tcPr>
            <w:tcW w:w="2552" w:type="dxa"/>
            <w:tcBorders>
              <w:top w:val="single" w:sz="4" w:space="0" w:color="D9D9D9" w:themeColor="background1" w:themeShade="D9"/>
              <w:left w:val="nil"/>
              <w:bottom w:val="single" w:sz="4" w:space="0" w:color="D9D9D9" w:themeColor="background1" w:themeShade="D9"/>
              <w:right w:val="single" w:sz="4" w:space="0" w:color="808080" w:themeColor="background1" w:themeShade="80"/>
            </w:tcBorders>
            <w:shd w:val="clear" w:color="auto" w:fill="auto"/>
            <w:vAlign w:val="bottom"/>
            <w:hideMark/>
          </w:tcPr>
          <w:p w:rsidR="006C1E26" w:rsidRPr="0056450F" w:rsidRDefault="006C1E26" w:rsidP="006C1E26">
            <w:pPr>
              <w:spacing w:before="40" w:after="40"/>
              <w:rPr>
                <w:rFonts w:ascii="Arial" w:hAnsi="Arial" w:cs="Arial"/>
                <w:sz w:val="16"/>
                <w:szCs w:val="16"/>
                <w:lang w:val="sr-Latn-RS"/>
              </w:rPr>
            </w:pPr>
            <w:r w:rsidRPr="0056450F">
              <w:rPr>
                <w:rFonts w:ascii="Arial" w:hAnsi="Arial" w:cs="Arial"/>
                <w:sz w:val="16"/>
                <w:szCs w:val="16"/>
                <w:lang w:val="sr-Latn-RS"/>
              </w:rPr>
              <w:t>Old-age dependency ratio</w:t>
            </w:r>
          </w:p>
        </w:tc>
        <w:tc>
          <w:tcPr>
            <w:tcW w:w="851" w:type="dxa"/>
            <w:tcBorders>
              <w:top w:val="single" w:sz="4" w:space="0" w:color="D9D9D9" w:themeColor="background1" w:themeShade="D9"/>
              <w:left w:val="single" w:sz="4" w:space="0" w:color="808080" w:themeColor="background1" w:themeShade="80"/>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24.7</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20.1</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31.4</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25.2</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22.1</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30.0</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31.8</w:t>
            </w:r>
          </w:p>
        </w:tc>
        <w:tc>
          <w:tcPr>
            <w:tcW w:w="851"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29.1</w:t>
            </w:r>
          </w:p>
        </w:tc>
        <w:tc>
          <w:tcPr>
            <w:tcW w:w="851" w:type="dxa"/>
            <w:tcBorders>
              <w:top w:val="single" w:sz="4" w:space="0" w:color="D9D9D9" w:themeColor="background1" w:themeShade="D9"/>
              <w:left w:val="nil"/>
              <w:bottom w:val="single" w:sz="4" w:space="0" w:color="D9D9D9" w:themeColor="background1" w:themeShade="D9"/>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36.2</w:t>
            </w:r>
          </w:p>
        </w:tc>
      </w:tr>
      <w:tr w:rsidR="006C1E26" w:rsidRPr="0056450F" w:rsidTr="006C1E26">
        <w:trPr>
          <w:trHeight w:val="20"/>
        </w:trPr>
        <w:tc>
          <w:tcPr>
            <w:tcW w:w="2552" w:type="dxa"/>
            <w:tcBorders>
              <w:top w:val="single" w:sz="4" w:space="0" w:color="D9D9D9" w:themeColor="background1" w:themeShade="D9"/>
              <w:left w:val="nil"/>
              <w:bottom w:val="single" w:sz="4" w:space="0" w:color="808080" w:themeColor="background1" w:themeShade="80"/>
              <w:right w:val="single" w:sz="4" w:space="0" w:color="808080" w:themeColor="background1" w:themeShade="80"/>
            </w:tcBorders>
            <w:shd w:val="clear" w:color="auto" w:fill="auto"/>
            <w:vAlign w:val="bottom"/>
            <w:hideMark/>
          </w:tcPr>
          <w:p w:rsidR="006C1E26" w:rsidRPr="0056450F" w:rsidRDefault="006C1E26" w:rsidP="006C1E26">
            <w:pPr>
              <w:spacing w:before="40" w:after="40"/>
              <w:rPr>
                <w:rFonts w:ascii="Arial" w:hAnsi="Arial" w:cs="Arial"/>
                <w:sz w:val="16"/>
                <w:szCs w:val="16"/>
                <w:lang w:val="sr-Latn-RS"/>
              </w:rPr>
            </w:pPr>
            <w:r w:rsidRPr="0056450F">
              <w:rPr>
                <w:rFonts w:ascii="Arial" w:hAnsi="Arial" w:cs="Arial"/>
                <w:sz w:val="16"/>
                <w:szCs w:val="16"/>
                <w:lang w:val="sr-Latn-RS"/>
              </w:rPr>
              <w:t>Fertile contingent</w:t>
            </w:r>
          </w:p>
        </w:tc>
        <w:tc>
          <w:tcPr>
            <w:tcW w:w="851" w:type="dxa"/>
            <w:tcBorders>
              <w:top w:val="single" w:sz="4" w:space="0" w:color="D9D9D9" w:themeColor="background1" w:themeShade="D9"/>
              <w:left w:val="single" w:sz="4" w:space="0" w:color="808080" w:themeColor="background1" w:themeShade="80"/>
              <w:bottom w:val="single" w:sz="4" w:space="0" w:color="808080" w:themeColor="background1" w:themeShade="80"/>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24.1</w:t>
            </w:r>
          </w:p>
        </w:tc>
        <w:tc>
          <w:tcPr>
            <w:tcW w:w="851" w:type="dxa"/>
            <w:tcBorders>
              <w:top w:val="single" w:sz="4" w:space="0" w:color="D9D9D9" w:themeColor="background1" w:themeShade="D9"/>
              <w:left w:val="nil"/>
              <w:bottom w:val="single" w:sz="4" w:space="0" w:color="808080" w:themeColor="background1" w:themeShade="80"/>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26.1</w:t>
            </w:r>
          </w:p>
        </w:tc>
        <w:tc>
          <w:tcPr>
            <w:tcW w:w="851" w:type="dxa"/>
            <w:tcBorders>
              <w:top w:val="single" w:sz="4" w:space="0" w:color="D9D9D9" w:themeColor="background1" w:themeShade="D9"/>
              <w:left w:val="nil"/>
              <w:bottom w:val="single" w:sz="4" w:space="0" w:color="808080" w:themeColor="background1" w:themeShade="80"/>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21.6</w:t>
            </w:r>
          </w:p>
        </w:tc>
        <w:tc>
          <w:tcPr>
            <w:tcW w:w="851" w:type="dxa"/>
            <w:tcBorders>
              <w:top w:val="single" w:sz="4" w:space="0" w:color="D9D9D9" w:themeColor="background1" w:themeShade="D9"/>
              <w:left w:val="nil"/>
              <w:bottom w:val="single" w:sz="4" w:space="0" w:color="808080" w:themeColor="background1" w:themeShade="80"/>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22.6</w:t>
            </w:r>
          </w:p>
        </w:tc>
        <w:tc>
          <w:tcPr>
            <w:tcW w:w="851" w:type="dxa"/>
            <w:tcBorders>
              <w:top w:val="single" w:sz="4" w:space="0" w:color="D9D9D9" w:themeColor="background1" w:themeShade="D9"/>
              <w:left w:val="nil"/>
              <w:bottom w:val="single" w:sz="4" w:space="0" w:color="808080" w:themeColor="background1" w:themeShade="80"/>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24.0</w:t>
            </w:r>
          </w:p>
        </w:tc>
        <w:tc>
          <w:tcPr>
            <w:tcW w:w="851" w:type="dxa"/>
            <w:tcBorders>
              <w:top w:val="single" w:sz="4" w:space="0" w:color="D9D9D9" w:themeColor="background1" w:themeShade="D9"/>
              <w:left w:val="nil"/>
              <w:bottom w:val="single" w:sz="4" w:space="0" w:color="808080" w:themeColor="background1" w:themeShade="80"/>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20.5</w:t>
            </w:r>
          </w:p>
        </w:tc>
        <w:tc>
          <w:tcPr>
            <w:tcW w:w="851" w:type="dxa"/>
            <w:tcBorders>
              <w:top w:val="single" w:sz="4" w:space="0" w:color="D9D9D9" w:themeColor="background1" w:themeShade="D9"/>
              <w:left w:val="nil"/>
              <w:bottom w:val="single" w:sz="4" w:space="0" w:color="808080" w:themeColor="background1" w:themeShade="80"/>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21.7</w:t>
            </w:r>
          </w:p>
        </w:tc>
        <w:tc>
          <w:tcPr>
            <w:tcW w:w="851" w:type="dxa"/>
            <w:tcBorders>
              <w:top w:val="single" w:sz="4" w:space="0" w:color="D9D9D9" w:themeColor="background1" w:themeShade="D9"/>
              <w:left w:val="nil"/>
              <w:bottom w:val="single" w:sz="4" w:space="0" w:color="808080" w:themeColor="background1" w:themeShade="80"/>
              <w:right w:val="nil"/>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22.9</w:t>
            </w:r>
          </w:p>
        </w:tc>
        <w:tc>
          <w:tcPr>
            <w:tcW w:w="851" w:type="dxa"/>
            <w:tcBorders>
              <w:top w:val="single" w:sz="4" w:space="0" w:color="D9D9D9" w:themeColor="background1" w:themeShade="D9"/>
              <w:left w:val="nil"/>
              <w:bottom w:val="single" w:sz="4" w:space="0" w:color="808080" w:themeColor="background1" w:themeShade="80"/>
            </w:tcBorders>
            <w:shd w:val="clear" w:color="auto" w:fill="auto"/>
            <w:noWrap/>
            <w:vAlign w:val="center"/>
          </w:tcPr>
          <w:p w:rsidR="006C1E26" w:rsidRPr="0056450F" w:rsidRDefault="006C1E26" w:rsidP="006C1E26">
            <w:pPr>
              <w:spacing w:before="40" w:after="40"/>
              <w:ind w:right="57"/>
              <w:jc w:val="right"/>
              <w:rPr>
                <w:rFonts w:ascii="Arial" w:hAnsi="Arial" w:cs="Arial"/>
                <w:sz w:val="16"/>
                <w:szCs w:val="16"/>
                <w:lang w:val="sr-Latn-RS"/>
              </w:rPr>
            </w:pPr>
            <w:r w:rsidRPr="0056450F">
              <w:rPr>
                <w:rFonts w:ascii="Arial" w:hAnsi="Arial" w:cs="Arial"/>
                <w:sz w:val="16"/>
                <w:szCs w:val="16"/>
                <w:lang w:val="sr-Latn-RS"/>
              </w:rPr>
              <w:t>19.9</w:t>
            </w:r>
          </w:p>
        </w:tc>
      </w:tr>
    </w:tbl>
    <w:p w:rsidR="00232800" w:rsidRPr="0056450F" w:rsidRDefault="00232800" w:rsidP="00232800">
      <w:pPr>
        <w:spacing w:before="120"/>
        <w:jc w:val="both"/>
        <w:rPr>
          <w:rFonts w:ascii="Arial" w:hAnsi="Arial" w:cs="Arial"/>
          <w:bCs/>
          <w:sz w:val="20"/>
          <w:szCs w:val="20"/>
          <w:lang w:val="sr-Latn-RS"/>
        </w:rPr>
      </w:pPr>
      <w:r w:rsidRPr="00232800">
        <w:rPr>
          <w:rFonts w:ascii="Arial" w:hAnsi="Arial" w:cs="Arial"/>
          <w:bCs/>
          <w:sz w:val="20"/>
          <w:szCs w:val="20"/>
          <w:lang w:val="sr-Latn-RS"/>
        </w:rPr>
        <w:t>Looking at lower territorial level, there are only eight areas where population of other settlements is prevailing (Mačvanska, Rasinska, Braničevska, Sremska, Kolubarska, Jablanička, Pčinjska and Pomoravska oblast).</w:t>
      </w:r>
    </w:p>
    <w:p w:rsidR="00977AC7" w:rsidRPr="0056450F" w:rsidRDefault="00977AC7">
      <w:pPr>
        <w:rPr>
          <w:rFonts w:ascii="Arial" w:hAnsi="Arial" w:cs="Arial"/>
          <w:b/>
          <w:bCs/>
          <w:sz w:val="20"/>
          <w:szCs w:val="20"/>
          <w:lang w:val="sr-Latn-RS"/>
        </w:rPr>
      </w:pPr>
      <w:r w:rsidRPr="0056450F">
        <w:rPr>
          <w:rFonts w:ascii="Arial" w:hAnsi="Arial" w:cs="Arial"/>
          <w:b/>
          <w:bCs/>
          <w:sz w:val="20"/>
          <w:szCs w:val="20"/>
          <w:lang w:val="sr-Latn-RS"/>
        </w:rPr>
        <w:br w:type="page"/>
      </w:r>
    </w:p>
    <w:p w:rsidR="007F46C9" w:rsidRPr="0056450F" w:rsidRDefault="007F46C9" w:rsidP="002F5E7B">
      <w:pPr>
        <w:rPr>
          <w:rFonts w:ascii="Arial" w:hAnsi="Arial" w:cs="Arial"/>
          <w:b/>
          <w:bCs/>
          <w:sz w:val="20"/>
          <w:szCs w:val="20"/>
          <w:lang w:val="sr-Latn-RS"/>
        </w:rPr>
      </w:pPr>
      <w:r w:rsidRPr="0056450F">
        <w:rPr>
          <w:rFonts w:ascii="Arial" w:hAnsi="Arial" w:cs="Arial"/>
          <w:b/>
          <w:bCs/>
          <w:sz w:val="20"/>
          <w:szCs w:val="20"/>
          <w:lang w:val="sr-Latn-RS"/>
        </w:rPr>
        <w:lastRenderedPageBreak/>
        <w:t xml:space="preserve">Methodological explanations </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sz w:val="20"/>
          <w:szCs w:val="20"/>
          <w:lang w:val="sr-Latn-RS"/>
        </w:rPr>
        <w:t>Population estimates are calculated for the census and post-census years based on the results of population census and the results of processing the statistics of natural and mechanical movements of population (internal migrations). In the municipalities of Preševo and Bujanovac there was a reduced coverage of enumeration units due to the boycott by the majority of the members of the Albanian national communities, thus the starting point for calculating the number of population for these municipalities are the estimates produced by the international expert team on the number of usual population at the time of 2011 Census.</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Population growth rate</w:t>
      </w:r>
      <w:r w:rsidRPr="0056450F">
        <w:rPr>
          <w:rFonts w:ascii="Arial" w:hAnsi="Arial" w:cs="Arial"/>
          <w:sz w:val="20"/>
          <w:szCs w:val="20"/>
          <w:lang w:val="sr-Latn-RS"/>
        </w:rPr>
        <w:t xml:space="preserve"> is the exponential rate calculated by the formula In(P</w:t>
      </w:r>
      <w:r w:rsidRPr="0056450F">
        <w:rPr>
          <w:rFonts w:ascii="Arial" w:hAnsi="Arial" w:cs="Arial"/>
          <w:sz w:val="20"/>
          <w:szCs w:val="20"/>
          <w:vertAlign w:val="subscript"/>
          <w:lang w:val="sr-Latn-RS"/>
        </w:rPr>
        <w:t>t</w:t>
      </w:r>
      <w:r w:rsidRPr="0056450F">
        <w:rPr>
          <w:rFonts w:ascii="Arial" w:hAnsi="Arial" w:cs="Arial"/>
          <w:sz w:val="20"/>
          <w:szCs w:val="20"/>
          <w:lang w:val="sr-Latn-RS"/>
        </w:rPr>
        <w:t xml:space="preserve">/P </w:t>
      </w:r>
      <w:r w:rsidRPr="0056450F">
        <w:rPr>
          <w:rFonts w:ascii="Arial" w:hAnsi="Arial" w:cs="Arial"/>
          <w:sz w:val="20"/>
          <w:szCs w:val="20"/>
          <w:vertAlign w:val="subscript"/>
          <w:lang w:val="sr-Latn-RS"/>
        </w:rPr>
        <w:t>t-1</w:t>
      </w:r>
      <w:r w:rsidRPr="0056450F">
        <w:rPr>
          <w:rFonts w:ascii="Arial" w:hAnsi="Arial" w:cs="Arial"/>
          <w:sz w:val="20"/>
          <w:szCs w:val="20"/>
          <w:lang w:val="sr-Latn-RS"/>
        </w:rPr>
        <w:t>), where P</w:t>
      </w:r>
      <w:r w:rsidRPr="0056450F">
        <w:rPr>
          <w:rFonts w:ascii="Arial" w:hAnsi="Arial" w:cs="Arial"/>
          <w:sz w:val="20"/>
          <w:szCs w:val="20"/>
          <w:vertAlign w:val="subscript"/>
          <w:lang w:val="sr-Latn-RS"/>
        </w:rPr>
        <w:t>t</w:t>
      </w:r>
      <w:r w:rsidRPr="0056450F">
        <w:rPr>
          <w:rFonts w:ascii="Arial" w:hAnsi="Arial" w:cs="Arial"/>
          <w:sz w:val="20"/>
          <w:szCs w:val="20"/>
          <w:lang w:val="sr-Latn-RS"/>
        </w:rPr>
        <w:t xml:space="preserve"> and P </w:t>
      </w:r>
      <w:r w:rsidRPr="0056450F">
        <w:rPr>
          <w:rFonts w:ascii="Arial" w:hAnsi="Arial" w:cs="Arial"/>
          <w:sz w:val="20"/>
          <w:szCs w:val="20"/>
          <w:vertAlign w:val="subscript"/>
          <w:lang w:val="sr-Latn-RS"/>
        </w:rPr>
        <w:t>t-1</w:t>
      </w:r>
      <w:r w:rsidRPr="0056450F">
        <w:rPr>
          <w:rFonts w:ascii="Arial" w:hAnsi="Arial" w:cs="Arial"/>
          <w:sz w:val="20"/>
          <w:szCs w:val="20"/>
          <w:lang w:val="sr-Latn-RS"/>
        </w:rPr>
        <w:t xml:space="preserve"> are the values of the average estimated number of population in the year </w:t>
      </w:r>
      <w:r w:rsidRPr="0056450F">
        <w:rPr>
          <w:rFonts w:ascii="Arial" w:hAnsi="Arial" w:cs="Arial"/>
          <w:b/>
          <w:sz w:val="20"/>
          <w:szCs w:val="20"/>
          <w:lang w:val="sr-Latn-RS"/>
        </w:rPr>
        <w:t>t</w:t>
      </w:r>
      <w:r w:rsidRPr="0056450F">
        <w:rPr>
          <w:rFonts w:ascii="Arial" w:hAnsi="Arial" w:cs="Arial"/>
          <w:sz w:val="20"/>
          <w:szCs w:val="20"/>
          <w:lang w:val="sr-Latn-RS"/>
        </w:rPr>
        <w:t xml:space="preserve"> and </w:t>
      </w:r>
      <w:r w:rsidRPr="0056450F">
        <w:rPr>
          <w:rFonts w:ascii="Arial" w:hAnsi="Arial" w:cs="Arial"/>
          <w:b/>
          <w:sz w:val="20"/>
          <w:szCs w:val="20"/>
          <w:lang w:val="sr-Latn-RS"/>
        </w:rPr>
        <w:t>t-1</w:t>
      </w:r>
      <w:r w:rsidRPr="0056450F">
        <w:rPr>
          <w:rFonts w:ascii="Arial" w:hAnsi="Arial" w:cs="Arial"/>
          <w:sz w:val="20"/>
          <w:szCs w:val="20"/>
          <w:lang w:val="sr-Latn-RS"/>
        </w:rPr>
        <w:t>; the value is expressed per 1 000 persons.</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 xml:space="preserve">Population ageing index </w:t>
      </w:r>
      <w:r w:rsidRPr="0056450F">
        <w:rPr>
          <w:rFonts w:ascii="Arial" w:hAnsi="Arial" w:cs="Arial"/>
          <w:sz w:val="20"/>
          <w:szCs w:val="20"/>
          <w:lang w:val="sr-Latn-RS"/>
        </w:rPr>
        <w:t>is the ratio between the population aged 60 and over and population aged from 0 to 19, estimated in the middle of the reference year.</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 xml:space="preserve">Population average age </w:t>
      </w:r>
      <w:r w:rsidRPr="0056450F">
        <w:rPr>
          <w:rFonts w:ascii="Arial" w:hAnsi="Arial" w:cs="Arial"/>
          <w:sz w:val="20"/>
          <w:szCs w:val="20"/>
          <w:lang w:val="sr-Latn-RS"/>
        </w:rPr>
        <w:t>indicates average age of its members (arithmetic mean).</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 xml:space="preserve">Total dependency ratio </w:t>
      </w:r>
      <w:r w:rsidRPr="0056450F">
        <w:rPr>
          <w:rFonts w:ascii="Arial" w:hAnsi="Arial" w:cs="Arial"/>
          <w:sz w:val="20"/>
          <w:szCs w:val="20"/>
          <w:lang w:val="sr-Latn-RS"/>
        </w:rPr>
        <w:t>is the ratio between the population aged 0-14 and 65 and over, in relation to the population aged from 15 to 64, estimated in the middle of the reference year.</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 xml:space="preserve">Young-age dependency ratio </w:t>
      </w:r>
      <w:r w:rsidRPr="0056450F">
        <w:rPr>
          <w:rFonts w:ascii="Arial" w:hAnsi="Arial" w:cs="Arial"/>
          <w:sz w:val="20"/>
          <w:szCs w:val="20"/>
          <w:lang w:val="sr-Latn-RS"/>
        </w:rPr>
        <w:t>is the ratio between the total number of young people aged 0-14 and the number of working-age persons (aged from 15 to 64).</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 xml:space="preserve">Old-age dependency ratio </w:t>
      </w:r>
      <w:r w:rsidRPr="0056450F">
        <w:rPr>
          <w:rFonts w:ascii="Arial" w:hAnsi="Arial" w:cs="Arial"/>
          <w:sz w:val="20"/>
          <w:szCs w:val="20"/>
          <w:lang w:val="sr-Latn-RS"/>
        </w:rPr>
        <w:t xml:space="preserve">is the ratio between the number of </w:t>
      </w:r>
      <w:r w:rsidRPr="0056450F">
        <w:rPr>
          <w:rFonts w:ascii="Arial" w:hAnsi="Arial" w:cs="Arial"/>
          <w:color w:val="000000"/>
          <w:sz w:val="20"/>
          <w:szCs w:val="20"/>
          <w:shd w:val="clear" w:color="auto" w:fill="FFFFFF"/>
          <w:lang w:val="sr-Latn-RS"/>
        </w:rPr>
        <w:t xml:space="preserve">persons aged 65 and over (age when they are generally economically inactive) </w:t>
      </w:r>
      <w:r w:rsidRPr="0056450F">
        <w:rPr>
          <w:rFonts w:ascii="Arial" w:hAnsi="Arial" w:cs="Arial"/>
          <w:sz w:val="20"/>
          <w:szCs w:val="20"/>
          <w:lang w:val="sr-Latn-RS"/>
        </w:rPr>
        <w:t>and the number of working-age persons (aged between 15 and 64).</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Masculinity ratio</w:t>
      </w:r>
      <w:r w:rsidRPr="0056450F">
        <w:rPr>
          <w:rFonts w:ascii="Arial" w:hAnsi="Arial" w:cs="Arial"/>
          <w:sz w:val="20"/>
          <w:szCs w:val="20"/>
          <w:lang w:val="sr-Latn-RS"/>
        </w:rPr>
        <w:t xml:space="preserve"> is the ratio of the number of men per 1 000 women.</w:t>
      </w:r>
    </w:p>
    <w:p w:rsidR="00EB1C3B" w:rsidRPr="0056450F" w:rsidRDefault="00EB1C3B" w:rsidP="00EB1C3B">
      <w:pPr>
        <w:shd w:val="clear" w:color="auto" w:fill="FFFFFF"/>
        <w:spacing w:before="120"/>
        <w:jc w:val="both"/>
        <w:rPr>
          <w:rFonts w:ascii="Arial" w:hAnsi="Arial" w:cs="Arial"/>
          <w:sz w:val="20"/>
          <w:szCs w:val="20"/>
          <w:lang w:val="sr-Latn-RS"/>
        </w:rPr>
      </w:pPr>
      <w:r w:rsidRPr="0056450F">
        <w:rPr>
          <w:rFonts w:ascii="Arial" w:hAnsi="Arial" w:cs="Arial"/>
          <w:b/>
          <w:sz w:val="20"/>
          <w:szCs w:val="20"/>
          <w:lang w:val="sr-Latn-RS"/>
        </w:rPr>
        <w:t xml:space="preserve">Life expectancy </w:t>
      </w:r>
      <w:r w:rsidRPr="0056450F">
        <w:rPr>
          <w:rFonts w:ascii="Arial" w:hAnsi="Arial" w:cs="Arial"/>
          <w:sz w:val="20"/>
          <w:szCs w:val="20"/>
          <w:lang w:val="sr-Latn-RS"/>
        </w:rPr>
        <w:t>of live births is a result of abridged approximate life tables and tells how long a live born will live if the mortality conditions are the same as at the time of tables production.</w:t>
      </w:r>
    </w:p>
    <w:p w:rsidR="0037062B" w:rsidRPr="0037062B" w:rsidRDefault="0037062B" w:rsidP="0037062B">
      <w:pPr>
        <w:shd w:val="clear" w:color="auto" w:fill="FFFFFF"/>
        <w:spacing w:before="120"/>
        <w:jc w:val="both"/>
        <w:rPr>
          <w:rFonts w:ascii="Arial" w:hAnsi="Arial" w:cs="Arial"/>
          <w:sz w:val="20"/>
          <w:szCs w:val="20"/>
          <w:lang w:val="sr-Latn-RS"/>
        </w:rPr>
      </w:pPr>
      <w:r w:rsidRPr="0037062B">
        <w:rPr>
          <w:rFonts w:ascii="Arial" w:hAnsi="Arial" w:cs="Arial"/>
          <w:sz w:val="20"/>
          <w:szCs w:val="20"/>
          <w:lang w:val="sr-Latn-RS"/>
        </w:rPr>
        <w:t>In order to present data by type of settlement, we used the so-called administrative-legal criteria, according to which settlements are divided into “urban”(those that have obtained this status through a legal act of the respective local self-government unit) and into “other”.</w:t>
      </w:r>
    </w:p>
    <w:p w:rsidR="005B3929" w:rsidRPr="0056450F" w:rsidRDefault="00EB1C3B" w:rsidP="00EB1C3B">
      <w:pPr>
        <w:shd w:val="clear" w:color="auto" w:fill="FFFFFF"/>
        <w:spacing w:before="120"/>
        <w:jc w:val="both"/>
        <w:rPr>
          <w:rFonts w:ascii="Arial" w:hAnsi="Arial" w:cs="Arial"/>
          <w:sz w:val="20"/>
          <w:szCs w:val="20"/>
          <w:lang w:val="sr-Latn-RS"/>
        </w:rPr>
      </w:pPr>
      <w:r w:rsidRPr="0056450F">
        <w:rPr>
          <w:rFonts w:ascii="Arial" w:eastAsia="Calibri" w:hAnsi="Arial" w:cs="Arial"/>
          <w:sz w:val="20"/>
          <w:szCs w:val="20"/>
          <w:lang w:val="sr-Latn-RS"/>
        </w:rPr>
        <w:t>Starting from 1998 the Statistical Office of the Republic of Serbia has not available data for AP Kosovo and Metohija therefore these data are not included in the coverage for the Republic of Serbia (total).</w:t>
      </w:r>
      <w:r w:rsidRPr="0056450F">
        <w:rPr>
          <w:rFonts w:ascii="Arial" w:hAnsi="Arial" w:cs="Arial"/>
          <w:sz w:val="20"/>
          <w:szCs w:val="20"/>
          <w:lang w:val="sr-Latn-RS"/>
        </w:rPr>
        <w:t xml:space="preserve">  </w:t>
      </w:r>
      <w:r w:rsidR="005B3929" w:rsidRPr="0056450F">
        <w:rPr>
          <w:rFonts w:ascii="Arial" w:hAnsi="Arial" w:cs="Arial"/>
          <w:sz w:val="20"/>
          <w:szCs w:val="20"/>
          <w:lang w:val="sr-Latn-RS"/>
        </w:rPr>
        <w:t xml:space="preserve"> </w:t>
      </w:r>
    </w:p>
    <w:p w:rsidR="005B3929" w:rsidRPr="0056450F" w:rsidRDefault="005B3929" w:rsidP="00293A9A">
      <w:pPr>
        <w:shd w:val="clear" w:color="auto" w:fill="FFFFFF"/>
        <w:spacing w:before="120"/>
        <w:jc w:val="both"/>
        <w:rPr>
          <w:rFonts w:ascii="Arial" w:hAnsi="Arial" w:cs="Arial"/>
          <w:sz w:val="20"/>
          <w:szCs w:val="20"/>
          <w:lang w:val="sr-Latn-RS"/>
        </w:rPr>
      </w:pPr>
    </w:p>
    <w:p w:rsidR="005B3929" w:rsidRPr="0056450F" w:rsidRDefault="005B3929" w:rsidP="00293A9A">
      <w:pPr>
        <w:shd w:val="clear" w:color="auto" w:fill="FFFFFF"/>
        <w:spacing w:before="120"/>
        <w:jc w:val="both"/>
        <w:rPr>
          <w:rFonts w:ascii="Arial" w:hAnsi="Arial" w:cs="Arial"/>
          <w:sz w:val="20"/>
          <w:szCs w:val="20"/>
          <w:lang w:val="sr-Latn-RS"/>
        </w:rPr>
      </w:pPr>
    </w:p>
    <w:p w:rsidR="005B3929" w:rsidRPr="0056450F" w:rsidRDefault="005B3929" w:rsidP="00293A9A">
      <w:pPr>
        <w:shd w:val="clear" w:color="auto" w:fill="FFFFFF"/>
        <w:spacing w:before="120"/>
        <w:jc w:val="both"/>
        <w:rPr>
          <w:rFonts w:ascii="Arial" w:hAnsi="Arial" w:cs="Arial"/>
          <w:sz w:val="20"/>
          <w:szCs w:val="20"/>
          <w:lang w:val="sr-Latn-RS"/>
        </w:rPr>
      </w:pPr>
    </w:p>
    <w:p w:rsidR="005B3929" w:rsidRPr="0056450F" w:rsidRDefault="005B3929" w:rsidP="00293A9A">
      <w:pPr>
        <w:shd w:val="clear" w:color="auto" w:fill="FFFFFF"/>
        <w:spacing w:before="120"/>
        <w:jc w:val="both"/>
        <w:rPr>
          <w:rFonts w:ascii="Arial" w:hAnsi="Arial" w:cs="Arial"/>
          <w:sz w:val="20"/>
          <w:szCs w:val="20"/>
          <w:lang w:val="sr-Latn-RS"/>
        </w:rPr>
      </w:pPr>
    </w:p>
    <w:p w:rsidR="007F46C9" w:rsidRPr="0056450F" w:rsidRDefault="007F46C9" w:rsidP="00BE39A5">
      <w:pPr>
        <w:rPr>
          <w:rFonts w:ascii="Arial" w:hAnsi="Arial" w:cs="Arial"/>
          <w:b/>
          <w:bCs/>
          <w:sz w:val="20"/>
          <w:szCs w:val="20"/>
          <w:lang w:val="sr-Latn-RS"/>
        </w:rPr>
      </w:pPr>
    </w:p>
    <w:p w:rsidR="007F46C9" w:rsidRPr="0056450F" w:rsidRDefault="007F46C9" w:rsidP="00EC7C96">
      <w:pPr>
        <w:jc w:val="center"/>
        <w:rPr>
          <w:rFonts w:ascii="Arial" w:hAnsi="Arial" w:cs="Arial"/>
          <w:b/>
          <w:bCs/>
          <w:sz w:val="20"/>
          <w:szCs w:val="20"/>
          <w:lang w:val="sr-Latn-RS"/>
        </w:rPr>
      </w:pPr>
    </w:p>
    <w:p w:rsidR="007F46C9" w:rsidRPr="0056450F" w:rsidRDefault="007F46C9"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sz w:val="20"/>
          <w:szCs w:val="20"/>
          <w:lang w:val="sr-Latn-RS"/>
        </w:rPr>
      </w:pPr>
    </w:p>
    <w:p w:rsidR="002F5E7B" w:rsidRPr="0056450F" w:rsidRDefault="002F5E7B" w:rsidP="00EC7C96">
      <w:pPr>
        <w:jc w:val="center"/>
        <w:rPr>
          <w:rFonts w:ascii="Arial" w:hAnsi="Arial" w:cs="Arial"/>
          <w:b/>
          <w:bCs/>
          <w:sz w:val="20"/>
          <w:szCs w:val="20"/>
          <w:lang w:val="sr-Latn-RS"/>
        </w:rPr>
      </w:pPr>
    </w:p>
    <w:p w:rsidR="002F5E7B" w:rsidRPr="0056450F" w:rsidRDefault="002F5E7B" w:rsidP="00EC7C96">
      <w:pPr>
        <w:jc w:val="center"/>
        <w:rPr>
          <w:rFonts w:ascii="Arial" w:hAnsi="Arial" w:cs="Arial"/>
          <w:b/>
          <w:bCs/>
          <w:sz w:val="20"/>
          <w:szCs w:val="20"/>
          <w:lang w:val="sr-Latn-RS"/>
        </w:rPr>
      </w:pPr>
    </w:p>
    <w:p w:rsidR="00977AC7" w:rsidRPr="0056450F" w:rsidRDefault="00977AC7" w:rsidP="00EC7C96">
      <w:pPr>
        <w:jc w:val="center"/>
        <w:rPr>
          <w:rFonts w:ascii="Arial" w:hAnsi="Arial" w:cs="Arial"/>
          <w:b/>
          <w:bCs/>
          <w:sz w:val="20"/>
          <w:szCs w:val="20"/>
          <w:lang w:val="sr-Latn-RS"/>
        </w:rPr>
      </w:pPr>
    </w:p>
    <w:p w:rsidR="00977AC7" w:rsidRPr="0056450F" w:rsidRDefault="00977AC7" w:rsidP="00EC7C96">
      <w:pPr>
        <w:jc w:val="center"/>
        <w:rPr>
          <w:rFonts w:ascii="Arial" w:hAnsi="Arial" w:cs="Arial"/>
          <w:b/>
          <w:bCs/>
          <w:sz w:val="20"/>
          <w:szCs w:val="20"/>
          <w:lang w:val="sr-Latn-RS"/>
        </w:rPr>
      </w:pPr>
    </w:p>
    <w:p w:rsidR="00977AC7" w:rsidRPr="0056450F" w:rsidRDefault="00977AC7" w:rsidP="00EC7C96">
      <w:pPr>
        <w:jc w:val="center"/>
        <w:rPr>
          <w:rFonts w:ascii="Arial" w:hAnsi="Arial" w:cs="Arial"/>
          <w:b/>
          <w:bCs/>
          <w:sz w:val="20"/>
          <w:szCs w:val="20"/>
          <w:lang w:val="sr-Latn-RS"/>
        </w:rPr>
      </w:pPr>
    </w:p>
    <w:p w:rsidR="00977AC7" w:rsidRPr="0056450F" w:rsidRDefault="00977AC7" w:rsidP="00EC7C96">
      <w:pPr>
        <w:jc w:val="center"/>
        <w:rPr>
          <w:rFonts w:ascii="Arial" w:hAnsi="Arial" w:cs="Arial"/>
          <w:b/>
          <w:bCs/>
          <w:sz w:val="20"/>
          <w:szCs w:val="20"/>
          <w:lang w:val="sr-Latn-RS"/>
        </w:rPr>
      </w:pPr>
    </w:p>
    <w:p w:rsidR="002F5E7B" w:rsidRPr="0056450F" w:rsidRDefault="002F5E7B" w:rsidP="00EC7C96">
      <w:pPr>
        <w:jc w:val="center"/>
        <w:rPr>
          <w:rFonts w:ascii="Arial" w:hAnsi="Arial" w:cs="Arial"/>
          <w:b/>
          <w:bCs/>
          <w:sz w:val="20"/>
          <w:szCs w:val="20"/>
          <w:lang w:val="sr-Latn-RS"/>
        </w:rPr>
      </w:pPr>
    </w:p>
    <w:p w:rsidR="002F5E7B" w:rsidRPr="0056450F" w:rsidRDefault="002F5E7B"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sz w:val="20"/>
          <w:szCs w:val="20"/>
          <w:lang w:val="sr-Latn-RS"/>
        </w:rPr>
      </w:pPr>
    </w:p>
    <w:p w:rsidR="006E260E" w:rsidRPr="0056450F" w:rsidRDefault="006E260E" w:rsidP="00EC7C96">
      <w:pPr>
        <w:jc w:val="center"/>
        <w:rPr>
          <w:rFonts w:ascii="Arial" w:hAnsi="Arial" w:cs="Arial"/>
          <w:b/>
          <w:bCs/>
          <w:noProof/>
          <w:sz w:val="20"/>
          <w:szCs w:val="20"/>
          <w:lang w:val="sr-Latn-RS"/>
        </w:rPr>
      </w:pPr>
    </w:p>
    <w:tbl>
      <w:tblPr>
        <w:tblW w:w="0" w:type="auto"/>
        <w:jc w:val="center"/>
        <w:tblBorders>
          <w:top w:val="single" w:sz="4" w:space="0" w:color="808080"/>
        </w:tblBorders>
        <w:tblCellMar>
          <w:left w:w="28" w:type="dxa"/>
          <w:right w:w="28" w:type="dxa"/>
        </w:tblCellMar>
        <w:tblLook w:val="00A0" w:firstRow="1" w:lastRow="0" w:firstColumn="1" w:lastColumn="0" w:noHBand="0" w:noVBand="0"/>
      </w:tblPr>
      <w:tblGrid>
        <w:gridCol w:w="8505"/>
      </w:tblGrid>
      <w:tr w:rsidR="007F46C9" w:rsidRPr="0056450F">
        <w:trPr>
          <w:jc w:val="center"/>
        </w:trPr>
        <w:tc>
          <w:tcPr>
            <w:tcW w:w="8505" w:type="dxa"/>
            <w:tcBorders>
              <w:top w:val="single" w:sz="4" w:space="0" w:color="808080"/>
            </w:tcBorders>
          </w:tcPr>
          <w:p w:rsidR="007F46C9" w:rsidRPr="0056450F" w:rsidRDefault="007F46C9" w:rsidP="007A68B6">
            <w:pPr>
              <w:spacing w:before="120"/>
              <w:jc w:val="center"/>
              <w:rPr>
                <w:rFonts w:ascii="Arial" w:hAnsi="Arial" w:cs="Arial"/>
                <w:i/>
                <w:iCs/>
                <w:sz w:val="18"/>
                <w:szCs w:val="18"/>
                <w:lang w:val="sr-Latn-RS"/>
              </w:rPr>
            </w:pPr>
            <w:r w:rsidRPr="0056450F">
              <w:rPr>
                <w:rFonts w:ascii="Arial" w:hAnsi="Arial" w:cs="Arial"/>
                <w:sz w:val="18"/>
                <w:szCs w:val="18"/>
                <w:lang w:val="sr-Latn-RS"/>
              </w:rPr>
              <w:t>Contact:</w:t>
            </w:r>
            <w:r w:rsidR="00690428" w:rsidRPr="0056450F">
              <w:rPr>
                <w:lang w:val="sr-Latn-RS"/>
              </w:rPr>
              <w:t xml:space="preserve"> </w:t>
            </w:r>
            <w:hyperlink r:id="rId12" w:history="1">
              <w:r w:rsidR="00690428" w:rsidRPr="0056450F">
                <w:rPr>
                  <w:rStyle w:val="Hyperlink"/>
                  <w:rFonts w:ascii="Arial" w:hAnsi="Arial" w:cs="Arial"/>
                  <w:sz w:val="18"/>
                  <w:szCs w:val="18"/>
                  <w:lang w:val="sr-Latn-RS"/>
                </w:rPr>
                <w:t>ljiljana.sekulic@stat.gov.rs</w:t>
              </w:r>
            </w:hyperlink>
            <w:r w:rsidR="00690428" w:rsidRPr="0056450F">
              <w:rPr>
                <w:rFonts w:ascii="Arial" w:hAnsi="Arial" w:cs="Arial"/>
                <w:iCs/>
                <w:sz w:val="18"/>
                <w:szCs w:val="18"/>
                <w:lang w:val="sr-Latn-RS"/>
              </w:rPr>
              <w:t>.</w:t>
            </w:r>
            <w:r w:rsidRPr="0056450F">
              <w:rPr>
                <w:rFonts w:ascii="Arial" w:hAnsi="Arial" w:cs="Arial"/>
                <w:sz w:val="18"/>
                <w:szCs w:val="18"/>
                <w:lang w:val="sr-Latn-RS"/>
              </w:rPr>
              <w:t xml:space="preserve">, Phone: 011 2412-922, Ext: </w:t>
            </w:r>
            <w:r w:rsidR="00903BC9" w:rsidRPr="0056450F">
              <w:rPr>
                <w:rFonts w:ascii="Arial" w:hAnsi="Arial" w:cs="Arial"/>
                <w:sz w:val="18"/>
                <w:szCs w:val="18"/>
                <w:lang w:val="sr-Latn-RS"/>
              </w:rPr>
              <w:t>264</w:t>
            </w:r>
          </w:p>
          <w:p w:rsidR="00BA1EC7" w:rsidRPr="0056450F" w:rsidRDefault="00BA1EC7" w:rsidP="00BA1EC7">
            <w:pPr>
              <w:jc w:val="center"/>
              <w:rPr>
                <w:rFonts w:ascii="Arial" w:hAnsi="Arial" w:cs="Arial"/>
                <w:sz w:val="18"/>
                <w:szCs w:val="18"/>
                <w:lang w:val="sr-Latn-RS"/>
              </w:rPr>
            </w:pPr>
            <w:r w:rsidRPr="0056450F">
              <w:rPr>
                <w:rFonts w:ascii="Arial" w:hAnsi="Arial" w:cs="Arial"/>
                <w:sz w:val="18"/>
                <w:szCs w:val="18"/>
                <w:lang w:val="sr-Latn-RS"/>
              </w:rPr>
              <w:t>Published and printed by: Statistical Office of the Republic of Serbia, Milana Rakica 5, 11050 Belgrade</w:t>
            </w:r>
          </w:p>
          <w:p w:rsidR="00BA1EC7" w:rsidRPr="0056450F" w:rsidRDefault="00BA1EC7" w:rsidP="00BA1EC7">
            <w:pPr>
              <w:jc w:val="center"/>
              <w:rPr>
                <w:rFonts w:ascii="Arial" w:hAnsi="Arial" w:cs="Arial"/>
                <w:sz w:val="18"/>
                <w:szCs w:val="18"/>
                <w:lang w:val="sr-Latn-RS"/>
              </w:rPr>
            </w:pPr>
            <w:r w:rsidRPr="0056450F">
              <w:rPr>
                <w:rFonts w:ascii="Arial" w:hAnsi="Arial" w:cs="Arial"/>
                <w:sz w:val="18"/>
                <w:szCs w:val="18"/>
                <w:lang w:val="sr-Latn-RS"/>
              </w:rPr>
              <w:t xml:space="preserve">Phone: +381 11 2412922 (telephone exchange) ● Fax: +381 11 2411260 ● www.stat.gov.rs  </w:t>
            </w:r>
          </w:p>
          <w:p w:rsidR="00BA1EC7" w:rsidRPr="0056450F" w:rsidRDefault="00BA1EC7" w:rsidP="00BA1EC7">
            <w:pPr>
              <w:jc w:val="center"/>
              <w:rPr>
                <w:rFonts w:ascii="Arial" w:hAnsi="Arial" w:cs="Arial"/>
                <w:sz w:val="18"/>
                <w:szCs w:val="18"/>
                <w:lang w:val="sr-Latn-RS"/>
              </w:rPr>
            </w:pPr>
            <w:r w:rsidRPr="0056450F">
              <w:rPr>
                <w:rFonts w:ascii="Arial" w:hAnsi="Arial" w:cs="Arial"/>
                <w:sz w:val="18"/>
                <w:szCs w:val="18"/>
                <w:lang w:val="sr-Latn-RS"/>
              </w:rPr>
              <w:t>Responsible: Dr Miladin Kovačević, Director</w:t>
            </w:r>
          </w:p>
          <w:p w:rsidR="007F46C9" w:rsidRPr="0056450F" w:rsidRDefault="00BA1EC7" w:rsidP="00BA1EC7">
            <w:pPr>
              <w:jc w:val="center"/>
              <w:rPr>
                <w:rFonts w:ascii="Arial" w:hAnsi="Arial" w:cs="Arial"/>
                <w:b/>
                <w:bCs/>
                <w:lang w:val="sr-Latn-RS"/>
              </w:rPr>
            </w:pPr>
            <w:r w:rsidRPr="0056450F">
              <w:rPr>
                <w:rFonts w:ascii="Arial" w:hAnsi="Arial" w:cs="Arial"/>
                <w:sz w:val="18"/>
                <w:szCs w:val="18"/>
                <w:lang w:val="sr-Latn-RS"/>
              </w:rPr>
              <w:t>Circulation: 20 • Issued annually</w:t>
            </w:r>
          </w:p>
        </w:tc>
      </w:tr>
    </w:tbl>
    <w:p w:rsidR="007F46C9" w:rsidRPr="0056450F" w:rsidRDefault="007F46C9" w:rsidP="0068387E">
      <w:pPr>
        <w:rPr>
          <w:rFonts w:ascii="Arial" w:hAnsi="Arial" w:cs="Arial"/>
          <w:b/>
          <w:bCs/>
          <w:sz w:val="2"/>
          <w:szCs w:val="2"/>
          <w:lang w:val="sr-Latn-RS"/>
        </w:rPr>
      </w:pPr>
    </w:p>
    <w:sectPr w:rsidR="007F46C9" w:rsidRPr="0056450F" w:rsidSect="000B6349">
      <w:footerReference w:type="even" r:id="rId13"/>
      <w:footerReference w:type="default" r:id="rId14"/>
      <w:pgSz w:w="11907" w:h="16840" w:code="9"/>
      <w:pgMar w:top="907" w:right="851" w:bottom="90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322" w:rsidRDefault="00912322" w:rsidP="000B6349">
      <w:r>
        <w:separator/>
      </w:r>
    </w:p>
  </w:endnote>
  <w:endnote w:type="continuationSeparator" w:id="0">
    <w:p w:rsidR="00912322" w:rsidRDefault="00912322" w:rsidP="000B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6" w:type="dxa"/>
      <w:tblBorders>
        <w:top w:val="single" w:sz="4" w:space="0" w:color="auto"/>
        <w:insideH w:val="single" w:sz="4" w:space="0" w:color="auto"/>
      </w:tblBorders>
      <w:tblLook w:val="01E0" w:firstRow="1" w:lastRow="1" w:firstColumn="1" w:lastColumn="1" w:noHBand="0" w:noVBand="0"/>
    </w:tblPr>
    <w:tblGrid>
      <w:gridCol w:w="5210"/>
      <w:gridCol w:w="5211"/>
    </w:tblGrid>
    <w:tr w:rsidR="006C1E26" w:rsidRPr="000B6349">
      <w:tc>
        <w:tcPr>
          <w:tcW w:w="5210" w:type="dxa"/>
          <w:tcBorders>
            <w:left w:val="nil"/>
            <w:bottom w:val="nil"/>
            <w:right w:val="nil"/>
          </w:tcBorders>
        </w:tcPr>
        <w:p w:rsidR="006C1E26" w:rsidRPr="000B6349" w:rsidRDefault="006C1E26" w:rsidP="000B6349">
          <w:pPr>
            <w:spacing w:before="60"/>
            <w:rPr>
              <w:rFonts w:ascii="Arial" w:hAnsi="Arial" w:cs="Arial"/>
              <w:caps/>
              <w:sz w:val="16"/>
              <w:szCs w:val="16"/>
            </w:rPr>
          </w:pPr>
          <w:r w:rsidRPr="000B6349">
            <w:rPr>
              <w:rFonts w:ascii="Arial" w:hAnsi="Arial" w:cs="Arial"/>
              <w:caps/>
              <w:sz w:val="16"/>
              <w:szCs w:val="16"/>
            </w:rPr>
            <w:fldChar w:fldCharType="begin"/>
          </w:r>
          <w:r w:rsidRPr="000B6349">
            <w:rPr>
              <w:rFonts w:ascii="Arial" w:hAnsi="Arial" w:cs="Arial"/>
              <w:caps/>
              <w:sz w:val="16"/>
              <w:szCs w:val="16"/>
            </w:rPr>
            <w:instrText xml:space="preserve"> PAGE </w:instrText>
          </w:r>
          <w:r w:rsidRPr="000B6349">
            <w:rPr>
              <w:rFonts w:ascii="Arial" w:hAnsi="Arial" w:cs="Arial"/>
              <w:caps/>
              <w:sz w:val="16"/>
              <w:szCs w:val="16"/>
            </w:rPr>
            <w:fldChar w:fldCharType="separate"/>
          </w:r>
          <w:r w:rsidR="005C4C3F">
            <w:rPr>
              <w:rFonts w:ascii="Arial" w:hAnsi="Arial" w:cs="Arial"/>
              <w:caps/>
              <w:noProof/>
              <w:sz w:val="16"/>
              <w:szCs w:val="16"/>
            </w:rPr>
            <w:t>2</w:t>
          </w:r>
          <w:r w:rsidRPr="000B6349">
            <w:rPr>
              <w:rFonts w:ascii="Arial" w:hAnsi="Arial" w:cs="Arial"/>
              <w:caps/>
              <w:sz w:val="16"/>
              <w:szCs w:val="16"/>
            </w:rPr>
            <w:fldChar w:fldCharType="end"/>
          </w:r>
        </w:p>
      </w:tc>
      <w:tc>
        <w:tcPr>
          <w:tcW w:w="5211" w:type="dxa"/>
          <w:tcBorders>
            <w:left w:val="nil"/>
            <w:bottom w:val="nil"/>
          </w:tcBorders>
        </w:tcPr>
        <w:p w:rsidR="006C1E26" w:rsidRPr="006C1E26" w:rsidRDefault="006C1E26" w:rsidP="006C1E26">
          <w:pPr>
            <w:spacing w:before="60"/>
            <w:jc w:val="right"/>
            <w:rPr>
              <w:rFonts w:ascii="Arial" w:hAnsi="Arial" w:cs="Arial"/>
              <w:caps/>
              <w:sz w:val="16"/>
              <w:szCs w:val="16"/>
              <w:lang w:val="sr-Cyrl-RS"/>
            </w:rPr>
          </w:pPr>
          <w:r w:rsidRPr="00977AC7">
            <w:rPr>
              <w:rFonts w:ascii="Arial" w:hAnsi="Arial" w:cs="Arial"/>
              <w:caps/>
              <w:sz w:val="16"/>
              <w:szCs w:val="16"/>
            </w:rPr>
            <w:t>SERB</w:t>
          </w:r>
          <w:r>
            <w:rPr>
              <w:rFonts w:ascii="Arial" w:hAnsi="Arial" w:cs="Arial"/>
              <w:sz w:val="16"/>
              <w:szCs w:val="16"/>
              <w:lang w:val="sr-Latn-RS"/>
            </w:rPr>
            <w:t>1</w:t>
          </w:r>
          <w:r>
            <w:rPr>
              <w:rFonts w:ascii="Arial" w:hAnsi="Arial" w:cs="Arial"/>
              <w:sz w:val="16"/>
              <w:szCs w:val="16"/>
              <w:lang w:val="sr-Cyrl-RS"/>
            </w:rPr>
            <w:t>72</w:t>
          </w:r>
          <w:r w:rsidRPr="00977AC7">
            <w:rPr>
              <w:rFonts w:ascii="Arial" w:hAnsi="Arial" w:cs="Arial"/>
              <w:caps/>
              <w:sz w:val="16"/>
              <w:szCs w:val="16"/>
            </w:rPr>
            <w:t xml:space="preserve"> </w:t>
          </w:r>
          <w:r w:rsidRPr="00907E04">
            <w:rPr>
              <w:rFonts w:ascii="Arial" w:hAnsi="Arial" w:cs="Arial"/>
              <w:caps/>
              <w:sz w:val="16"/>
              <w:szCs w:val="16"/>
            </w:rPr>
            <w:t>SN</w:t>
          </w:r>
          <w:r w:rsidRPr="00907E04">
            <w:rPr>
              <w:rFonts w:ascii="Arial" w:hAnsi="Arial" w:cs="Arial"/>
              <w:caps/>
              <w:sz w:val="16"/>
              <w:szCs w:val="16"/>
              <w:lang w:val="sr-Cyrl-CS"/>
            </w:rPr>
            <w:t xml:space="preserve">70 </w:t>
          </w:r>
          <w:r>
            <w:rPr>
              <w:rFonts w:ascii="Arial" w:hAnsi="Arial" w:cs="Arial"/>
              <w:caps/>
              <w:sz w:val="16"/>
              <w:szCs w:val="16"/>
              <w:lang w:val="sr-Cyrl-RS"/>
            </w:rPr>
            <w:t>010720</w:t>
          </w:r>
        </w:p>
      </w:tc>
    </w:tr>
  </w:tbl>
  <w:p w:rsidR="006C1E26" w:rsidRPr="000B6349" w:rsidRDefault="006C1E26" w:rsidP="000B6349">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6" w:type="dxa"/>
      <w:tblBorders>
        <w:top w:val="single" w:sz="4" w:space="0" w:color="auto"/>
        <w:insideH w:val="single" w:sz="4" w:space="0" w:color="auto"/>
      </w:tblBorders>
      <w:tblLook w:val="01E0" w:firstRow="1" w:lastRow="1" w:firstColumn="1" w:lastColumn="1" w:noHBand="0" w:noVBand="0"/>
    </w:tblPr>
    <w:tblGrid>
      <w:gridCol w:w="5210"/>
      <w:gridCol w:w="5211"/>
    </w:tblGrid>
    <w:tr w:rsidR="006C1E26" w:rsidRPr="000B6349">
      <w:tc>
        <w:tcPr>
          <w:tcW w:w="5210" w:type="dxa"/>
          <w:tcBorders>
            <w:bottom w:val="nil"/>
            <w:right w:val="nil"/>
          </w:tcBorders>
        </w:tcPr>
        <w:p w:rsidR="006C1E26" w:rsidRPr="006C1E26" w:rsidRDefault="006C1E26" w:rsidP="006C1E26">
          <w:pPr>
            <w:spacing w:before="60"/>
            <w:rPr>
              <w:rFonts w:ascii="Arial" w:hAnsi="Arial" w:cs="Arial"/>
              <w:caps/>
              <w:sz w:val="16"/>
              <w:szCs w:val="16"/>
              <w:highlight w:val="red"/>
              <w:lang w:val="sr-Cyrl-RS"/>
            </w:rPr>
          </w:pPr>
          <w:r w:rsidRPr="00977AC7">
            <w:rPr>
              <w:rFonts w:ascii="Arial" w:hAnsi="Arial" w:cs="Arial"/>
              <w:caps/>
              <w:sz w:val="16"/>
              <w:szCs w:val="16"/>
            </w:rPr>
            <w:t>SERB</w:t>
          </w:r>
          <w:r>
            <w:rPr>
              <w:rFonts w:ascii="Arial" w:hAnsi="Arial" w:cs="Arial"/>
              <w:caps/>
              <w:sz w:val="16"/>
              <w:szCs w:val="16"/>
            </w:rPr>
            <w:t>1</w:t>
          </w:r>
          <w:r>
            <w:rPr>
              <w:rFonts w:ascii="Arial" w:hAnsi="Arial" w:cs="Arial"/>
              <w:caps/>
              <w:sz w:val="16"/>
              <w:szCs w:val="16"/>
              <w:lang w:val="sr-Cyrl-RS"/>
            </w:rPr>
            <w:t>72</w:t>
          </w:r>
          <w:r>
            <w:rPr>
              <w:rFonts w:ascii="Arial" w:hAnsi="Arial" w:cs="Arial"/>
              <w:caps/>
              <w:sz w:val="16"/>
              <w:szCs w:val="16"/>
            </w:rPr>
            <w:t xml:space="preserve"> SN</w:t>
          </w:r>
          <w:r>
            <w:rPr>
              <w:rFonts w:ascii="Arial" w:hAnsi="Arial" w:cs="Arial"/>
              <w:caps/>
              <w:sz w:val="16"/>
              <w:szCs w:val="16"/>
              <w:lang w:val="sr-Cyrl-CS"/>
            </w:rPr>
            <w:t>7</w:t>
          </w:r>
          <w:r w:rsidRPr="000B6349">
            <w:rPr>
              <w:rFonts w:ascii="Arial" w:hAnsi="Arial" w:cs="Arial"/>
              <w:caps/>
              <w:sz w:val="16"/>
              <w:szCs w:val="16"/>
              <w:lang w:val="sr-Cyrl-CS"/>
            </w:rPr>
            <w:t xml:space="preserve">0 </w:t>
          </w:r>
          <w:r>
            <w:rPr>
              <w:rFonts w:ascii="Arial" w:hAnsi="Arial" w:cs="Arial"/>
              <w:caps/>
              <w:sz w:val="16"/>
              <w:szCs w:val="16"/>
              <w:lang w:val="sr-Cyrl-RS"/>
            </w:rPr>
            <w:t>010720</w:t>
          </w:r>
        </w:p>
      </w:tc>
      <w:tc>
        <w:tcPr>
          <w:tcW w:w="5211" w:type="dxa"/>
          <w:tcBorders>
            <w:left w:val="nil"/>
            <w:bottom w:val="nil"/>
          </w:tcBorders>
        </w:tcPr>
        <w:p w:rsidR="006C1E26" w:rsidRPr="000B6349" w:rsidRDefault="006C1E26" w:rsidP="000B6349">
          <w:pPr>
            <w:spacing w:before="60"/>
            <w:jc w:val="right"/>
            <w:rPr>
              <w:rFonts w:ascii="Arial" w:hAnsi="Arial" w:cs="Arial"/>
              <w:caps/>
              <w:sz w:val="16"/>
              <w:szCs w:val="16"/>
            </w:rPr>
          </w:pPr>
          <w:r w:rsidRPr="000B6349">
            <w:rPr>
              <w:rFonts w:ascii="Arial" w:hAnsi="Arial" w:cs="Arial"/>
              <w:caps/>
              <w:sz w:val="16"/>
              <w:szCs w:val="16"/>
            </w:rPr>
            <w:fldChar w:fldCharType="begin"/>
          </w:r>
          <w:r w:rsidRPr="000B6349">
            <w:rPr>
              <w:rFonts w:ascii="Arial" w:hAnsi="Arial" w:cs="Arial"/>
              <w:caps/>
              <w:sz w:val="16"/>
              <w:szCs w:val="16"/>
            </w:rPr>
            <w:instrText xml:space="preserve"> PAGE </w:instrText>
          </w:r>
          <w:r w:rsidRPr="000B6349">
            <w:rPr>
              <w:rFonts w:ascii="Arial" w:hAnsi="Arial" w:cs="Arial"/>
              <w:caps/>
              <w:sz w:val="16"/>
              <w:szCs w:val="16"/>
            </w:rPr>
            <w:fldChar w:fldCharType="separate"/>
          </w:r>
          <w:r w:rsidR="005C4C3F">
            <w:rPr>
              <w:rFonts w:ascii="Arial" w:hAnsi="Arial" w:cs="Arial"/>
              <w:caps/>
              <w:noProof/>
              <w:sz w:val="16"/>
              <w:szCs w:val="16"/>
            </w:rPr>
            <w:t>3</w:t>
          </w:r>
          <w:r w:rsidRPr="000B6349">
            <w:rPr>
              <w:rFonts w:ascii="Arial" w:hAnsi="Arial" w:cs="Arial"/>
              <w:caps/>
              <w:sz w:val="16"/>
              <w:szCs w:val="16"/>
            </w:rPr>
            <w:fldChar w:fldCharType="end"/>
          </w:r>
        </w:p>
      </w:tc>
    </w:tr>
  </w:tbl>
  <w:p w:rsidR="006C1E26" w:rsidRPr="000B6349" w:rsidRDefault="006C1E2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322" w:rsidRDefault="00912322" w:rsidP="000B6349">
      <w:r>
        <w:separator/>
      </w:r>
    </w:p>
  </w:footnote>
  <w:footnote w:type="continuationSeparator" w:id="0">
    <w:p w:rsidR="00912322" w:rsidRDefault="00912322" w:rsidP="000B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D4C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0E2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E5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6AD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28236A"/>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E9005084"/>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9E909AE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EE085C4E"/>
    <w:lvl w:ilvl="0">
      <w:start w:val="1"/>
      <w:numFmt w:val="bullet"/>
      <w:pStyle w:val="ListNumber"/>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DF601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5CC682"/>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9C1A3B"/>
    <w:multiLevelType w:val="hybridMultilevel"/>
    <w:tmpl w:val="A2DC5442"/>
    <w:lvl w:ilvl="0" w:tplc="D5C0BAAE">
      <w:start w:val="1"/>
      <w:numFmt w:val="bullet"/>
      <w:lvlText w:val=""/>
      <w:lvlJc w:val="left"/>
      <w:pPr>
        <w:tabs>
          <w:tab w:val="num" w:pos="1117"/>
        </w:tabs>
        <w:ind w:left="1117" w:hanging="360"/>
      </w:pPr>
      <w:rPr>
        <w:rFonts w:ascii="Symbol" w:hAnsi="Symbol" w:cs="Symbol" w:hint="default"/>
        <w:sz w:val="16"/>
        <w:szCs w:val="16"/>
      </w:rPr>
    </w:lvl>
    <w:lvl w:ilvl="1" w:tplc="04090003">
      <w:start w:val="1"/>
      <w:numFmt w:val="bullet"/>
      <w:lvlText w:val="o"/>
      <w:lvlJc w:val="left"/>
      <w:pPr>
        <w:tabs>
          <w:tab w:val="num" w:pos="1837"/>
        </w:tabs>
        <w:ind w:left="1837" w:hanging="360"/>
      </w:pPr>
      <w:rPr>
        <w:rFonts w:ascii="Courier New" w:hAnsi="Courier New" w:cs="Courier New" w:hint="default"/>
      </w:rPr>
    </w:lvl>
    <w:lvl w:ilvl="2" w:tplc="04090005">
      <w:start w:val="1"/>
      <w:numFmt w:val="bullet"/>
      <w:lvlText w:val=""/>
      <w:lvlJc w:val="left"/>
      <w:pPr>
        <w:tabs>
          <w:tab w:val="num" w:pos="2557"/>
        </w:tabs>
        <w:ind w:left="2557" w:hanging="360"/>
      </w:pPr>
      <w:rPr>
        <w:rFonts w:ascii="Wingdings" w:hAnsi="Wingdings" w:cs="Wingdings" w:hint="default"/>
      </w:rPr>
    </w:lvl>
    <w:lvl w:ilvl="3" w:tplc="04090001">
      <w:start w:val="1"/>
      <w:numFmt w:val="bullet"/>
      <w:lvlText w:val=""/>
      <w:lvlJc w:val="left"/>
      <w:pPr>
        <w:tabs>
          <w:tab w:val="num" w:pos="3277"/>
        </w:tabs>
        <w:ind w:left="3277" w:hanging="360"/>
      </w:pPr>
      <w:rPr>
        <w:rFonts w:ascii="Symbol" w:hAnsi="Symbol" w:cs="Symbol" w:hint="default"/>
      </w:rPr>
    </w:lvl>
    <w:lvl w:ilvl="4" w:tplc="04090003">
      <w:start w:val="1"/>
      <w:numFmt w:val="bullet"/>
      <w:lvlText w:val="o"/>
      <w:lvlJc w:val="left"/>
      <w:pPr>
        <w:tabs>
          <w:tab w:val="num" w:pos="3997"/>
        </w:tabs>
        <w:ind w:left="3997" w:hanging="360"/>
      </w:pPr>
      <w:rPr>
        <w:rFonts w:ascii="Courier New" w:hAnsi="Courier New" w:cs="Courier New" w:hint="default"/>
      </w:rPr>
    </w:lvl>
    <w:lvl w:ilvl="5" w:tplc="04090005">
      <w:start w:val="1"/>
      <w:numFmt w:val="bullet"/>
      <w:lvlText w:val=""/>
      <w:lvlJc w:val="left"/>
      <w:pPr>
        <w:tabs>
          <w:tab w:val="num" w:pos="4717"/>
        </w:tabs>
        <w:ind w:left="4717" w:hanging="360"/>
      </w:pPr>
      <w:rPr>
        <w:rFonts w:ascii="Wingdings" w:hAnsi="Wingdings" w:cs="Wingdings" w:hint="default"/>
      </w:rPr>
    </w:lvl>
    <w:lvl w:ilvl="6" w:tplc="04090001">
      <w:start w:val="1"/>
      <w:numFmt w:val="bullet"/>
      <w:lvlText w:val=""/>
      <w:lvlJc w:val="left"/>
      <w:pPr>
        <w:tabs>
          <w:tab w:val="num" w:pos="5437"/>
        </w:tabs>
        <w:ind w:left="5437" w:hanging="360"/>
      </w:pPr>
      <w:rPr>
        <w:rFonts w:ascii="Symbol" w:hAnsi="Symbol" w:cs="Symbol" w:hint="default"/>
      </w:rPr>
    </w:lvl>
    <w:lvl w:ilvl="7" w:tplc="04090003">
      <w:start w:val="1"/>
      <w:numFmt w:val="bullet"/>
      <w:lvlText w:val="o"/>
      <w:lvlJc w:val="left"/>
      <w:pPr>
        <w:tabs>
          <w:tab w:val="num" w:pos="6157"/>
        </w:tabs>
        <w:ind w:left="6157" w:hanging="360"/>
      </w:pPr>
      <w:rPr>
        <w:rFonts w:ascii="Courier New" w:hAnsi="Courier New" w:cs="Courier New" w:hint="default"/>
      </w:rPr>
    </w:lvl>
    <w:lvl w:ilvl="8" w:tplc="04090005">
      <w:start w:val="1"/>
      <w:numFmt w:val="bullet"/>
      <w:lvlText w:val=""/>
      <w:lvlJc w:val="left"/>
      <w:pPr>
        <w:tabs>
          <w:tab w:val="num" w:pos="6877"/>
        </w:tabs>
        <w:ind w:left="6877" w:hanging="360"/>
      </w:pPr>
      <w:rPr>
        <w:rFonts w:ascii="Wingdings" w:hAnsi="Wingdings" w:cs="Wingdings" w:hint="default"/>
      </w:rPr>
    </w:lvl>
  </w:abstractNum>
  <w:abstractNum w:abstractNumId="11" w15:restartNumberingAfterBreak="0">
    <w:nsid w:val="0AE34C7B"/>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2" w15:restartNumberingAfterBreak="0">
    <w:nsid w:val="114D6BE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13" w15:restartNumberingAfterBreak="0">
    <w:nsid w:val="13113286"/>
    <w:multiLevelType w:val="hybridMultilevel"/>
    <w:tmpl w:val="0E64919A"/>
    <w:lvl w:ilvl="0" w:tplc="45985E4C">
      <w:numFmt w:val="bullet"/>
      <w:lvlText w:val="-"/>
      <w:lvlJc w:val="left"/>
      <w:pPr>
        <w:ind w:left="982" w:hanging="585"/>
      </w:pPr>
      <w:rPr>
        <w:rFonts w:ascii="Arial" w:eastAsia="Times New Roman" w:hAnsi="Aria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cs="Wingdings" w:hint="default"/>
      </w:rPr>
    </w:lvl>
    <w:lvl w:ilvl="3" w:tplc="04090001">
      <w:start w:val="1"/>
      <w:numFmt w:val="bullet"/>
      <w:lvlText w:val=""/>
      <w:lvlJc w:val="left"/>
      <w:pPr>
        <w:ind w:left="2917" w:hanging="360"/>
      </w:pPr>
      <w:rPr>
        <w:rFonts w:ascii="Symbol" w:hAnsi="Symbol" w:cs="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cs="Wingdings" w:hint="default"/>
      </w:rPr>
    </w:lvl>
    <w:lvl w:ilvl="6" w:tplc="04090001">
      <w:start w:val="1"/>
      <w:numFmt w:val="bullet"/>
      <w:lvlText w:val=""/>
      <w:lvlJc w:val="left"/>
      <w:pPr>
        <w:ind w:left="5077" w:hanging="360"/>
      </w:pPr>
      <w:rPr>
        <w:rFonts w:ascii="Symbol" w:hAnsi="Symbol" w:cs="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cs="Wingdings" w:hint="default"/>
      </w:rPr>
    </w:lvl>
  </w:abstractNum>
  <w:abstractNum w:abstractNumId="14" w15:restartNumberingAfterBreak="0">
    <w:nsid w:val="15AE790D"/>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89479C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6" w15:restartNumberingAfterBreak="0">
    <w:nsid w:val="30AC7E9D"/>
    <w:multiLevelType w:val="hybridMultilevel"/>
    <w:tmpl w:val="53B0EB8A"/>
    <w:lvl w:ilvl="0" w:tplc="B596C178">
      <w:start w:val="1"/>
      <w:numFmt w:val="bullet"/>
      <w:lvlText w:val="-"/>
      <w:lvlJc w:val="left"/>
      <w:pPr>
        <w:ind w:left="720"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32FC1BFC"/>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8" w15:restartNumberingAfterBreak="0">
    <w:nsid w:val="37916F4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7BC7852"/>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0" w15:restartNumberingAfterBreak="0">
    <w:nsid w:val="39261BEA"/>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1" w15:restartNumberingAfterBreak="0">
    <w:nsid w:val="3B377F59"/>
    <w:multiLevelType w:val="hybridMultilevel"/>
    <w:tmpl w:val="E9CE1D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CD91FB7"/>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D59343A"/>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4" w15:restartNumberingAfterBreak="0">
    <w:nsid w:val="3E6E3703"/>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5" w15:restartNumberingAfterBreak="0">
    <w:nsid w:val="3EBA304D"/>
    <w:multiLevelType w:val="hybridMultilevel"/>
    <w:tmpl w:val="685C18AC"/>
    <w:lvl w:ilvl="0" w:tplc="EE2CC2F8">
      <w:start w:val="1"/>
      <w:numFmt w:val="bullet"/>
      <w:lvlText w:val="-"/>
      <w:lvlJc w:val="left"/>
      <w:pPr>
        <w:tabs>
          <w:tab w:val="num" w:pos="720"/>
        </w:tabs>
        <w:ind w:left="720" w:hanging="360"/>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0EB474F"/>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7" w15:restartNumberingAfterBreak="0">
    <w:nsid w:val="4164600F"/>
    <w:multiLevelType w:val="multilevel"/>
    <w:tmpl w:val="8B42E072"/>
    <w:lvl w:ilvl="0">
      <w:start w:val="1"/>
      <w:numFmt w:val="decimal"/>
      <w:lvlText w:val="%1"/>
      <w:lvlJc w:val="left"/>
      <w:pPr>
        <w:tabs>
          <w:tab w:val="num" w:pos="360"/>
        </w:tabs>
        <w:ind w:left="363" w:hanging="360"/>
      </w:pPr>
      <w:rPr>
        <w:rFonts w:ascii="Arial" w:hAnsi="Arial" w:cs="Arial" w:hint="default"/>
        <w:b/>
        <w:bCs/>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59470E3"/>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9" w15:restartNumberingAfterBreak="0">
    <w:nsid w:val="4B3A34D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0" w15:restartNumberingAfterBreak="0">
    <w:nsid w:val="5311730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1" w15:restartNumberingAfterBreak="0">
    <w:nsid w:val="5B4A5D26"/>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2" w15:restartNumberingAfterBreak="0">
    <w:nsid w:val="5FB572F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3" w15:restartNumberingAfterBreak="0">
    <w:nsid w:val="6AF80680"/>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2087AF4"/>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43D1920"/>
    <w:multiLevelType w:val="hybridMultilevel"/>
    <w:tmpl w:val="F9106B3C"/>
    <w:lvl w:ilvl="0" w:tplc="37E80C4E">
      <w:start w:val="1"/>
      <w:numFmt w:val="bullet"/>
      <w:lvlText w:val="-"/>
      <w:lvlJc w:val="left"/>
      <w:pPr>
        <w:ind w:left="1117" w:hanging="360"/>
      </w:pPr>
      <w:rPr>
        <w:rFonts w:ascii="Arial" w:hAnsi="Arial" w:cs="Arial"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cs="Wingdings" w:hint="default"/>
      </w:rPr>
    </w:lvl>
    <w:lvl w:ilvl="3" w:tplc="04090001">
      <w:start w:val="1"/>
      <w:numFmt w:val="bullet"/>
      <w:lvlText w:val=""/>
      <w:lvlJc w:val="left"/>
      <w:pPr>
        <w:ind w:left="3277" w:hanging="360"/>
      </w:pPr>
      <w:rPr>
        <w:rFonts w:ascii="Symbol" w:hAnsi="Symbol" w:cs="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cs="Wingdings" w:hint="default"/>
      </w:rPr>
    </w:lvl>
    <w:lvl w:ilvl="6" w:tplc="04090001">
      <w:start w:val="1"/>
      <w:numFmt w:val="bullet"/>
      <w:lvlText w:val=""/>
      <w:lvlJc w:val="left"/>
      <w:pPr>
        <w:ind w:left="5437" w:hanging="360"/>
      </w:pPr>
      <w:rPr>
        <w:rFonts w:ascii="Symbol" w:hAnsi="Symbol" w:cs="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cs="Wingdings" w:hint="default"/>
      </w:rPr>
    </w:lvl>
  </w:abstractNum>
  <w:num w:numId="1">
    <w:abstractNumId w:val="8"/>
  </w:num>
  <w:num w:numId="2">
    <w:abstractNumId w:val="8"/>
  </w:num>
  <w:num w:numId="3">
    <w:abstractNumId w:val="21"/>
  </w:num>
  <w:num w:numId="4">
    <w:abstractNumId w:val="7"/>
  </w:num>
  <w:num w:numId="5">
    <w:abstractNumId w:val="8"/>
  </w:num>
  <w:num w:numId="6">
    <w:abstractNumId w:val="9"/>
  </w:num>
  <w:num w:numId="7">
    <w:abstractNumId w:val="3"/>
  </w:num>
  <w:num w:numId="8">
    <w:abstractNumId w:val="2"/>
  </w:num>
  <w:num w:numId="9">
    <w:abstractNumId w:val="1"/>
  </w:num>
  <w:num w:numId="10">
    <w:abstractNumId w:val="0"/>
  </w:num>
  <w:num w:numId="11">
    <w:abstractNumId w:val="6"/>
  </w:num>
  <w:num w:numId="12">
    <w:abstractNumId w:val="5"/>
  </w:num>
  <w:num w:numId="13">
    <w:abstractNumId w:val="4"/>
  </w:num>
  <w:num w:numId="14">
    <w:abstractNumId w:val="18"/>
  </w:num>
  <w:num w:numId="15">
    <w:abstractNumId w:val="27"/>
  </w:num>
  <w:num w:numId="16">
    <w:abstractNumId w:val="31"/>
  </w:num>
  <w:num w:numId="17">
    <w:abstractNumId w:val="29"/>
  </w:num>
  <w:num w:numId="18">
    <w:abstractNumId w:val="12"/>
  </w:num>
  <w:num w:numId="19">
    <w:abstractNumId w:val="14"/>
  </w:num>
  <w:num w:numId="20">
    <w:abstractNumId w:val="34"/>
  </w:num>
  <w:num w:numId="21">
    <w:abstractNumId w:val="26"/>
  </w:num>
  <w:num w:numId="22">
    <w:abstractNumId w:val="22"/>
  </w:num>
  <w:num w:numId="23">
    <w:abstractNumId w:val="33"/>
  </w:num>
  <w:num w:numId="24">
    <w:abstractNumId w:val="28"/>
  </w:num>
  <w:num w:numId="25">
    <w:abstractNumId w:val="24"/>
  </w:num>
  <w:num w:numId="26">
    <w:abstractNumId w:val="17"/>
  </w:num>
  <w:num w:numId="27">
    <w:abstractNumId w:val="15"/>
  </w:num>
  <w:num w:numId="28">
    <w:abstractNumId w:val="19"/>
  </w:num>
  <w:num w:numId="29">
    <w:abstractNumId w:val="32"/>
  </w:num>
  <w:num w:numId="30">
    <w:abstractNumId w:val="11"/>
  </w:num>
  <w:num w:numId="31">
    <w:abstractNumId w:val="30"/>
  </w:num>
  <w:num w:numId="32">
    <w:abstractNumId w:val="23"/>
  </w:num>
  <w:num w:numId="33">
    <w:abstractNumId w:val="20"/>
  </w:num>
  <w:num w:numId="34">
    <w:abstractNumId w:val="10"/>
  </w:num>
  <w:num w:numId="35">
    <w:abstractNumId w:val="35"/>
  </w:num>
  <w:num w:numId="36">
    <w:abstractNumId w:val="13"/>
  </w:num>
  <w:num w:numId="37">
    <w:abstractNumId w:val="2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hyphenationZone w:val="425"/>
  <w:doNotHyphenateCaps/>
  <w:evenAndOddHeader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C96"/>
    <w:rsid w:val="00001494"/>
    <w:rsid w:val="00003228"/>
    <w:rsid w:val="00006136"/>
    <w:rsid w:val="0000700D"/>
    <w:rsid w:val="000107F0"/>
    <w:rsid w:val="00017093"/>
    <w:rsid w:val="00033077"/>
    <w:rsid w:val="000343E1"/>
    <w:rsid w:val="00035998"/>
    <w:rsid w:val="0004353B"/>
    <w:rsid w:val="00044054"/>
    <w:rsid w:val="00045CC8"/>
    <w:rsid w:val="00054CA7"/>
    <w:rsid w:val="00055839"/>
    <w:rsid w:val="00060A24"/>
    <w:rsid w:val="00061675"/>
    <w:rsid w:val="00061C1A"/>
    <w:rsid w:val="000636C3"/>
    <w:rsid w:val="000760FF"/>
    <w:rsid w:val="00080775"/>
    <w:rsid w:val="00082C46"/>
    <w:rsid w:val="0009498B"/>
    <w:rsid w:val="000949AB"/>
    <w:rsid w:val="000959D1"/>
    <w:rsid w:val="00096983"/>
    <w:rsid w:val="000A4C39"/>
    <w:rsid w:val="000B04FE"/>
    <w:rsid w:val="000B1723"/>
    <w:rsid w:val="000B6349"/>
    <w:rsid w:val="000C207D"/>
    <w:rsid w:val="000C2867"/>
    <w:rsid w:val="000C364F"/>
    <w:rsid w:val="000C3FA8"/>
    <w:rsid w:val="000C4A1B"/>
    <w:rsid w:val="000C7C7E"/>
    <w:rsid w:val="000D07C8"/>
    <w:rsid w:val="000D5D92"/>
    <w:rsid w:val="000E3B80"/>
    <w:rsid w:val="000E54D9"/>
    <w:rsid w:val="000F3311"/>
    <w:rsid w:val="000F573E"/>
    <w:rsid w:val="00107AC4"/>
    <w:rsid w:val="00111EC6"/>
    <w:rsid w:val="001135B7"/>
    <w:rsid w:val="001257CD"/>
    <w:rsid w:val="001273F9"/>
    <w:rsid w:val="0013184E"/>
    <w:rsid w:val="00135A39"/>
    <w:rsid w:val="001523C9"/>
    <w:rsid w:val="00155F14"/>
    <w:rsid w:val="00166ADE"/>
    <w:rsid w:val="00175426"/>
    <w:rsid w:val="00177A00"/>
    <w:rsid w:val="00180855"/>
    <w:rsid w:val="00180DDF"/>
    <w:rsid w:val="0019202F"/>
    <w:rsid w:val="001971D0"/>
    <w:rsid w:val="001A023A"/>
    <w:rsid w:val="001A33DC"/>
    <w:rsid w:val="001A7AC5"/>
    <w:rsid w:val="001B2E54"/>
    <w:rsid w:val="001B409D"/>
    <w:rsid w:val="001B55CE"/>
    <w:rsid w:val="001B72F8"/>
    <w:rsid w:val="001C3BBF"/>
    <w:rsid w:val="001D0C6E"/>
    <w:rsid w:val="001D470C"/>
    <w:rsid w:val="001D6E29"/>
    <w:rsid w:val="001E3381"/>
    <w:rsid w:val="001E4F44"/>
    <w:rsid w:val="001E7FE5"/>
    <w:rsid w:val="001F3A2C"/>
    <w:rsid w:val="001F66C6"/>
    <w:rsid w:val="001F69D7"/>
    <w:rsid w:val="0020262A"/>
    <w:rsid w:val="0021518F"/>
    <w:rsid w:val="00215AF2"/>
    <w:rsid w:val="002167C8"/>
    <w:rsid w:val="00221541"/>
    <w:rsid w:val="00230572"/>
    <w:rsid w:val="00232800"/>
    <w:rsid w:val="002340C0"/>
    <w:rsid w:val="0023455C"/>
    <w:rsid w:val="00243DB4"/>
    <w:rsid w:val="00265843"/>
    <w:rsid w:val="00266D21"/>
    <w:rsid w:val="00266F93"/>
    <w:rsid w:val="0027112C"/>
    <w:rsid w:val="00275B3C"/>
    <w:rsid w:val="002765CC"/>
    <w:rsid w:val="0028556A"/>
    <w:rsid w:val="00293A9A"/>
    <w:rsid w:val="002950B9"/>
    <w:rsid w:val="002A1DB1"/>
    <w:rsid w:val="002A2F6B"/>
    <w:rsid w:val="002B478B"/>
    <w:rsid w:val="002C3515"/>
    <w:rsid w:val="002D3948"/>
    <w:rsid w:val="002D4DEA"/>
    <w:rsid w:val="002D6377"/>
    <w:rsid w:val="002E7481"/>
    <w:rsid w:val="002F2EE2"/>
    <w:rsid w:val="002F323F"/>
    <w:rsid w:val="002F5E7B"/>
    <w:rsid w:val="00304672"/>
    <w:rsid w:val="003134E0"/>
    <w:rsid w:val="00314820"/>
    <w:rsid w:val="003226E9"/>
    <w:rsid w:val="003233EB"/>
    <w:rsid w:val="00327DCE"/>
    <w:rsid w:val="00330218"/>
    <w:rsid w:val="003439BE"/>
    <w:rsid w:val="00347346"/>
    <w:rsid w:val="003529B6"/>
    <w:rsid w:val="00354A51"/>
    <w:rsid w:val="0035726A"/>
    <w:rsid w:val="0035786D"/>
    <w:rsid w:val="00361163"/>
    <w:rsid w:val="00364BB8"/>
    <w:rsid w:val="0036520F"/>
    <w:rsid w:val="00365810"/>
    <w:rsid w:val="00365B18"/>
    <w:rsid w:val="00365FF6"/>
    <w:rsid w:val="0037062B"/>
    <w:rsid w:val="00382F5A"/>
    <w:rsid w:val="00385D8D"/>
    <w:rsid w:val="00395479"/>
    <w:rsid w:val="00396A5F"/>
    <w:rsid w:val="003A220C"/>
    <w:rsid w:val="003A72A1"/>
    <w:rsid w:val="003C23C1"/>
    <w:rsid w:val="003D0037"/>
    <w:rsid w:val="003D5D44"/>
    <w:rsid w:val="003E66D4"/>
    <w:rsid w:val="003E7822"/>
    <w:rsid w:val="0042032F"/>
    <w:rsid w:val="00423F6B"/>
    <w:rsid w:val="0043406F"/>
    <w:rsid w:val="0043479E"/>
    <w:rsid w:val="004348B2"/>
    <w:rsid w:val="0043636E"/>
    <w:rsid w:val="004420DA"/>
    <w:rsid w:val="00442AD1"/>
    <w:rsid w:val="0044344C"/>
    <w:rsid w:val="00444EA7"/>
    <w:rsid w:val="00454006"/>
    <w:rsid w:val="004740DB"/>
    <w:rsid w:val="00475922"/>
    <w:rsid w:val="0047690F"/>
    <w:rsid w:val="00481F9A"/>
    <w:rsid w:val="00482542"/>
    <w:rsid w:val="00482819"/>
    <w:rsid w:val="004874AF"/>
    <w:rsid w:val="0048799A"/>
    <w:rsid w:val="0049596A"/>
    <w:rsid w:val="004A4ECB"/>
    <w:rsid w:val="004B0178"/>
    <w:rsid w:val="004B1EA9"/>
    <w:rsid w:val="004B4A42"/>
    <w:rsid w:val="004B534C"/>
    <w:rsid w:val="004C4CB3"/>
    <w:rsid w:val="004C5423"/>
    <w:rsid w:val="004D24D1"/>
    <w:rsid w:val="004D2D8E"/>
    <w:rsid w:val="004D787D"/>
    <w:rsid w:val="004E28DB"/>
    <w:rsid w:val="00512835"/>
    <w:rsid w:val="005173C1"/>
    <w:rsid w:val="00523A1C"/>
    <w:rsid w:val="00532765"/>
    <w:rsid w:val="00544EDD"/>
    <w:rsid w:val="0055321E"/>
    <w:rsid w:val="0055686E"/>
    <w:rsid w:val="005572CE"/>
    <w:rsid w:val="00561F44"/>
    <w:rsid w:val="00563461"/>
    <w:rsid w:val="0056450F"/>
    <w:rsid w:val="005678C6"/>
    <w:rsid w:val="00576FCB"/>
    <w:rsid w:val="005800F9"/>
    <w:rsid w:val="00582EC9"/>
    <w:rsid w:val="005924F4"/>
    <w:rsid w:val="00595329"/>
    <w:rsid w:val="00596627"/>
    <w:rsid w:val="005A3328"/>
    <w:rsid w:val="005B3929"/>
    <w:rsid w:val="005B3A62"/>
    <w:rsid w:val="005B7EB4"/>
    <w:rsid w:val="005C4820"/>
    <w:rsid w:val="005C4C3F"/>
    <w:rsid w:val="005D1AE6"/>
    <w:rsid w:val="005D2394"/>
    <w:rsid w:val="006064B9"/>
    <w:rsid w:val="00610D55"/>
    <w:rsid w:val="006120F4"/>
    <w:rsid w:val="0061429E"/>
    <w:rsid w:val="00614523"/>
    <w:rsid w:val="00622073"/>
    <w:rsid w:val="00626931"/>
    <w:rsid w:val="00633E1B"/>
    <w:rsid w:val="00636E82"/>
    <w:rsid w:val="006457BA"/>
    <w:rsid w:val="00653A8C"/>
    <w:rsid w:val="00656299"/>
    <w:rsid w:val="0065726B"/>
    <w:rsid w:val="00660B52"/>
    <w:rsid w:val="00666F5B"/>
    <w:rsid w:val="0067095E"/>
    <w:rsid w:val="00676256"/>
    <w:rsid w:val="0068387E"/>
    <w:rsid w:val="006843A4"/>
    <w:rsid w:val="006849A5"/>
    <w:rsid w:val="006879B4"/>
    <w:rsid w:val="00690428"/>
    <w:rsid w:val="006A0D51"/>
    <w:rsid w:val="006B17AE"/>
    <w:rsid w:val="006B6825"/>
    <w:rsid w:val="006C1E26"/>
    <w:rsid w:val="006C3D0A"/>
    <w:rsid w:val="006D3D94"/>
    <w:rsid w:val="006D62D1"/>
    <w:rsid w:val="006E1BE1"/>
    <w:rsid w:val="006E260E"/>
    <w:rsid w:val="006E6EA6"/>
    <w:rsid w:val="006F2B4B"/>
    <w:rsid w:val="00702FCE"/>
    <w:rsid w:val="007051C2"/>
    <w:rsid w:val="00730DB0"/>
    <w:rsid w:val="00746849"/>
    <w:rsid w:val="007475C0"/>
    <w:rsid w:val="007514C2"/>
    <w:rsid w:val="00755459"/>
    <w:rsid w:val="007554FB"/>
    <w:rsid w:val="00757AB0"/>
    <w:rsid w:val="00762B7D"/>
    <w:rsid w:val="007708E3"/>
    <w:rsid w:val="00787F9E"/>
    <w:rsid w:val="0079726C"/>
    <w:rsid w:val="007A2113"/>
    <w:rsid w:val="007A319F"/>
    <w:rsid w:val="007A68B6"/>
    <w:rsid w:val="007B6393"/>
    <w:rsid w:val="007D6610"/>
    <w:rsid w:val="007D7A77"/>
    <w:rsid w:val="007D7DE4"/>
    <w:rsid w:val="007F1731"/>
    <w:rsid w:val="007F46C9"/>
    <w:rsid w:val="008008B6"/>
    <w:rsid w:val="0080145F"/>
    <w:rsid w:val="008041C2"/>
    <w:rsid w:val="00806A81"/>
    <w:rsid w:val="00811992"/>
    <w:rsid w:val="0081600D"/>
    <w:rsid w:val="00821ADF"/>
    <w:rsid w:val="00830017"/>
    <w:rsid w:val="00830C5D"/>
    <w:rsid w:val="00832CF8"/>
    <w:rsid w:val="00836ECB"/>
    <w:rsid w:val="00843AC9"/>
    <w:rsid w:val="0084769F"/>
    <w:rsid w:val="0087097A"/>
    <w:rsid w:val="00877394"/>
    <w:rsid w:val="0089248C"/>
    <w:rsid w:val="00894370"/>
    <w:rsid w:val="0089521D"/>
    <w:rsid w:val="00895996"/>
    <w:rsid w:val="008A5903"/>
    <w:rsid w:val="008A6A48"/>
    <w:rsid w:val="008C654A"/>
    <w:rsid w:val="008C77FC"/>
    <w:rsid w:val="008D2F46"/>
    <w:rsid w:val="008E565C"/>
    <w:rsid w:val="008F79D3"/>
    <w:rsid w:val="008F7BB9"/>
    <w:rsid w:val="00903BC9"/>
    <w:rsid w:val="00906C37"/>
    <w:rsid w:val="00907E04"/>
    <w:rsid w:val="00912322"/>
    <w:rsid w:val="00913112"/>
    <w:rsid w:val="009137BE"/>
    <w:rsid w:val="0092582E"/>
    <w:rsid w:val="00926638"/>
    <w:rsid w:val="00932099"/>
    <w:rsid w:val="00941869"/>
    <w:rsid w:val="00945703"/>
    <w:rsid w:val="009506FE"/>
    <w:rsid w:val="00952E74"/>
    <w:rsid w:val="00955671"/>
    <w:rsid w:val="00977AC7"/>
    <w:rsid w:val="00984B9A"/>
    <w:rsid w:val="00986660"/>
    <w:rsid w:val="00990082"/>
    <w:rsid w:val="00991B17"/>
    <w:rsid w:val="00997416"/>
    <w:rsid w:val="009A52D3"/>
    <w:rsid w:val="009A5E84"/>
    <w:rsid w:val="009A783D"/>
    <w:rsid w:val="009B115E"/>
    <w:rsid w:val="009B4F0C"/>
    <w:rsid w:val="009D662B"/>
    <w:rsid w:val="009D74C3"/>
    <w:rsid w:val="009E3C53"/>
    <w:rsid w:val="00A10688"/>
    <w:rsid w:val="00A15960"/>
    <w:rsid w:val="00A201CD"/>
    <w:rsid w:val="00A214C8"/>
    <w:rsid w:val="00A24056"/>
    <w:rsid w:val="00A32F68"/>
    <w:rsid w:val="00A335AD"/>
    <w:rsid w:val="00A411A9"/>
    <w:rsid w:val="00A4651E"/>
    <w:rsid w:val="00A52103"/>
    <w:rsid w:val="00A5641B"/>
    <w:rsid w:val="00A56779"/>
    <w:rsid w:val="00A57319"/>
    <w:rsid w:val="00A605BF"/>
    <w:rsid w:val="00A639C6"/>
    <w:rsid w:val="00A65235"/>
    <w:rsid w:val="00A67D91"/>
    <w:rsid w:val="00A83EC4"/>
    <w:rsid w:val="00A8461F"/>
    <w:rsid w:val="00A86472"/>
    <w:rsid w:val="00A875CB"/>
    <w:rsid w:val="00A9631B"/>
    <w:rsid w:val="00A97690"/>
    <w:rsid w:val="00AA5769"/>
    <w:rsid w:val="00AC3CA9"/>
    <w:rsid w:val="00AD4592"/>
    <w:rsid w:val="00AD6D4C"/>
    <w:rsid w:val="00AE0A9D"/>
    <w:rsid w:val="00AE24A5"/>
    <w:rsid w:val="00AE3DEA"/>
    <w:rsid w:val="00AF4E66"/>
    <w:rsid w:val="00B02CC3"/>
    <w:rsid w:val="00B10A48"/>
    <w:rsid w:val="00B12B66"/>
    <w:rsid w:val="00B14E14"/>
    <w:rsid w:val="00B17922"/>
    <w:rsid w:val="00B20D72"/>
    <w:rsid w:val="00B24E77"/>
    <w:rsid w:val="00B33F1C"/>
    <w:rsid w:val="00B34542"/>
    <w:rsid w:val="00B401C9"/>
    <w:rsid w:val="00B431E5"/>
    <w:rsid w:val="00B43AB2"/>
    <w:rsid w:val="00B503BA"/>
    <w:rsid w:val="00B51BFA"/>
    <w:rsid w:val="00B5230D"/>
    <w:rsid w:val="00B53AC1"/>
    <w:rsid w:val="00B63CC8"/>
    <w:rsid w:val="00B735CE"/>
    <w:rsid w:val="00B82787"/>
    <w:rsid w:val="00B8364B"/>
    <w:rsid w:val="00B94FB5"/>
    <w:rsid w:val="00BA1EC7"/>
    <w:rsid w:val="00BA2628"/>
    <w:rsid w:val="00BB4E89"/>
    <w:rsid w:val="00BB605B"/>
    <w:rsid w:val="00BC45EC"/>
    <w:rsid w:val="00BC629F"/>
    <w:rsid w:val="00BD0CBA"/>
    <w:rsid w:val="00BD1A3D"/>
    <w:rsid w:val="00BD5BAB"/>
    <w:rsid w:val="00BE39A5"/>
    <w:rsid w:val="00BF1F09"/>
    <w:rsid w:val="00BF2586"/>
    <w:rsid w:val="00C15D21"/>
    <w:rsid w:val="00C17878"/>
    <w:rsid w:val="00C2548D"/>
    <w:rsid w:val="00C27665"/>
    <w:rsid w:val="00C3342F"/>
    <w:rsid w:val="00C33F68"/>
    <w:rsid w:val="00C40CC1"/>
    <w:rsid w:val="00C4528D"/>
    <w:rsid w:val="00C505D6"/>
    <w:rsid w:val="00C650D5"/>
    <w:rsid w:val="00C66DD1"/>
    <w:rsid w:val="00C70DDA"/>
    <w:rsid w:val="00C714BF"/>
    <w:rsid w:val="00C7651C"/>
    <w:rsid w:val="00C91875"/>
    <w:rsid w:val="00C9388B"/>
    <w:rsid w:val="00CA3604"/>
    <w:rsid w:val="00CA41CB"/>
    <w:rsid w:val="00CB4035"/>
    <w:rsid w:val="00CB797E"/>
    <w:rsid w:val="00CC6FC8"/>
    <w:rsid w:val="00CD2F37"/>
    <w:rsid w:val="00CE0F1D"/>
    <w:rsid w:val="00CF0A70"/>
    <w:rsid w:val="00CF17C2"/>
    <w:rsid w:val="00CF3415"/>
    <w:rsid w:val="00CF6D3E"/>
    <w:rsid w:val="00CF7B06"/>
    <w:rsid w:val="00D01300"/>
    <w:rsid w:val="00D17DB6"/>
    <w:rsid w:val="00D207CF"/>
    <w:rsid w:val="00D23425"/>
    <w:rsid w:val="00D31289"/>
    <w:rsid w:val="00D35E9A"/>
    <w:rsid w:val="00D362E1"/>
    <w:rsid w:val="00D36CF8"/>
    <w:rsid w:val="00D43461"/>
    <w:rsid w:val="00D471CD"/>
    <w:rsid w:val="00D51FB4"/>
    <w:rsid w:val="00D528B4"/>
    <w:rsid w:val="00D52D45"/>
    <w:rsid w:val="00D56505"/>
    <w:rsid w:val="00D62C6F"/>
    <w:rsid w:val="00D7570A"/>
    <w:rsid w:val="00D821D7"/>
    <w:rsid w:val="00D83A64"/>
    <w:rsid w:val="00D85412"/>
    <w:rsid w:val="00D976E7"/>
    <w:rsid w:val="00D97C40"/>
    <w:rsid w:val="00DA1411"/>
    <w:rsid w:val="00DB4CC7"/>
    <w:rsid w:val="00DB7086"/>
    <w:rsid w:val="00DC428B"/>
    <w:rsid w:val="00DC6211"/>
    <w:rsid w:val="00DD068B"/>
    <w:rsid w:val="00DE331E"/>
    <w:rsid w:val="00DE698C"/>
    <w:rsid w:val="00E0563B"/>
    <w:rsid w:val="00E1289C"/>
    <w:rsid w:val="00E2275B"/>
    <w:rsid w:val="00E23526"/>
    <w:rsid w:val="00E26663"/>
    <w:rsid w:val="00E31B9E"/>
    <w:rsid w:val="00E357B4"/>
    <w:rsid w:val="00E363C6"/>
    <w:rsid w:val="00E403E0"/>
    <w:rsid w:val="00E431AD"/>
    <w:rsid w:val="00E47A00"/>
    <w:rsid w:val="00E51B93"/>
    <w:rsid w:val="00E719E6"/>
    <w:rsid w:val="00E76887"/>
    <w:rsid w:val="00E81F60"/>
    <w:rsid w:val="00E9477B"/>
    <w:rsid w:val="00EA1BA1"/>
    <w:rsid w:val="00EA5ED1"/>
    <w:rsid w:val="00EB0ACA"/>
    <w:rsid w:val="00EB1C3B"/>
    <w:rsid w:val="00EB399B"/>
    <w:rsid w:val="00EC1777"/>
    <w:rsid w:val="00EC7C96"/>
    <w:rsid w:val="00ED6835"/>
    <w:rsid w:val="00ED7030"/>
    <w:rsid w:val="00EE10B2"/>
    <w:rsid w:val="00F02B66"/>
    <w:rsid w:val="00F0420E"/>
    <w:rsid w:val="00F05276"/>
    <w:rsid w:val="00F14210"/>
    <w:rsid w:val="00F231BB"/>
    <w:rsid w:val="00F244FC"/>
    <w:rsid w:val="00F26BFB"/>
    <w:rsid w:val="00F308D5"/>
    <w:rsid w:val="00F35996"/>
    <w:rsid w:val="00F36481"/>
    <w:rsid w:val="00F633A5"/>
    <w:rsid w:val="00F67897"/>
    <w:rsid w:val="00F67932"/>
    <w:rsid w:val="00F7116C"/>
    <w:rsid w:val="00F74206"/>
    <w:rsid w:val="00F7664F"/>
    <w:rsid w:val="00F93D77"/>
    <w:rsid w:val="00F968E1"/>
    <w:rsid w:val="00F97F77"/>
    <w:rsid w:val="00FB41AD"/>
    <w:rsid w:val="00FB6D31"/>
    <w:rsid w:val="00FC0148"/>
    <w:rsid w:val="00FC132D"/>
    <w:rsid w:val="00FC327C"/>
    <w:rsid w:val="00FE0A6C"/>
    <w:rsid w:val="00FE0BB0"/>
    <w:rsid w:val="00FE153C"/>
    <w:rsid w:val="00FE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75F65CC-B0AD-40A8-B624-D56BEE08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4E0"/>
    <w:rPr>
      <w:sz w:val="24"/>
      <w:szCs w:val="24"/>
    </w:rPr>
  </w:style>
  <w:style w:type="paragraph" w:styleId="Heading1">
    <w:name w:val="heading 1"/>
    <w:basedOn w:val="Normal"/>
    <w:next w:val="Normal"/>
    <w:link w:val="Heading1Char"/>
    <w:uiPriority w:val="99"/>
    <w:qFormat/>
    <w:rsid w:val="00275B3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275B3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75B3C"/>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275B3C"/>
    <w:pPr>
      <w:spacing w:before="240" w:after="60"/>
      <w:outlineLvl w:val="4"/>
    </w:pPr>
    <w:rPr>
      <w:rFonts w:ascii="Arial" w:hAnsi="Arial" w:cs="Arial"/>
      <w:b/>
      <w:bCs/>
      <w:i/>
      <w:iCs/>
      <w:sz w:val="26"/>
      <w:szCs w:val="26"/>
    </w:rPr>
  </w:style>
  <w:style w:type="paragraph" w:styleId="Heading6">
    <w:name w:val="heading 6"/>
    <w:basedOn w:val="Normal"/>
    <w:next w:val="Normal"/>
    <w:link w:val="Heading6Char"/>
    <w:uiPriority w:val="99"/>
    <w:qFormat/>
    <w:rsid w:val="00275B3C"/>
    <w:pPr>
      <w:spacing w:before="240" w:after="60"/>
      <w:outlineLvl w:val="5"/>
    </w:pPr>
    <w:rPr>
      <w:b/>
      <w:bCs/>
      <w:sz w:val="22"/>
      <w:szCs w:val="22"/>
    </w:rPr>
  </w:style>
  <w:style w:type="paragraph" w:styleId="Heading7">
    <w:name w:val="heading 7"/>
    <w:basedOn w:val="Normal"/>
    <w:next w:val="Normal"/>
    <w:link w:val="Heading7Char"/>
    <w:uiPriority w:val="99"/>
    <w:qFormat/>
    <w:rsid w:val="00275B3C"/>
    <w:pPr>
      <w:spacing w:before="240" w:after="60"/>
      <w:outlineLvl w:val="6"/>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75B3C"/>
    <w:rPr>
      <w:rFonts w:ascii="Arial" w:hAnsi="Arial" w:cs="Arial"/>
      <w:b/>
      <w:bCs/>
      <w:kern w:val="32"/>
      <w:sz w:val="32"/>
      <w:szCs w:val="32"/>
    </w:rPr>
  </w:style>
  <w:style w:type="character" w:customStyle="1" w:styleId="Heading2Char">
    <w:name w:val="Heading 2 Char"/>
    <w:link w:val="Heading2"/>
    <w:uiPriority w:val="99"/>
    <w:locked/>
    <w:rsid w:val="00275B3C"/>
    <w:rPr>
      <w:rFonts w:ascii="Arial" w:hAnsi="Arial" w:cs="Arial"/>
      <w:b/>
      <w:bCs/>
      <w:i/>
      <w:iCs/>
      <w:sz w:val="28"/>
      <w:szCs w:val="28"/>
    </w:rPr>
  </w:style>
  <w:style w:type="character" w:customStyle="1" w:styleId="Heading3Char">
    <w:name w:val="Heading 3 Char"/>
    <w:link w:val="Heading3"/>
    <w:uiPriority w:val="99"/>
    <w:locked/>
    <w:rsid w:val="00275B3C"/>
    <w:rPr>
      <w:rFonts w:ascii="Arial" w:hAnsi="Arial" w:cs="Arial"/>
      <w:b/>
      <w:bCs/>
      <w:sz w:val="26"/>
      <w:szCs w:val="26"/>
    </w:rPr>
  </w:style>
  <w:style w:type="character" w:customStyle="1" w:styleId="Heading5Char">
    <w:name w:val="Heading 5 Char"/>
    <w:link w:val="Heading5"/>
    <w:uiPriority w:val="99"/>
    <w:locked/>
    <w:rsid w:val="00275B3C"/>
    <w:rPr>
      <w:rFonts w:ascii="Arial" w:hAnsi="Arial" w:cs="Arial"/>
      <w:b/>
      <w:bCs/>
      <w:i/>
      <w:iCs/>
      <w:sz w:val="26"/>
      <w:szCs w:val="26"/>
    </w:rPr>
  </w:style>
  <w:style w:type="character" w:customStyle="1" w:styleId="Heading6Char">
    <w:name w:val="Heading 6 Char"/>
    <w:link w:val="Heading6"/>
    <w:uiPriority w:val="99"/>
    <w:locked/>
    <w:rsid w:val="00275B3C"/>
    <w:rPr>
      <w:b/>
      <w:bCs/>
      <w:sz w:val="22"/>
      <w:szCs w:val="22"/>
    </w:rPr>
  </w:style>
  <w:style w:type="character" w:customStyle="1" w:styleId="Heading7Char">
    <w:name w:val="Heading 7 Char"/>
    <w:link w:val="Heading7"/>
    <w:uiPriority w:val="99"/>
    <w:locked/>
    <w:rsid w:val="00275B3C"/>
    <w:rPr>
      <w:rFonts w:ascii="Arial" w:hAnsi="Arial" w:cs="Arial"/>
      <w:sz w:val="24"/>
      <w:szCs w:val="24"/>
    </w:rPr>
  </w:style>
  <w:style w:type="paragraph" w:customStyle="1" w:styleId="CarCar">
    <w:name w:val="Car Car"/>
    <w:basedOn w:val="Normal"/>
    <w:uiPriority w:val="99"/>
    <w:rsid w:val="00E719E6"/>
    <w:pPr>
      <w:spacing w:after="160" w:line="240" w:lineRule="exact"/>
    </w:pPr>
    <w:rPr>
      <w:rFonts w:ascii="Verdana" w:hAnsi="Verdana" w:cs="Verdana"/>
      <w:i/>
      <w:iCs/>
      <w:sz w:val="20"/>
      <w:szCs w:val="20"/>
    </w:rPr>
  </w:style>
  <w:style w:type="character" w:styleId="Hyperlink">
    <w:name w:val="Hyperlink"/>
    <w:uiPriority w:val="99"/>
    <w:rsid w:val="00E719E6"/>
    <w:rPr>
      <w:color w:val="0000FF"/>
      <w:u w:val="single"/>
    </w:rPr>
  </w:style>
  <w:style w:type="character" w:styleId="FollowedHyperlink">
    <w:name w:val="FollowedHyperlink"/>
    <w:uiPriority w:val="99"/>
    <w:rsid w:val="009506FE"/>
    <w:rPr>
      <w:color w:val="800080"/>
      <w:u w:val="single"/>
    </w:rPr>
  </w:style>
  <w:style w:type="paragraph" w:styleId="BalloonText">
    <w:name w:val="Balloon Text"/>
    <w:basedOn w:val="Normal"/>
    <w:link w:val="BalloonTextChar"/>
    <w:uiPriority w:val="99"/>
    <w:semiHidden/>
    <w:rsid w:val="00BE39A5"/>
    <w:rPr>
      <w:rFonts w:ascii="Tahoma" w:hAnsi="Tahoma" w:cs="Tahoma"/>
      <w:sz w:val="16"/>
      <w:szCs w:val="16"/>
      <w:lang w:eastAsia="ja-JP"/>
    </w:rPr>
  </w:style>
  <w:style w:type="character" w:customStyle="1" w:styleId="BalloonTextChar">
    <w:name w:val="Balloon Text Char"/>
    <w:link w:val="BalloonText"/>
    <w:uiPriority w:val="99"/>
    <w:locked/>
    <w:rsid w:val="00BE39A5"/>
    <w:rPr>
      <w:rFonts w:ascii="Tahoma" w:hAnsi="Tahoma" w:cs="Tahoma"/>
      <w:sz w:val="16"/>
      <w:szCs w:val="16"/>
    </w:rPr>
  </w:style>
  <w:style w:type="table" w:styleId="TableGrid">
    <w:name w:val="Table Grid"/>
    <w:basedOn w:val="TableNormal"/>
    <w:rsid w:val="00D17D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uiPriority w:val="99"/>
    <w:rsid w:val="00E76887"/>
    <w:pPr>
      <w:spacing w:after="160" w:line="240" w:lineRule="exact"/>
    </w:pPr>
    <w:rPr>
      <w:rFonts w:ascii="Verdana" w:hAnsi="Verdana" w:cs="Verdana"/>
      <w:i/>
      <w:iCs/>
      <w:sz w:val="20"/>
      <w:szCs w:val="20"/>
    </w:rPr>
  </w:style>
  <w:style w:type="paragraph" w:styleId="Header">
    <w:name w:val="header"/>
    <w:basedOn w:val="Normal"/>
    <w:link w:val="HeaderChar"/>
    <w:uiPriority w:val="99"/>
    <w:rsid w:val="000B6349"/>
    <w:pPr>
      <w:tabs>
        <w:tab w:val="center" w:pos="4680"/>
        <w:tab w:val="right" w:pos="9360"/>
      </w:tabs>
    </w:pPr>
    <w:rPr>
      <w:lang w:eastAsia="ja-JP"/>
    </w:rPr>
  </w:style>
  <w:style w:type="character" w:customStyle="1" w:styleId="HeaderChar">
    <w:name w:val="Header Char"/>
    <w:link w:val="Header"/>
    <w:uiPriority w:val="99"/>
    <w:locked/>
    <w:rsid w:val="000B6349"/>
    <w:rPr>
      <w:sz w:val="24"/>
      <w:szCs w:val="24"/>
    </w:rPr>
  </w:style>
  <w:style w:type="paragraph" w:styleId="Footer">
    <w:name w:val="footer"/>
    <w:basedOn w:val="Normal"/>
    <w:link w:val="FooterChar"/>
    <w:uiPriority w:val="99"/>
    <w:rsid w:val="000B6349"/>
    <w:pPr>
      <w:tabs>
        <w:tab w:val="center" w:pos="4680"/>
        <w:tab w:val="right" w:pos="9360"/>
      </w:tabs>
    </w:pPr>
    <w:rPr>
      <w:lang w:eastAsia="ja-JP"/>
    </w:rPr>
  </w:style>
  <w:style w:type="character" w:customStyle="1" w:styleId="FooterChar">
    <w:name w:val="Footer Char"/>
    <w:link w:val="Footer"/>
    <w:uiPriority w:val="99"/>
    <w:locked/>
    <w:rsid w:val="000B6349"/>
    <w:rPr>
      <w:sz w:val="24"/>
      <w:szCs w:val="24"/>
    </w:rPr>
  </w:style>
  <w:style w:type="paragraph" w:customStyle="1" w:styleId="Naslovsaopstenja">
    <w:name w:val="Naslov saopstenja"/>
    <w:basedOn w:val="Title"/>
    <w:next w:val="Caption"/>
    <w:uiPriority w:val="99"/>
    <w:rsid w:val="00275B3C"/>
    <w:pPr>
      <w:spacing w:after="0"/>
    </w:pPr>
    <w:rPr>
      <w:sz w:val="24"/>
      <w:szCs w:val="24"/>
    </w:rPr>
  </w:style>
  <w:style w:type="paragraph" w:styleId="Title">
    <w:name w:val="Title"/>
    <w:basedOn w:val="Normal"/>
    <w:link w:val="TitleChar"/>
    <w:uiPriority w:val="99"/>
    <w:qFormat/>
    <w:rsid w:val="00275B3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275B3C"/>
    <w:rPr>
      <w:rFonts w:ascii="Arial" w:hAnsi="Arial" w:cs="Arial"/>
      <w:b/>
      <w:bCs/>
      <w:kern w:val="28"/>
      <w:sz w:val="32"/>
      <w:szCs w:val="32"/>
    </w:rPr>
  </w:style>
  <w:style w:type="paragraph" w:styleId="Caption">
    <w:name w:val="caption"/>
    <w:basedOn w:val="Normal"/>
    <w:next w:val="Normal"/>
    <w:uiPriority w:val="99"/>
    <w:qFormat/>
    <w:rsid w:val="00275B3C"/>
    <w:rPr>
      <w:rFonts w:ascii="Arial" w:hAnsi="Arial" w:cs="Arial"/>
      <w:b/>
      <w:bCs/>
      <w:sz w:val="20"/>
      <w:szCs w:val="20"/>
    </w:rPr>
  </w:style>
  <w:style w:type="paragraph" w:customStyle="1" w:styleId="Podnaslovsopstenja">
    <w:name w:val="Podnaslov sopstenja"/>
    <w:basedOn w:val="Normal"/>
    <w:uiPriority w:val="99"/>
    <w:rsid w:val="00275B3C"/>
    <w:pPr>
      <w:spacing w:after="120"/>
      <w:jc w:val="center"/>
    </w:pPr>
    <w:rPr>
      <w:rFonts w:ascii="Arial" w:hAnsi="Arial" w:cs="Arial"/>
      <w:b/>
      <w:bCs/>
      <w:sz w:val="22"/>
      <w:szCs w:val="22"/>
    </w:rPr>
  </w:style>
  <w:style w:type="paragraph" w:styleId="Subtitle">
    <w:name w:val="Subtitle"/>
    <w:basedOn w:val="Normal"/>
    <w:link w:val="SubtitleChar"/>
    <w:uiPriority w:val="99"/>
    <w:qFormat/>
    <w:rsid w:val="00275B3C"/>
    <w:pPr>
      <w:spacing w:after="60"/>
      <w:jc w:val="center"/>
      <w:outlineLvl w:val="1"/>
    </w:pPr>
    <w:rPr>
      <w:rFonts w:ascii="Arial" w:hAnsi="Arial" w:cs="Arial"/>
      <w:sz w:val="20"/>
      <w:szCs w:val="20"/>
    </w:rPr>
  </w:style>
  <w:style w:type="character" w:customStyle="1" w:styleId="SubtitleChar">
    <w:name w:val="Subtitle Char"/>
    <w:link w:val="Subtitle"/>
    <w:uiPriority w:val="99"/>
    <w:locked/>
    <w:rsid w:val="00275B3C"/>
    <w:rPr>
      <w:rFonts w:ascii="Arial" w:hAnsi="Arial" w:cs="Arial"/>
      <w:sz w:val="24"/>
      <w:szCs w:val="24"/>
    </w:rPr>
  </w:style>
  <w:style w:type="paragraph" w:customStyle="1" w:styleId="NaslovMetodologijaiNapomena">
    <w:name w:val="Naslov Metodologija i Napomena"/>
    <w:basedOn w:val="Normal"/>
    <w:uiPriority w:val="99"/>
    <w:rsid w:val="00275B3C"/>
    <w:pPr>
      <w:spacing w:before="120" w:after="240"/>
      <w:jc w:val="center"/>
    </w:pPr>
    <w:rPr>
      <w:rFonts w:ascii="Arial" w:hAnsi="Arial" w:cs="Arial"/>
      <w:b/>
      <w:bCs/>
      <w:sz w:val="20"/>
      <w:szCs w:val="20"/>
    </w:rPr>
  </w:style>
  <w:style w:type="paragraph" w:customStyle="1" w:styleId="TekstMetodologijaiNapomena">
    <w:name w:val="Tekst Metodologija i Napomena"/>
    <w:basedOn w:val="BodyTextFirstIndent"/>
    <w:next w:val="BodyText"/>
    <w:uiPriority w:val="99"/>
    <w:rsid w:val="00275B3C"/>
    <w:pPr>
      <w:spacing w:before="120" w:after="0"/>
      <w:ind w:firstLine="397"/>
      <w:jc w:val="both"/>
    </w:pPr>
    <w:rPr>
      <w:lang w:val="sr-Cyrl-CS"/>
    </w:rPr>
  </w:style>
  <w:style w:type="paragraph" w:styleId="BodyText">
    <w:name w:val="Body Text"/>
    <w:basedOn w:val="Normal"/>
    <w:link w:val="BodyTextChar"/>
    <w:uiPriority w:val="99"/>
    <w:rsid w:val="00275B3C"/>
    <w:pPr>
      <w:spacing w:after="120"/>
    </w:pPr>
  </w:style>
  <w:style w:type="character" w:customStyle="1" w:styleId="BodyTextChar">
    <w:name w:val="Body Text Char"/>
    <w:link w:val="BodyText"/>
    <w:uiPriority w:val="99"/>
    <w:locked/>
    <w:rsid w:val="00275B3C"/>
    <w:rPr>
      <w:sz w:val="24"/>
      <w:szCs w:val="24"/>
    </w:rPr>
  </w:style>
  <w:style w:type="paragraph" w:styleId="BodyTextFirstIndent">
    <w:name w:val="Body Text First Indent"/>
    <w:basedOn w:val="BodyText"/>
    <w:link w:val="BodyTextFirstIndentChar"/>
    <w:uiPriority w:val="99"/>
    <w:rsid w:val="00275B3C"/>
    <w:pPr>
      <w:ind w:firstLine="210"/>
    </w:pPr>
    <w:rPr>
      <w:rFonts w:ascii="Arial" w:hAnsi="Arial" w:cs="Arial"/>
      <w:sz w:val="20"/>
      <w:szCs w:val="20"/>
    </w:rPr>
  </w:style>
  <w:style w:type="character" w:customStyle="1" w:styleId="BodyTextFirstIndentChar">
    <w:name w:val="Body Text First Indent Char"/>
    <w:link w:val="BodyTextFirstIndent"/>
    <w:uiPriority w:val="99"/>
    <w:locked/>
    <w:rsid w:val="00275B3C"/>
    <w:rPr>
      <w:rFonts w:ascii="Arial" w:hAnsi="Arial" w:cs="Arial"/>
      <w:sz w:val="24"/>
      <w:szCs w:val="24"/>
    </w:rPr>
  </w:style>
  <w:style w:type="paragraph" w:styleId="ListNumber">
    <w:name w:val="List Number"/>
    <w:basedOn w:val="Normal"/>
    <w:uiPriority w:val="99"/>
    <w:rsid w:val="00275B3C"/>
    <w:pPr>
      <w:numPr>
        <w:numId w:val="4"/>
      </w:numPr>
      <w:tabs>
        <w:tab w:val="clear" w:pos="643"/>
        <w:tab w:val="num" w:pos="360"/>
      </w:tabs>
      <w:ind w:left="360"/>
    </w:pPr>
    <w:rPr>
      <w:rFonts w:ascii="Arial" w:hAnsi="Arial" w:cs="Arial"/>
      <w:sz w:val="20"/>
      <w:szCs w:val="20"/>
    </w:rPr>
  </w:style>
  <w:style w:type="paragraph" w:customStyle="1" w:styleId="Style1">
    <w:name w:val="Style1"/>
    <w:uiPriority w:val="99"/>
    <w:semiHidden/>
    <w:rsid w:val="00275B3C"/>
    <w:rPr>
      <w:rFonts w:ascii="Arial" w:hAnsi="Arial" w:cs="Arial"/>
    </w:rPr>
  </w:style>
  <w:style w:type="paragraph" w:styleId="BodyTextIndent">
    <w:name w:val="Body Text Indent"/>
    <w:basedOn w:val="Normal"/>
    <w:link w:val="BodyTextIndentChar"/>
    <w:uiPriority w:val="99"/>
    <w:rsid w:val="00275B3C"/>
    <w:pPr>
      <w:spacing w:after="120"/>
      <w:ind w:left="283"/>
    </w:pPr>
    <w:rPr>
      <w:rFonts w:ascii="Arial" w:hAnsi="Arial" w:cs="Arial"/>
      <w:sz w:val="20"/>
      <w:szCs w:val="20"/>
    </w:rPr>
  </w:style>
  <w:style w:type="character" w:customStyle="1" w:styleId="BodyTextIndentChar">
    <w:name w:val="Body Text Indent Char"/>
    <w:link w:val="BodyTextIndent"/>
    <w:uiPriority w:val="99"/>
    <w:locked/>
    <w:rsid w:val="00275B3C"/>
    <w:rPr>
      <w:rFonts w:ascii="Arial" w:hAnsi="Arial" w:cs="Arial"/>
      <w:sz w:val="24"/>
      <w:szCs w:val="24"/>
    </w:rPr>
  </w:style>
  <w:style w:type="paragraph" w:styleId="BodyTextIndent2">
    <w:name w:val="Body Text Indent 2"/>
    <w:basedOn w:val="Normal"/>
    <w:link w:val="BodyTextIndent2Char"/>
    <w:uiPriority w:val="99"/>
    <w:rsid w:val="00275B3C"/>
    <w:pPr>
      <w:spacing w:after="120" w:line="480" w:lineRule="auto"/>
      <w:ind w:left="283"/>
    </w:pPr>
    <w:rPr>
      <w:rFonts w:ascii="Arial" w:hAnsi="Arial" w:cs="Arial"/>
      <w:sz w:val="20"/>
      <w:szCs w:val="20"/>
    </w:rPr>
  </w:style>
  <w:style w:type="character" w:customStyle="1" w:styleId="BodyTextIndent2Char">
    <w:name w:val="Body Text Indent 2 Char"/>
    <w:link w:val="BodyTextIndent2"/>
    <w:uiPriority w:val="99"/>
    <w:locked/>
    <w:rsid w:val="00275B3C"/>
    <w:rPr>
      <w:rFonts w:ascii="Arial" w:hAnsi="Arial" w:cs="Arial"/>
      <w:sz w:val="24"/>
      <w:szCs w:val="24"/>
    </w:rPr>
  </w:style>
  <w:style w:type="paragraph" w:styleId="BodyText3">
    <w:name w:val="Body Text 3"/>
    <w:basedOn w:val="Normal"/>
    <w:link w:val="BodyText3Char"/>
    <w:uiPriority w:val="99"/>
    <w:rsid w:val="00275B3C"/>
    <w:pPr>
      <w:spacing w:after="120"/>
    </w:pPr>
    <w:rPr>
      <w:rFonts w:ascii="Arial" w:hAnsi="Arial" w:cs="Arial"/>
      <w:sz w:val="16"/>
      <w:szCs w:val="16"/>
    </w:rPr>
  </w:style>
  <w:style w:type="character" w:customStyle="1" w:styleId="BodyText3Char">
    <w:name w:val="Body Text 3 Char"/>
    <w:link w:val="BodyText3"/>
    <w:uiPriority w:val="99"/>
    <w:locked/>
    <w:rsid w:val="00275B3C"/>
    <w:rPr>
      <w:rFonts w:ascii="Arial" w:hAnsi="Arial" w:cs="Arial"/>
      <w:sz w:val="16"/>
      <w:szCs w:val="16"/>
    </w:rPr>
  </w:style>
  <w:style w:type="paragraph" w:styleId="BodyTextFirstIndent2">
    <w:name w:val="Body Text First Indent 2"/>
    <w:basedOn w:val="BodyTextIndent"/>
    <w:link w:val="BodyTextFirstIndent2Char"/>
    <w:uiPriority w:val="99"/>
    <w:rsid w:val="00275B3C"/>
    <w:pPr>
      <w:ind w:firstLine="210"/>
    </w:pPr>
  </w:style>
  <w:style w:type="character" w:customStyle="1" w:styleId="BodyTextFirstIndent2Char">
    <w:name w:val="Body Text First Indent 2 Char"/>
    <w:link w:val="BodyTextFirstIndent2"/>
    <w:uiPriority w:val="99"/>
    <w:locked/>
    <w:rsid w:val="00275B3C"/>
    <w:rPr>
      <w:rFonts w:ascii="Arial" w:hAnsi="Arial" w:cs="Arial"/>
      <w:sz w:val="24"/>
      <w:szCs w:val="24"/>
    </w:rPr>
  </w:style>
  <w:style w:type="paragraph" w:styleId="BodyTextIndent3">
    <w:name w:val="Body Text Indent 3"/>
    <w:basedOn w:val="Normal"/>
    <w:link w:val="BodyTextIndent3Char"/>
    <w:uiPriority w:val="99"/>
    <w:rsid w:val="00275B3C"/>
    <w:pPr>
      <w:spacing w:after="120"/>
      <w:ind w:left="283"/>
    </w:pPr>
    <w:rPr>
      <w:rFonts w:ascii="Arial" w:hAnsi="Arial" w:cs="Arial"/>
      <w:sz w:val="16"/>
      <w:szCs w:val="16"/>
    </w:rPr>
  </w:style>
  <w:style w:type="character" w:customStyle="1" w:styleId="BodyTextIndent3Char">
    <w:name w:val="Body Text Indent 3 Char"/>
    <w:link w:val="BodyTextIndent3"/>
    <w:uiPriority w:val="99"/>
    <w:locked/>
    <w:rsid w:val="00275B3C"/>
    <w:rPr>
      <w:rFonts w:ascii="Arial" w:hAnsi="Arial" w:cs="Arial"/>
      <w:sz w:val="16"/>
      <w:szCs w:val="16"/>
    </w:rPr>
  </w:style>
  <w:style w:type="paragraph" w:styleId="BodyText2">
    <w:name w:val="Body Text 2"/>
    <w:basedOn w:val="Normal"/>
    <w:link w:val="BodyText2Char"/>
    <w:uiPriority w:val="99"/>
    <w:rsid w:val="00275B3C"/>
    <w:pPr>
      <w:spacing w:after="120" w:line="480" w:lineRule="auto"/>
    </w:pPr>
    <w:rPr>
      <w:rFonts w:ascii="Arial" w:hAnsi="Arial" w:cs="Arial"/>
      <w:sz w:val="20"/>
      <w:szCs w:val="20"/>
    </w:rPr>
  </w:style>
  <w:style w:type="character" w:customStyle="1" w:styleId="BodyText2Char">
    <w:name w:val="Body Text 2 Char"/>
    <w:link w:val="BodyText2"/>
    <w:uiPriority w:val="99"/>
    <w:locked/>
    <w:rsid w:val="00275B3C"/>
    <w:rPr>
      <w:rFonts w:ascii="Arial" w:hAnsi="Arial" w:cs="Arial"/>
      <w:sz w:val="24"/>
      <w:szCs w:val="24"/>
    </w:rPr>
  </w:style>
  <w:style w:type="paragraph" w:customStyle="1" w:styleId="StylePasusFirstline06cmBefore0ptAfter0pt">
    <w:name w:val="Style Pasus + First line:  06 cm Before:  0 pt After:  0 pt"/>
    <w:basedOn w:val="TekstMetodologijaiNapomena"/>
    <w:uiPriority w:val="99"/>
    <w:semiHidden/>
    <w:rsid w:val="00275B3C"/>
    <w:pPr>
      <w:spacing w:before="0"/>
      <w:ind w:firstLine="340"/>
    </w:pPr>
  </w:style>
  <w:style w:type="paragraph" w:styleId="NormalIndent">
    <w:name w:val="Normal Indent"/>
    <w:basedOn w:val="Normal"/>
    <w:uiPriority w:val="99"/>
    <w:rsid w:val="00275B3C"/>
    <w:pPr>
      <w:ind w:left="720"/>
    </w:pPr>
    <w:rPr>
      <w:rFonts w:ascii="Arial" w:hAnsi="Arial" w:cs="Arial"/>
      <w:sz w:val="20"/>
      <w:szCs w:val="20"/>
    </w:rPr>
  </w:style>
  <w:style w:type="paragraph" w:customStyle="1" w:styleId="Naslovtabela">
    <w:name w:val="Naslov tabela"/>
    <w:basedOn w:val="Normal"/>
    <w:uiPriority w:val="99"/>
    <w:rsid w:val="00275B3C"/>
    <w:pPr>
      <w:tabs>
        <w:tab w:val="left" w:pos="284"/>
      </w:tabs>
      <w:spacing w:before="120" w:after="120"/>
      <w:ind w:left="284" w:hanging="284"/>
      <w:jc w:val="center"/>
    </w:pPr>
    <w:rPr>
      <w:rFonts w:ascii="Arial" w:hAnsi="Arial" w:cs="Arial"/>
      <w:b/>
      <w:bCs/>
      <w:sz w:val="20"/>
      <w:szCs w:val="20"/>
    </w:rPr>
  </w:style>
  <w:style w:type="table" w:styleId="TableSimple2">
    <w:name w:val="Table Simple 2"/>
    <w:basedOn w:val="TableNormal"/>
    <w:uiPriority w:val="99"/>
    <w:rsid w:val="00275B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uiPriority w:val="99"/>
    <w:rsid w:val="00275B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Elegant">
    <w:name w:val="Table Elegant"/>
    <w:basedOn w:val="TableNormal"/>
    <w:uiPriority w:val="99"/>
    <w:rsid w:val="00275B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uiPriority w:val="99"/>
    <w:rsid w:val="00275B3C"/>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a-Zaglavlje">
    <w:name w:val="Tabela-Zaglavlje"/>
    <w:basedOn w:val="Normal"/>
    <w:uiPriority w:val="99"/>
    <w:rsid w:val="00275B3C"/>
    <w:pPr>
      <w:jc w:val="center"/>
    </w:pPr>
    <w:rPr>
      <w:rFonts w:ascii="Arial" w:hAnsi="Arial" w:cs="Arial"/>
      <w:sz w:val="16"/>
      <w:szCs w:val="16"/>
      <w:lang w:val="sr-Latn-CS"/>
    </w:rPr>
  </w:style>
  <w:style w:type="paragraph" w:customStyle="1" w:styleId="Tabela-Pretkolona">
    <w:name w:val="Tabela-Pretkolona"/>
    <w:basedOn w:val="Normal"/>
    <w:uiPriority w:val="99"/>
    <w:rsid w:val="00275B3C"/>
    <w:rPr>
      <w:rFonts w:ascii="Arial" w:hAnsi="Arial" w:cs="Arial"/>
      <w:sz w:val="16"/>
      <w:szCs w:val="16"/>
      <w:lang w:val="sr-Latn-CS"/>
    </w:rPr>
  </w:style>
  <w:style w:type="paragraph" w:customStyle="1" w:styleId="Tabela-PretkolonaI">
    <w:name w:val="Tabela-PretkolonaI"/>
    <w:basedOn w:val="Normal"/>
    <w:uiPriority w:val="99"/>
    <w:rsid w:val="00275B3C"/>
    <w:rPr>
      <w:rFonts w:ascii="Arial" w:hAnsi="Arial" w:cs="Arial"/>
      <w:i/>
      <w:iCs/>
      <w:sz w:val="16"/>
      <w:szCs w:val="16"/>
      <w:lang w:val="sr-Latn-CS"/>
    </w:rPr>
  </w:style>
  <w:style w:type="paragraph" w:customStyle="1" w:styleId="Tabela-PretkolonaB">
    <w:name w:val="Tabela-PretkolonaB"/>
    <w:basedOn w:val="Normal"/>
    <w:uiPriority w:val="99"/>
    <w:rsid w:val="00275B3C"/>
    <w:rPr>
      <w:rFonts w:ascii="Arial" w:hAnsi="Arial" w:cs="Arial"/>
      <w:b/>
      <w:bCs/>
      <w:sz w:val="16"/>
      <w:szCs w:val="16"/>
      <w:lang w:val="sr-Latn-CS"/>
    </w:rPr>
  </w:style>
  <w:style w:type="paragraph" w:customStyle="1" w:styleId="Tabela-Brojevi">
    <w:name w:val="Tabela-Brojevi"/>
    <w:basedOn w:val="Normal"/>
    <w:uiPriority w:val="99"/>
    <w:rsid w:val="00275B3C"/>
    <w:pPr>
      <w:jc w:val="right"/>
    </w:pPr>
    <w:rPr>
      <w:rFonts w:ascii="Arial" w:hAnsi="Arial" w:cs="Arial"/>
      <w:sz w:val="16"/>
      <w:szCs w:val="16"/>
      <w:lang w:val="sr-Latn-CS"/>
    </w:rPr>
  </w:style>
  <w:style w:type="paragraph" w:styleId="FootnoteText">
    <w:name w:val="footnote text"/>
    <w:basedOn w:val="Normal"/>
    <w:link w:val="FootnoteTextChar"/>
    <w:uiPriority w:val="99"/>
    <w:semiHidden/>
    <w:rsid w:val="00275B3C"/>
    <w:rPr>
      <w:rFonts w:ascii="Arial" w:hAnsi="Arial" w:cs="Arial"/>
      <w:sz w:val="20"/>
      <w:szCs w:val="20"/>
    </w:rPr>
  </w:style>
  <w:style w:type="character" w:customStyle="1" w:styleId="FootnoteTextChar">
    <w:name w:val="Footnote Text Char"/>
    <w:link w:val="FootnoteText"/>
    <w:uiPriority w:val="99"/>
    <w:locked/>
    <w:rsid w:val="00275B3C"/>
    <w:rPr>
      <w:rFonts w:ascii="Arial" w:hAnsi="Arial" w:cs="Arial"/>
    </w:rPr>
  </w:style>
  <w:style w:type="paragraph" w:customStyle="1" w:styleId="Tabela-BrojeviI">
    <w:name w:val="Tabela-BrojeviI"/>
    <w:basedOn w:val="Normal"/>
    <w:uiPriority w:val="99"/>
    <w:rsid w:val="00275B3C"/>
    <w:pPr>
      <w:jc w:val="right"/>
    </w:pPr>
    <w:rPr>
      <w:rFonts w:ascii="Arial" w:hAnsi="Arial" w:cs="Arial"/>
      <w:i/>
      <w:iCs/>
      <w:sz w:val="16"/>
      <w:szCs w:val="16"/>
      <w:lang w:val="sr-Latn-CS"/>
    </w:rPr>
  </w:style>
  <w:style w:type="paragraph" w:customStyle="1" w:styleId="Tabela-BrojeviB">
    <w:name w:val="Tabela-BrojeviB"/>
    <w:basedOn w:val="Normal"/>
    <w:uiPriority w:val="99"/>
    <w:rsid w:val="00275B3C"/>
    <w:pPr>
      <w:jc w:val="right"/>
    </w:pPr>
    <w:rPr>
      <w:rFonts w:ascii="Arial" w:hAnsi="Arial" w:cs="Arial"/>
      <w:b/>
      <w:bCs/>
      <w:sz w:val="16"/>
      <w:szCs w:val="16"/>
      <w:lang w:val="sr-Latn-CS"/>
    </w:rPr>
  </w:style>
  <w:style w:type="paragraph" w:customStyle="1" w:styleId="Fusnota-Broj1">
    <w:name w:val="Fusnota-Broj1"/>
    <w:basedOn w:val="Normal"/>
    <w:uiPriority w:val="99"/>
    <w:rsid w:val="00275B3C"/>
    <w:pPr>
      <w:tabs>
        <w:tab w:val="num" w:pos="360"/>
      </w:tabs>
      <w:ind w:left="360" w:hanging="360"/>
    </w:pPr>
    <w:rPr>
      <w:rFonts w:ascii="Arial" w:hAnsi="Arial" w:cs="Arial"/>
      <w:sz w:val="14"/>
      <w:szCs w:val="14"/>
      <w:vertAlign w:val="superscript"/>
      <w:lang w:val="sr-Latn-CS"/>
    </w:rPr>
  </w:style>
  <w:style w:type="paragraph" w:customStyle="1" w:styleId="Fusnota-Tekst1">
    <w:name w:val="Fusnota-Tekst1"/>
    <w:basedOn w:val="Normal"/>
    <w:uiPriority w:val="99"/>
    <w:rsid w:val="00275B3C"/>
    <w:rPr>
      <w:rFonts w:ascii="Arial" w:hAnsi="Arial" w:cs="Arial"/>
      <w:sz w:val="14"/>
      <w:szCs w:val="14"/>
      <w:lang w:val="sr-Latn-CS"/>
    </w:rPr>
  </w:style>
  <w:style w:type="paragraph" w:customStyle="1" w:styleId="Naslovgrafikona">
    <w:name w:val="Naslov grafikona"/>
    <w:basedOn w:val="Normal"/>
    <w:next w:val="Normal"/>
    <w:uiPriority w:val="99"/>
    <w:rsid w:val="00275B3C"/>
    <w:pPr>
      <w:framePr w:hSpace="181" w:wrap="auto" w:vAnchor="page" w:hAnchor="margin" w:xAlign="center" w:y="14176"/>
      <w:spacing w:before="120" w:after="120"/>
      <w:jc w:val="center"/>
    </w:pPr>
    <w:rPr>
      <w:rFonts w:ascii="Arial" w:hAnsi="Arial" w:cs="Arial"/>
      <w:b/>
      <w:bCs/>
      <w:sz w:val="20"/>
      <w:szCs w:val="20"/>
      <w:lang w:val="ru-RU"/>
    </w:rPr>
  </w:style>
  <w:style w:type="paragraph" w:styleId="ListParagraph">
    <w:name w:val="List Paragraph"/>
    <w:basedOn w:val="Normal"/>
    <w:uiPriority w:val="34"/>
    <w:qFormat/>
    <w:rsid w:val="00275B3C"/>
    <w:pPr>
      <w:ind w:left="720"/>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34540">
      <w:bodyDiv w:val="1"/>
      <w:marLeft w:val="0"/>
      <w:marRight w:val="0"/>
      <w:marTop w:val="0"/>
      <w:marBottom w:val="0"/>
      <w:divBdr>
        <w:top w:val="none" w:sz="0" w:space="0" w:color="auto"/>
        <w:left w:val="none" w:sz="0" w:space="0" w:color="auto"/>
        <w:bottom w:val="none" w:sz="0" w:space="0" w:color="auto"/>
        <w:right w:val="none" w:sz="0" w:space="0" w:color="auto"/>
      </w:divBdr>
    </w:div>
    <w:div w:id="1088384804">
      <w:bodyDiv w:val="1"/>
      <w:marLeft w:val="0"/>
      <w:marRight w:val="0"/>
      <w:marTop w:val="0"/>
      <w:marBottom w:val="0"/>
      <w:divBdr>
        <w:top w:val="none" w:sz="0" w:space="0" w:color="auto"/>
        <w:left w:val="none" w:sz="0" w:space="0" w:color="auto"/>
        <w:bottom w:val="none" w:sz="0" w:space="0" w:color="auto"/>
        <w:right w:val="none" w:sz="0" w:space="0" w:color="auto"/>
      </w:divBdr>
    </w:div>
    <w:div w:id="1125736073">
      <w:marLeft w:val="0"/>
      <w:marRight w:val="0"/>
      <w:marTop w:val="0"/>
      <w:marBottom w:val="0"/>
      <w:divBdr>
        <w:top w:val="none" w:sz="0" w:space="0" w:color="auto"/>
        <w:left w:val="none" w:sz="0" w:space="0" w:color="auto"/>
        <w:bottom w:val="none" w:sz="0" w:space="0" w:color="auto"/>
        <w:right w:val="none" w:sz="0" w:space="0" w:color="auto"/>
      </w:divBdr>
    </w:div>
    <w:div w:id="1125736074">
      <w:marLeft w:val="0"/>
      <w:marRight w:val="0"/>
      <w:marTop w:val="0"/>
      <w:marBottom w:val="0"/>
      <w:divBdr>
        <w:top w:val="none" w:sz="0" w:space="0" w:color="auto"/>
        <w:left w:val="none" w:sz="0" w:space="0" w:color="auto"/>
        <w:bottom w:val="none" w:sz="0" w:space="0" w:color="auto"/>
        <w:right w:val="none" w:sz="0" w:space="0" w:color="auto"/>
      </w:divBdr>
    </w:div>
    <w:div w:id="1125736075">
      <w:marLeft w:val="0"/>
      <w:marRight w:val="0"/>
      <w:marTop w:val="0"/>
      <w:marBottom w:val="0"/>
      <w:divBdr>
        <w:top w:val="none" w:sz="0" w:space="0" w:color="auto"/>
        <w:left w:val="none" w:sz="0" w:space="0" w:color="auto"/>
        <w:bottom w:val="none" w:sz="0" w:space="0" w:color="auto"/>
        <w:right w:val="none" w:sz="0" w:space="0" w:color="auto"/>
      </w:divBdr>
    </w:div>
    <w:div w:id="1125736076">
      <w:marLeft w:val="0"/>
      <w:marRight w:val="0"/>
      <w:marTop w:val="0"/>
      <w:marBottom w:val="0"/>
      <w:divBdr>
        <w:top w:val="none" w:sz="0" w:space="0" w:color="auto"/>
        <w:left w:val="none" w:sz="0" w:space="0" w:color="auto"/>
        <w:bottom w:val="none" w:sz="0" w:space="0" w:color="auto"/>
        <w:right w:val="none" w:sz="0" w:space="0" w:color="auto"/>
      </w:divBdr>
    </w:div>
    <w:div w:id="1125736077">
      <w:marLeft w:val="0"/>
      <w:marRight w:val="0"/>
      <w:marTop w:val="0"/>
      <w:marBottom w:val="0"/>
      <w:divBdr>
        <w:top w:val="none" w:sz="0" w:space="0" w:color="auto"/>
        <w:left w:val="none" w:sz="0" w:space="0" w:color="auto"/>
        <w:bottom w:val="none" w:sz="0" w:space="0" w:color="auto"/>
        <w:right w:val="none" w:sz="0" w:space="0" w:color="auto"/>
      </w:divBdr>
    </w:div>
    <w:div w:id="1125736078">
      <w:marLeft w:val="0"/>
      <w:marRight w:val="0"/>
      <w:marTop w:val="0"/>
      <w:marBottom w:val="0"/>
      <w:divBdr>
        <w:top w:val="none" w:sz="0" w:space="0" w:color="auto"/>
        <w:left w:val="none" w:sz="0" w:space="0" w:color="auto"/>
        <w:bottom w:val="none" w:sz="0" w:space="0" w:color="auto"/>
        <w:right w:val="none" w:sz="0" w:space="0" w:color="auto"/>
      </w:divBdr>
    </w:div>
    <w:div w:id="1125736079">
      <w:marLeft w:val="0"/>
      <w:marRight w:val="0"/>
      <w:marTop w:val="0"/>
      <w:marBottom w:val="0"/>
      <w:divBdr>
        <w:top w:val="none" w:sz="0" w:space="0" w:color="auto"/>
        <w:left w:val="none" w:sz="0" w:space="0" w:color="auto"/>
        <w:bottom w:val="none" w:sz="0" w:space="0" w:color="auto"/>
        <w:right w:val="none" w:sz="0" w:space="0" w:color="auto"/>
      </w:divBdr>
    </w:div>
    <w:div w:id="1125736080">
      <w:marLeft w:val="0"/>
      <w:marRight w:val="0"/>
      <w:marTop w:val="0"/>
      <w:marBottom w:val="0"/>
      <w:divBdr>
        <w:top w:val="none" w:sz="0" w:space="0" w:color="auto"/>
        <w:left w:val="none" w:sz="0" w:space="0" w:color="auto"/>
        <w:bottom w:val="none" w:sz="0" w:space="0" w:color="auto"/>
        <w:right w:val="none" w:sz="0" w:space="0" w:color="auto"/>
      </w:divBdr>
    </w:div>
    <w:div w:id="1125736081">
      <w:marLeft w:val="0"/>
      <w:marRight w:val="0"/>
      <w:marTop w:val="0"/>
      <w:marBottom w:val="0"/>
      <w:divBdr>
        <w:top w:val="none" w:sz="0" w:space="0" w:color="auto"/>
        <w:left w:val="none" w:sz="0" w:space="0" w:color="auto"/>
        <w:bottom w:val="none" w:sz="0" w:space="0" w:color="auto"/>
        <w:right w:val="none" w:sz="0" w:space="0" w:color="auto"/>
      </w:divBdr>
    </w:div>
    <w:div w:id="11257360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jiljana.sekulic@stat.gov.r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574B3-BCC8-4194-915B-E0A749DC0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1474</Words>
  <Characters>7934</Characters>
  <Application>Microsoft Office Word</Application>
  <DocSecurity>0</DocSecurity>
  <Lines>466</Lines>
  <Paragraphs>391</Paragraphs>
  <ScaleCrop>false</ScaleCrop>
  <HeadingPairs>
    <vt:vector size="2" baseType="variant">
      <vt:variant>
        <vt:lpstr>Title</vt:lpstr>
      </vt:variant>
      <vt:variant>
        <vt:i4>1</vt:i4>
      </vt:variant>
    </vt:vector>
  </HeadingPairs>
  <TitlesOfParts>
    <vt:vector size="1" baseType="lpstr">
      <vt:lpstr>Унутрашње миграције у Републици Србији, 2014</vt:lpstr>
    </vt:vector>
  </TitlesOfParts>
  <Company>.</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Унутрашње миграције у Републици Србији, 2014</dc:title>
  <dc:creator>.</dc:creator>
  <cp:lastModifiedBy>Irena Dimic</cp:lastModifiedBy>
  <cp:revision>36</cp:revision>
  <cp:lastPrinted>2019-06-27T11:00:00Z</cp:lastPrinted>
  <dcterms:created xsi:type="dcterms:W3CDTF">2019-06-26T06:03:00Z</dcterms:created>
  <dcterms:modified xsi:type="dcterms:W3CDTF">2020-06-30T12:12:00Z</dcterms:modified>
</cp:coreProperties>
</file>