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A456E1" w:rsidRPr="00273720" w:rsidTr="001B5A6B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456E1" w:rsidRPr="00273720" w:rsidRDefault="00A456E1" w:rsidP="001B5A6B">
            <w:pPr>
              <w:rPr>
                <w:rFonts w:cs="Arial"/>
                <w:color w:val="808080"/>
                <w:szCs w:val="20"/>
              </w:rPr>
            </w:pPr>
            <w:r w:rsidRPr="00273720">
              <w:rPr>
                <w:color w:val="808080"/>
                <w:sz w:val="8"/>
                <w:szCs w:val="8"/>
              </w:rPr>
              <w:t xml:space="preserve">                    </w:t>
            </w:r>
            <w:r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9776" behindDoc="0" locked="0" layoutInCell="1" allowOverlap="1" wp14:anchorId="2F5314DC" wp14:editId="2153FFBC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3" name="Picture 3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 wp14:anchorId="2E869189" wp14:editId="7B89FE1F">
                      <wp:extent cx="906145" cy="222885"/>
                      <wp:effectExtent l="0" t="0" r="0" b="0"/>
                      <wp:docPr id="2" name="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614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2FEBC4" id="Rectangle 2" o:spid="_x0000_s1026" style="width:71.3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456E1" w:rsidRPr="00273720" w:rsidRDefault="00A456E1" w:rsidP="001B5A6B">
            <w:pPr>
              <w:rPr>
                <w:rFonts w:cs="Arial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273720">
                  <w:rPr>
                    <w:rFonts w:cs="Arial"/>
                    <w:szCs w:val="20"/>
                  </w:rPr>
                  <w:t>Republic</w:t>
                </w:r>
              </w:smartTag>
              <w:r w:rsidRPr="00273720">
                <w:rPr>
                  <w:rFonts w:cs="Arial"/>
                  <w:szCs w:val="20"/>
                </w:rPr>
                <w:t xml:space="preserve"> of </w:t>
              </w:r>
              <w:smartTag w:uri="urn:schemas-microsoft-com:office:smarttags" w:element="PlaceName">
                <w:r w:rsidRPr="00273720">
                  <w:rPr>
                    <w:rFonts w:cs="Arial"/>
                    <w:szCs w:val="20"/>
                  </w:rPr>
                  <w:t>Serbia</w:t>
                </w:r>
              </w:smartTag>
            </w:smartTag>
          </w:p>
          <w:p w:rsidR="00A456E1" w:rsidRPr="00273720" w:rsidRDefault="00A456E1" w:rsidP="001B5A6B">
            <w:pPr>
              <w:rPr>
                <w:rFonts w:cs="Arial"/>
                <w:color w:val="808080"/>
                <w:szCs w:val="20"/>
              </w:rPr>
            </w:pPr>
            <w:r w:rsidRPr="00273720">
              <w:rPr>
                <w:rFonts w:cs="Arial"/>
                <w:szCs w:val="20"/>
              </w:rPr>
              <w:t xml:space="preserve">Statistical Office of the </w:t>
            </w:r>
            <w:smartTag w:uri="urn:schemas-microsoft-com:office:smarttags" w:element="place">
              <w:smartTag w:uri="urn:schemas-microsoft-com:office:smarttags" w:element="PlaceType">
                <w:r w:rsidRPr="00273720">
                  <w:rPr>
                    <w:rFonts w:cs="Arial"/>
                    <w:szCs w:val="20"/>
                  </w:rPr>
                  <w:t>Republic</w:t>
                </w:r>
              </w:smartTag>
              <w:r w:rsidRPr="00273720">
                <w:rPr>
                  <w:rFonts w:cs="Arial"/>
                  <w:szCs w:val="20"/>
                </w:rPr>
                <w:t xml:space="preserve"> of </w:t>
              </w:r>
              <w:smartTag w:uri="urn:schemas-microsoft-com:office:smarttags" w:element="PlaceName">
                <w:r w:rsidRPr="00273720">
                  <w:rPr>
                    <w:rFonts w:cs="Arial"/>
                    <w:szCs w:val="20"/>
                  </w:rPr>
                  <w:t>Serbia</w:t>
                </w:r>
              </w:smartTag>
            </w:smartTag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A456E1" w:rsidRPr="00273720" w:rsidRDefault="00A456E1" w:rsidP="001B5A6B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273720">
              <w:rPr>
                <w:rFonts w:cs="Arial"/>
                <w:szCs w:val="20"/>
              </w:rPr>
              <w:t>ISSN 0353-9555</w:t>
            </w:r>
          </w:p>
        </w:tc>
      </w:tr>
      <w:tr w:rsidR="00A456E1" w:rsidRPr="00273720" w:rsidTr="001B5A6B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456E1" w:rsidRPr="00273720" w:rsidRDefault="00A456E1" w:rsidP="001B5A6B">
            <w:pPr>
              <w:rPr>
                <w:color w:val="808080"/>
                <w:szCs w:val="20"/>
              </w:rPr>
            </w:pPr>
            <w:r w:rsidRPr="00273720">
              <w:rPr>
                <w:rFonts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456E1" w:rsidRPr="00A456E1" w:rsidRDefault="00A456E1" w:rsidP="006670D7">
            <w:pPr>
              <w:jc w:val="right"/>
              <w:rPr>
                <w:b/>
                <w:color w:val="808080"/>
                <w:sz w:val="12"/>
                <w:lang w:val="en-US"/>
              </w:rPr>
            </w:pPr>
            <w:r w:rsidRPr="00273720">
              <w:rPr>
                <w:rFonts w:cs="Arial"/>
                <w:b/>
                <w:bCs/>
                <w:noProof/>
                <w:color w:val="808080"/>
                <w:sz w:val="48"/>
                <w:szCs w:val="48"/>
              </w:rPr>
              <w:t>АS</w:t>
            </w:r>
            <w:r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en-US"/>
              </w:rPr>
              <w:t>2</w:t>
            </w:r>
            <w:r w:rsidR="006670D7"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en-US"/>
              </w:rPr>
              <w:t>0</w:t>
            </w:r>
          </w:p>
        </w:tc>
      </w:tr>
      <w:tr w:rsidR="00A456E1" w:rsidRPr="00273720" w:rsidTr="001B5A6B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6E1" w:rsidRPr="002B2208" w:rsidRDefault="00A456E1" w:rsidP="00C22ED4">
            <w:pPr>
              <w:rPr>
                <w:rFonts w:cs="Arial"/>
                <w:szCs w:val="20"/>
                <w:lang w:val="sr-Latn-RS"/>
              </w:rPr>
            </w:pPr>
            <w:r w:rsidRPr="00273720">
              <w:rPr>
                <w:rFonts w:cs="Arial"/>
                <w:szCs w:val="20"/>
              </w:rPr>
              <w:t xml:space="preserve">Number </w:t>
            </w:r>
            <w:r>
              <w:rPr>
                <w:rFonts w:cs="Arial"/>
                <w:szCs w:val="20"/>
                <w:lang w:val="en-US"/>
              </w:rPr>
              <w:t>1</w:t>
            </w:r>
            <w:r w:rsidR="00A00107">
              <w:rPr>
                <w:rFonts w:cs="Arial"/>
                <w:szCs w:val="20"/>
                <w:lang w:val="en-US"/>
              </w:rPr>
              <w:t>6</w:t>
            </w:r>
            <w:r w:rsidR="00C22ED4">
              <w:rPr>
                <w:rFonts w:cs="Arial"/>
                <w:szCs w:val="20"/>
                <w:lang w:val="en-US"/>
              </w:rPr>
              <w:t>5</w:t>
            </w:r>
            <w:r w:rsidRPr="00273720">
              <w:rPr>
                <w:rFonts w:cs="Arial"/>
                <w:szCs w:val="20"/>
              </w:rPr>
              <w:t xml:space="preserve"> - Year LX</w:t>
            </w:r>
            <w:r w:rsidR="002B2208">
              <w:rPr>
                <w:rFonts w:cs="Arial"/>
                <w:szCs w:val="20"/>
                <w:lang w:val="sr-Latn-RS"/>
              </w:rPr>
              <w:t>X</w:t>
            </w:r>
            <w:r w:rsidRPr="00273720">
              <w:rPr>
                <w:rFonts w:cs="Arial"/>
                <w:szCs w:val="20"/>
              </w:rPr>
              <w:t xml:space="preserve">, </w:t>
            </w:r>
            <w:r w:rsidR="001B5A6B">
              <w:rPr>
                <w:rFonts w:cs="Arial"/>
                <w:szCs w:val="20"/>
                <w:lang w:val="sr-Latn-RS"/>
              </w:rPr>
              <w:t>2</w:t>
            </w:r>
            <w:r w:rsidR="00C22ED4">
              <w:rPr>
                <w:rFonts w:cs="Arial"/>
                <w:szCs w:val="20"/>
                <w:lang w:val="sr-Latn-RS"/>
              </w:rPr>
              <w:t>4</w:t>
            </w:r>
            <w:r w:rsidRPr="00273720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  <w:lang w:val="en-US"/>
              </w:rPr>
              <w:t>06</w:t>
            </w:r>
            <w:r w:rsidR="00C22ED4">
              <w:rPr>
                <w:rFonts w:cs="Arial"/>
                <w:szCs w:val="20"/>
              </w:rPr>
              <w:t>.2020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6E1" w:rsidRPr="00273720" w:rsidRDefault="00A456E1" w:rsidP="001B5A6B">
            <w:pPr>
              <w:jc w:val="right"/>
              <w:rPr>
                <w:rFonts w:cs="Arial"/>
                <w:b/>
                <w:sz w:val="48"/>
                <w:szCs w:val="48"/>
              </w:rPr>
            </w:pPr>
          </w:p>
        </w:tc>
      </w:tr>
      <w:tr w:rsidR="00A456E1" w:rsidRPr="00273720" w:rsidTr="001B5A6B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456E1" w:rsidRPr="00273720" w:rsidRDefault="00A456E1" w:rsidP="001B5A6B">
            <w:pPr>
              <w:rPr>
                <w:b/>
                <w:bCs/>
                <w:sz w:val="24"/>
              </w:rPr>
            </w:pPr>
            <w:r w:rsidRPr="00273720">
              <w:rPr>
                <w:rFonts w:cs="Arial"/>
                <w:b/>
                <w:noProof/>
              </w:rPr>
              <w:t>Statistics of social activities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456E1" w:rsidRPr="00A456E1" w:rsidRDefault="00A456E1" w:rsidP="00C22ED4">
            <w:pPr>
              <w:jc w:val="right"/>
              <w:rPr>
                <w:b/>
                <w:szCs w:val="20"/>
                <w:lang w:val="en-US"/>
              </w:rPr>
            </w:pPr>
            <w:r w:rsidRPr="00273720">
              <w:rPr>
                <w:rFonts w:cs="Arial"/>
                <w:szCs w:val="20"/>
              </w:rPr>
              <w:t>SERB</w:t>
            </w:r>
            <w:r>
              <w:rPr>
                <w:rFonts w:cs="Arial"/>
                <w:szCs w:val="20"/>
                <w:lang w:val="en-US"/>
              </w:rPr>
              <w:t>1</w:t>
            </w:r>
            <w:r w:rsidR="00C22ED4">
              <w:rPr>
                <w:rFonts w:cs="Arial"/>
                <w:szCs w:val="20"/>
                <w:lang w:val="en-US"/>
              </w:rPr>
              <w:t>65</w:t>
            </w:r>
            <w:r w:rsidRPr="00273720">
              <w:rPr>
                <w:rFonts w:cs="Arial"/>
                <w:szCs w:val="20"/>
              </w:rPr>
              <w:t xml:space="preserve"> АS</w:t>
            </w:r>
            <w:r w:rsidR="001B5A6B">
              <w:rPr>
                <w:rFonts w:cs="Arial"/>
                <w:szCs w:val="20"/>
                <w:lang w:val="sr-Latn-RS"/>
              </w:rPr>
              <w:t>2</w:t>
            </w:r>
            <w:r w:rsidR="006670D7">
              <w:rPr>
                <w:rFonts w:cs="Arial"/>
                <w:szCs w:val="20"/>
                <w:lang w:val="sr-Latn-RS"/>
              </w:rPr>
              <w:t>0</w:t>
            </w:r>
            <w:r w:rsidRPr="00273720">
              <w:rPr>
                <w:rFonts w:cs="Arial"/>
                <w:szCs w:val="20"/>
              </w:rPr>
              <w:t xml:space="preserve"> </w:t>
            </w:r>
            <w:r w:rsidR="002B2208">
              <w:rPr>
                <w:rFonts w:cs="Arial"/>
                <w:szCs w:val="20"/>
                <w:lang w:val="en-US"/>
              </w:rPr>
              <w:t>2</w:t>
            </w:r>
            <w:r w:rsidR="00C22ED4">
              <w:rPr>
                <w:rFonts w:cs="Arial"/>
                <w:szCs w:val="20"/>
                <w:lang w:val="en-US"/>
              </w:rPr>
              <w:t>40620</w:t>
            </w:r>
          </w:p>
        </w:tc>
      </w:tr>
    </w:tbl>
    <w:p w:rsidR="00EC1F01" w:rsidRDefault="00EC1F01" w:rsidP="00EC1F01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</w:p>
    <w:p w:rsidR="005F189E" w:rsidRPr="0022791D" w:rsidRDefault="007A553B" w:rsidP="005F189E">
      <w:pPr>
        <w:spacing w:before="600"/>
        <w:jc w:val="center"/>
        <w:rPr>
          <w:rFonts w:cs="Arial"/>
          <w:b/>
          <w:sz w:val="24"/>
        </w:rPr>
      </w:pPr>
      <w:r w:rsidRPr="0022791D">
        <w:rPr>
          <w:rFonts w:cs="Arial"/>
          <w:b/>
          <w:sz w:val="24"/>
          <w:lang w:val="en-US"/>
        </w:rPr>
        <w:t>Students</w:t>
      </w:r>
      <w:r w:rsidRPr="0022791D">
        <w:rPr>
          <w:rFonts w:cs="Arial"/>
          <w:b/>
          <w:sz w:val="24"/>
        </w:rPr>
        <w:t xml:space="preserve"> </w:t>
      </w:r>
      <w:r w:rsidRPr="0022791D">
        <w:rPr>
          <w:rFonts w:cs="Arial"/>
          <w:b/>
          <w:sz w:val="24"/>
          <w:lang w:val="en-US"/>
        </w:rPr>
        <w:t>enrolled</w:t>
      </w:r>
      <w:r w:rsidR="006670D7" w:rsidRPr="0022791D">
        <w:rPr>
          <w:rFonts w:cs="Arial"/>
          <w:b/>
          <w:sz w:val="24"/>
          <w:lang w:val="sr-Cyrl-CS"/>
        </w:rPr>
        <w:t>, 201</w:t>
      </w:r>
      <w:r w:rsidR="005C56C0">
        <w:rPr>
          <w:rFonts w:cs="Arial"/>
          <w:b/>
          <w:sz w:val="24"/>
          <w:lang w:val="en-US"/>
        </w:rPr>
        <w:t>9</w:t>
      </w:r>
      <w:r w:rsidR="006670D7" w:rsidRPr="0022791D">
        <w:rPr>
          <w:rFonts w:cs="Arial"/>
          <w:b/>
          <w:sz w:val="24"/>
          <w:lang w:val="sr-Cyrl-CS"/>
        </w:rPr>
        <w:t>/</w:t>
      </w:r>
      <w:r w:rsidR="00677F33" w:rsidRPr="0022791D">
        <w:rPr>
          <w:rFonts w:cs="Arial"/>
          <w:b/>
          <w:sz w:val="24"/>
          <w:lang w:val="sr-Latn-RS"/>
        </w:rPr>
        <w:t>20</w:t>
      </w:r>
      <w:r w:rsidR="005C56C0">
        <w:rPr>
          <w:rFonts w:cs="Arial"/>
          <w:b/>
          <w:sz w:val="24"/>
          <w:lang w:val="sr-Latn-RS"/>
        </w:rPr>
        <w:t>20</w:t>
      </w:r>
      <w:r w:rsidRPr="0022791D">
        <w:rPr>
          <w:rFonts w:cs="Arial"/>
          <w:b/>
          <w:sz w:val="24"/>
        </w:rPr>
        <w:t xml:space="preserve"> </w:t>
      </w:r>
      <w:r w:rsidRPr="0022791D">
        <w:rPr>
          <w:rFonts w:cs="Arial"/>
          <w:b/>
          <w:sz w:val="24"/>
          <w:lang w:val="en-US"/>
        </w:rPr>
        <w:t>school</w:t>
      </w:r>
      <w:r w:rsidRPr="0022791D">
        <w:rPr>
          <w:rFonts w:cs="Arial"/>
          <w:b/>
          <w:sz w:val="24"/>
        </w:rPr>
        <w:t xml:space="preserve"> </w:t>
      </w:r>
      <w:r w:rsidRPr="0022791D">
        <w:rPr>
          <w:rFonts w:cs="Arial"/>
          <w:b/>
          <w:sz w:val="24"/>
          <w:lang w:val="en-US"/>
        </w:rPr>
        <w:t>year</w:t>
      </w:r>
    </w:p>
    <w:p w:rsidR="006670D7" w:rsidRPr="0022791D" w:rsidRDefault="005F189E" w:rsidP="005F189E">
      <w:pPr>
        <w:spacing w:before="240" w:after="360"/>
        <w:jc w:val="center"/>
        <w:rPr>
          <w:rFonts w:cs="Arial"/>
          <w:b/>
          <w:sz w:val="22"/>
          <w:szCs w:val="22"/>
          <w:lang w:val="sr-Latn-RS"/>
        </w:rPr>
      </w:pPr>
      <w:r w:rsidRPr="0022791D">
        <w:rPr>
          <w:rFonts w:cs="Arial"/>
          <w:b/>
          <w:sz w:val="22"/>
          <w:szCs w:val="22"/>
          <w:lang w:val="sr-Latn-RS"/>
        </w:rPr>
        <w:sym w:font="Symbol" w:char="F02D"/>
      </w:r>
      <w:r w:rsidRPr="0022791D">
        <w:rPr>
          <w:rFonts w:cs="Arial"/>
          <w:b/>
          <w:sz w:val="22"/>
          <w:szCs w:val="22"/>
          <w:lang w:val="sr-Latn-RS"/>
        </w:rPr>
        <w:t xml:space="preserve"> </w:t>
      </w:r>
      <w:r w:rsidRPr="0022791D">
        <w:rPr>
          <w:rStyle w:val="alt-edited"/>
          <w:b/>
          <w:bCs/>
          <w:sz w:val="22"/>
          <w:szCs w:val="22"/>
          <w:lang w:val="en"/>
        </w:rPr>
        <w:t xml:space="preserve">Higher education </w:t>
      </w:r>
      <w:r w:rsidRPr="0022791D">
        <w:rPr>
          <w:rFonts w:cs="Arial"/>
          <w:b/>
          <w:sz w:val="22"/>
          <w:szCs w:val="22"/>
          <w:lang w:val="sr-Latn-RS"/>
        </w:rPr>
        <w:sym w:font="Symbol" w:char="F02D"/>
      </w:r>
    </w:p>
    <w:p w:rsidR="006670D7" w:rsidRPr="0022791D" w:rsidRDefault="007A553B" w:rsidP="005F189E">
      <w:pPr>
        <w:autoSpaceDE w:val="0"/>
        <w:autoSpaceDN w:val="0"/>
        <w:adjustRightInd w:val="0"/>
        <w:spacing w:before="240" w:after="120"/>
        <w:ind w:firstLine="397"/>
        <w:jc w:val="both"/>
        <w:rPr>
          <w:rFonts w:cs="Arial"/>
          <w:szCs w:val="20"/>
        </w:rPr>
      </w:pPr>
      <w:r w:rsidRPr="0022791D">
        <w:rPr>
          <w:rFonts w:cs="Arial"/>
          <w:szCs w:val="20"/>
          <w:lang w:val="en-US"/>
        </w:rPr>
        <w:t xml:space="preserve">In the </w:t>
      </w:r>
      <w:r w:rsidR="006670D7" w:rsidRPr="0022791D">
        <w:rPr>
          <w:rFonts w:cs="Arial"/>
          <w:szCs w:val="20"/>
        </w:rPr>
        <w:t>201</w:t>
      </w:r>
      <w:r w:rsidR="005C56C0">
        <w:rPr>
          <w:rFonts w:cs="Arial"/>
          <w:szCs w:val="20"/>
          <w:lang w:val="en-US"/>
        </w:rPr>
        <w:t>9</w:t>
      </w:r>
      <w:r w:rsidR="006670D7" w:rsidRPr="0022791D">
        <w:rPr>
          <w:rFonts w:cs="Arial"/>
          <w:szCs w:val="20"/>
        </w:rPr>
        <w:t>/</w:t>
      </w:r>
      <w:r w:rsidR="005C56C0">
        <w:rPr>
          <w:rFonts w:cs="Arial"/>
          <w:szCs w:val="20"/>
          <w:lang w:val="en-US"/>
        </w:rPr>
        <w:t>20</w:t>
      </w:r>
      <w:r w:rsidRPr="0022791D">
        <w:rPr>
          <w:rFonts w:cs="Arial"/>
          <w:szCs w:val="20"/>
          <w:lang w:val="en-US"/>
        </w:rPr>
        <w:t xml:space="preserve"> school year in the Republic of Serbia, </w:t>
      </w:r>
      <w:r w:rsidR="005C56C0">
        <w:rPr>
          <w:rFonts w:cs="Arial"/>
          <w:szCs w:val="20"/>
          <w:lang w:val="en-US"/>
        </w:rPr>
        <w:t>241 968</w:t>
      </w:r>
      <w:r w:rsidR="003845CC">
        <w:rPr>
          <w:rFonts w:cs="Arial"/>
          <w:szCs w:val="20"/>
        </w:rPr>
        <w:t xml:space="preserve"> </w:t>
      </w:r>
      <w:r w:rsidRPr="0022791D">
        <w:rPr>
          <w:rFonts w:cs="Arial"/>
          <w:szCs w:val="20"/>
          <w:lang w:val="en-US"/>
        </w:rPr>
        <w:t xml:space="preserve">students enrolled at all levels of studies </w:t>
      </w:r>
      <w:r w:rsidR="00FB4D74">
        <w:rPr>
          <w:rFonts w:cs="Arial"/>
          <w:szCs w:val="20"/>
          <w:lang w:val="en-US"/>
        </w:rPr>
        <w:t xml:space="preserve">and </w:t>
      </w:r>
      <w:r w:rsidRPr="0022791D">
        <w:rPr>
          <w:rFonts w:cs="Arial"/>
          <w:szCs w:val="20"/>
          <w:lang w:val="en-US"/>
        </w:rPr>
        <w:t>at all higher education institutions.</w:t>
      </w:r>
      <w:r w:rsidR="006670D7" w:rsidRPr="0022791D">
        <w:rPr>
          <w:rFonts w:cs="Arial"/>
          <w:szCs w:val="20"/>
        </w:rPr>
        <w:t xml:space="preserve"> </w:t>
      </w:r>
    </w:p>
    <w:p w:rsidR="006670D7" w:rsidRPr="0022791D" w:rsidRDefault="007A553B" w:rsidP="005F189E">
      <w:pPr>
        <w:autoSpaceDE w:val="0"/>
        <w:autoSpaceDN w:val="0"/>
        <w:adjustRightInd w:val="0"/>
        <w:spacing w:before="240" w:after="120"/>
        <w:ind w:firstLine="397"/>
        <w:jc w:val="both"/>
        <w:rPr>
          <w:rFonts w:cs="Arial"/>
          <w:szCs w:val="20"/>
        </w:rPr>
      </w:pPr>
      <w:r w:rsidRPr="0022791D">
        <w:rPr>
          <w:rFonts w:cs="Arial"/>
          <w:szCs w:val="20"/>
          <w:lang w:val="en-US"/>
        </w:rPr>
        <w:t>Among the total number of enrolled students</w:t>
      </w:r>
      <w:r w:rsidR="00780C27" w:rsidRPr="0022791D">
        <w:rPr>
          <w:rFonts w:cs="Arial"/>
          <w:szCs w:val="20"/>
          <w:lang w:val="en-US"/>
        </w:rPr>
        <w:t>,</w:t>
      </w:r>
      <w:r w:rsidRPr="0022791D">
        <w:rPr>
          <w:rFonts w:cs="Arial"/>
          <w:szCs w:val="20"/>
          <w:lang w:val="en-US"/>
        </w:rPr>
        <w:t xml:space="preserve"> </w:t>
      </w:r>
      <w:r w:rsidR="005C56C0">
        <w:rPr>
          <w:rFonts w:cs="Arial"/>
          <w:szCs w:val="20"/>
          <w:lang w:val="en-US"/>
        </w:rPr>
        <w:t>104 058</w:t>
      </w:r>
      <w:r w:rsidRPr="0022791D">
        <w:rPr>
          <w:rFonts w:cs="Arial"/>
          <w:szCs w:val="20"/>
          <w:lang w:val="en-US"/>
        </w:rPr>
        <w:t>, i.e. 43</w:t>
      </w:r>
      <w:r w:rsidR="005C56C0">
        <w:rPr>
          <w:rFonts w:cs="Arial"/>
          <w:szCs w:val="20"/>
          <w:lang w:val="en-US"/>
        </w:rPr>
        <w:t>%</w:t>
      </w:r>
      <w:r w:rsidRPr="0022791D">
        <w:rPr>
          <w:rFonts w:cs="Arial"/>
          <w:szCs w:val="20"/>
          <w:lang w:val="en-US"/>
        </w:rPr>
        <w:t xml:space="preserve">, </w:t>
      </w:r>
      <w:r w:rsidR="00780C27" w:rsidRPr="0022791D">
        <w:rPr>
          <w:rFonts w:cs="Arial"/>
          <w:szCs w:val="20"/>
          <w:lang w:val="en-US"/>
        </w:rPr>
        <w:t xml:space="preserve">were men </w:t>
      </w:r>
      <w:r w:rsidRPr="0022791D">
        <w:rPr>
          <w:rFonts w:cs="Arial"/>
          <w:szCs w:val="20"/>
          <w:lang w:val="en-US"/>
        </w:rPr>
        <w:t xml:space="preserve">and </w:t>
      </w:r>
      <w:r w:rsidR="005C56C0">
        <w:rPr>
          <w:rFonts w:cs="Arial"/>
          <w:szCs w:val="20"/>
          <w:lang w:val="en-US"/>
        </w:rPr>
        <w:t>137 910</w:t>
      </w:r>
      <w:r w:rsidRPr="0022791D">
        <w:rPr>
          <w:rFonts w:cs="Arial"/>
          <w:szCs w:val="20"/>
          <w:lang w:val="en-US"/>
        </w:rPr>
        <w:t>, i.e.</w:t>
      </w:r>
      <w:r w:rsidR="006670D7" w:rsidRPr="0022791D">
        <w:rPr>
          <w:rFonts w:cs="Arial"/>
          <w:szCs w:val="20"/>
        </w:rPr>
        <w:t xml:space="preserve"> 5</w:t>
      </w:r>
      <w:r w:rsidR="00EC1F01" w:rsidRPr="0022791D">
        <w:rPr>
          <w:rFonts w:cs="Arial"/>
          <w:szCs w:val="20"/>
          <w:lang w:val="en-US"/>
        </w:rPr>
        <w:t>7</w:t>
      </w:r>
      <w:r w:rsidR="006670D7" w:rsidRPr="0022791D">
        <w:rPr>
          <w:rFonts w:cs="Arial"/>
          <w:szCs w:val="20"/>
        </w:rPr>
        <w:t>%</w:t>
      </w:r>
      <w:r w:rsidR="00780C27" w:rsidRPr="0022791D">
        <w:rPr>
          <w:rFonts w:cs="Arial"/>
          <w:szCs w:val="20"/>
          <w:lang w:val="en-US"/>
        </w:rPr>
        <w:t>,</w:t>
      </w:r>
      <w:r w:rsidR="006670D7" w:rsidRPr="0022791D">
        <w:rPr>
          <w:rFonts w:cs="Arial"/>
          <w:szCs w:val="20"/>
        </w:rPr>
        <w:t xml:space="preserve"> </w:t>
      </w:r>
      <w:r w:rsidR="00780C27" w:rsidRPr="0022791D">
        <w:rPr>
          <w:rFonts w:cs="Arial"/>
          <w:szCs w:val="20"/>
          <w:lang w:val="en-US"/>
        </w:rPr>
        <w:t>women</w:t>
      </w:r>
      <w:r w:rsidR="006670D7" w:rsidRPr="0022791D">
        <w:rPr>
          <w:rFonts w:cs="Arial"/>
          <w:szCs w:val="20"/>
        </w:rPr>
        <w:t>.</w:t>
      </w:r>
    </w:p>
    <w:p w:rsidR="006670D7" w:rsidRPr="0022791D" w:rsidRDefault="00780C27" w:rsidP="005F189E">
      <w:pPr>
        <w:autoSpaceDE w:val="0"/>
        <w:autoSpaceDN w:val="0"/>
        <w:adjustRightInd w:val="0"/>
        <w:spacing w:before="240" w:after="120"/>
        <w:ind w:firstLine="397"/>
        <w:jc w:val="both"/>
        <w:rPr>
          <w:rFonts w:cs="Arial"/>
          <w:szCs w:val="20"/>
        </w:rPr>
      </w:pPr>
      <w:r w:rsidRPr="0022791D">
        <w:rPr>
          <w:rFonts w:cs="Arial"/>
          <w:szCs w:val="20"/>
          <w:lang w:val="en-US"/>
        </w:rPr>
        <w:t xml:space="preserve">A total of </w:t>
      </w:r>
      <w:r w:rsidR="005C56C0">
        <w:rPr>
          <w:rFonts w:cs="Arial"/>
          <w:szCs w:val="20"/>
          <w:lang w:val="en-US"/>
        </w:rPr>
        <w:t>204 627</w:t>
      </w:r>
      <w:r w:rsidRPr="0022791D">
        <w:rPr>
          <w:rFonts w:cs="Arial"/>
          <w:szCs w:val="20"/>
          <w:lang w:val="en-US"/>
        </w:rPr>
        <w:t xml:space="preserve"> students were enrolled at state and private unive</w:t>
      </w:r>
      <w:r w:rsidR="00250E57" w:rsidRPr="0022791D">
        <w:rPr>
          <w:rFonts w:cs="Arial"/>
          <w:szCs w:val="20"/>
          <w:lang w:val="en-US"/>
        </w:rPr>
        <w:t xml:space="preserve">rsities, </w:t>
      </w:r>
      <w:r w:rsidR="00BC0739">
        <w:rPr>
          <w:rFonts w:cs="Arial"/>
          <w:szCs w:val="20"/>
          <w:lang w:val="en-US"/>
        </w:rPr>
        <w:t>from that</w:t>
      </w:r>
      <w:r w:rsidR="00BC0739" w:rsidRPr="0022791D">
        <w:rPr>
          <w:rFonts w:cs="Arial"/>
          <w:szCs w:val="20"/>
          <w:lang w:val="en-US"/>
        </w:rPr>
        <w:t xml:space="preserve"> 86%</w:t>
      </w:r>
      <w:r w:rsidR="00BC0739">
        <w:rPr>
          <w:rFonts w:cs="Arial"/>
          <w:szCs w:val="20"/>
          <w:lang w:val="en-US"/>
        </w:rPr>
        <w:t xml:space="preserve"> </w:t>
      </w:r>
      <w:r w:rsidR="00BC0739" w:rsidRPr="0022791D">
        <w:rPr>
          <w:rFonts w:cs="Arial"/>
          <w:szCs w:val="20"/>
          <w:lang w:val="en-US"/>
        </w:rPr>
        <w:t xml:space="preserve">i.e. </w:t>
      </w:r>
      <w:r w:rsidR="005C56C0">
        <w:rPr>
          <w:rFonts w:cs="Arial"/>
          <w:szCs w:val="20"/>
          <w:lang w:val="en-US"/>
        </w:rPr>
        <w:t>175 995</w:t>
      </w:r>
      <w:r w:rsidR="00250E57" w:rsidRPr="0022791D">
        <w:rPr>
          <w:rFonts w:cs="Arial"/>
          <w:szCs w:val="20"/>
          <w:lang w:val="en-US"/>
        </w:rPr>
        <w:t xml:space="preserve"> at S</w:t>
      </w:r>
      <w:r w:rsidRPr="0022791D">
        <w:rPr>
          <w:rFonts w:cs="Arial"/>
          <w:szCs w:val="20"/>
          <w:lang w:val="en-US"/>
        </w:rPr>
        <w:t>tate</w:t>
      </w:r>
      <w:r w:rsidR="00C71527" w:rsidRPr="0022791D">
        <w:rPr>
          <w:rFonts w:cs="Arial"/>
          <w:szCs w:val="20"/>
          <w:lang w:val="en-US"/>
        </w:rPr>
        <w:t xml:space="preserve"> universities</w:t>
      </w:r>
      <w:r w:rsidRPr="0022791D">
        <w:rPr>
          <w:rFonts w:cs="Arial"/>
          <w:szCs w:val="20"/>
          <w:lang w:val="en-US"/>
        </w:rPr>
        <w:t xml:space="preserve"> and 1</w:t>
      </w:r>
      <w:r w:rsidR="005C56C0">
        <w:rPr>
          <w:rFonts w:cs="Arial"/>
          <w:szCs w:val="20"/>
          <w:lang w:val="en-US"/>
        </w:rPr>
        <w:t>4</w:t>
      </w:r>
      <w:r w:rsidRPr="0022791D">
        <w:rPr>
          <w:rFonts w:cs="Arial"/>
          <w:szCs w:val="20"/>
          <w:lang w:val="en-US"/>
        </w:rPr>
        <w:t xml:space="preserve">%, i.e. </w:t>
      </w:r>
      <w:r w:rsidR="00EC1F01" w:rsidRPr="0022791D">
        <w:rPr>
          <w:rFonts w:cs="Arial"/>
          <w:szCs w:val="20"/>
          <w:lang w:val="en-US"/>
        </w:rPr>
        <w:t>2</w:t>
      </w:r>
      <w:r w:rsidR="005C56C0">
        <w:rPr>
          <w:rFonts w:cs="Arial"/>
          <w:szCs w:val="20"/>
          <w:lang w:val="en-US"/>
        </w:rPr>
        <w:t>8 632</w:t>
      </w:r>
      <w:r w:rsidRPr="0022791D">
        <w:rPr>
          <w:rFonts w:cs="Arial"/>
          <w:szCs w:val="20"/>
          <w:lang w:val="en-US"/>
        </w:rPr>
        <w:t xml:space="preserve"> at private universities.</w:t>
      </w:r>
      <w:r w:rsidR="006670D7" w:rsidRPr="0022791D">
        <w:rPr>
          <w:rFonts w:cs="Arial"/>
          <w:szCs w:val="20"/>
        </w:rPr>
        <w:t xml:space="preserve"> </w:t>
      </w:r>
    </w:p>
    <w:p w:rsidR="006670D7" w:rsidRPr="0022791D" w:rsidRDefault="00C71527" w:rsidP="005F189E">
      <w:pPr>
        <w:autoSpaceDE w:val="0"/>
        <w:autoSpaceDN w:val="0"/>
        <w:adjustRightInd w:val="0"/>
        <w:spacing w:before="240" w:after="120"/>
        <w:ind w:firstLine="397"/>
        <w:jc w:val="both"/>
        <w:rPr>
          <w:rFonts w:cs="Arial"/>
          <w:szCs w:val="20"/>
        </w:rPr>
      </w:pPr>
      <w:r w:rsidRPr="0022791D">
        <w:rPr>
          <w:rFonts w:cs="Arial"/>
          <w:szCs w:val="20"/>
          <w:lang w:val="en-US"/>
        </w:rPr>
        <w:t xml:space="preserve">A total of </w:t>
      </w:r>
      <w:r w:rsidR="00BC0739">
        <w:rPr>
          <w:rFonts w:cs="Arial"/>
          <w:szCs w:val="20"/>
          <w:lang w:val="en-US"/>
        </w:rPr>
        <w:t xml:space="preserve">  </w:t>
      </w:r>
      <w:r w:rsidR="005C56C0">
        <w:rPr>
          <w:rFonts w:cs="Arial"/>
          <w:szCs w:val="20"/>
          <w:lang w:val="en-US"/>
        </w:rPr>
        <w:t>37 341</w:t>
      </w:r>
      <w:r w:rsidRPr="0022791D">
        <w:rPr>
          <w:rFonts w:cs="Arial"/>
          <w:szCs w:val="20"/>
          <w:lang w:val="en-US"/>
        </w:rPr>
        <w:t xml:space="preserve"> students were enrolled at state and private higher </w:t>
      </w:r>
      <w:r w:rsidR="0025278E">
        <w:rPr>
          <w:rStyle w:val="tlid-translation"/>
          <w:lang w:val="en"/>
        </w:rPr>
        <w:t xml:space="preserve">vocational </w:t>
      </w:r>
      <w:r w:rsidRPr="0022791D">
        <w:rPr>
          <w:rFonts w:cs="Arial"/>
          <w:szCs w:val="20"/>
          <w:lang w:val="en-US"/>
        </w:rPr>
        <w:t xml:space="preserve">schools, </w:t>
      </w:r>
      <w:r w:rsidR="00BC0739">
        <w:rPr>
          <w:rFonts w:cs="Arial"/>
          <w:szCs w:val="20"/>
          <w:lang w:val="en-US"/>
        </w:rPr>
        <w:t>from that</w:t>
      </w:r>
      <w:r w:rsidR="005C56C0">
        <w:rPr>
          <w:rFonts w:cs="Arial"/>
          <w:szCs w:val="20"/>
          <w:lang w:val="en-US"/>
        </w:rPr>
        <w:t xml:space="preserve"> 87.6</w:t>
      </w:r>
      <w:r w:rsidR="00BC0739" w:rsidRPr="0022791D">
        <w:rPr>
          <w:rFonts w:cs="Arial"/>
          <w:szCs w:val="20"/>
          <w:lang w:val="en-US"/>
        </w:rPr>
        <w:t>%</w:t>
      </w:r>
      <w:r w:rsidR="00BC0739">
        <w:rPr>
          <w:rFonts w:cs="Arial"/>
          <w:szCs w:val="20"/>
          <w:lang w:val="en-US"/>
        </w:rPr>
        <w:t xml:space="preserve"> </w:t>
      </w:r>
      <w:r w:rsidR="00BC0739" w:rsidRPr="0022791D">
        <w:rPr>
          <w:rFonts w:cs="Arial"/>
          <w:szCs w:val="20"/>
          <w:lang w:val="en-US"/>
        </w:rPr>
        <w:t>i.e</w:t>
      </w:r>
      <w:r w:rsidR="00BC0739">
        <w:rPr>
          <w:rFonts w:cs="Arial"/>
          <w:szCs w:val="20"/>
          <w:lang w:val="en-US"/>
        </w:rPr>
        <w:t>.</w:t>
      </w:r>
      <w:r w:rsidR="00BC0739" w:rsidRPr="0022791D">
        <w:rPr>
          <w:rFonts w:cs="Arial"/>
          <w:szCs w:val="20"/>
          <w:lang w:val="en-US"/>
        </w:rPr>
        <w:t xml:space="preserve"> </w:t>
      </w:r>
      <w:r w:rsidR="005C56C0">
        <w:rPr>
          <w:rFonts w:cs="Arial"/>
          <w:szCs w:val="20"/>
          <w:lang w:val="en-US"/>
        </w:rPr>
        <w:t>32 724</w:t>
      </w:r>
      <w:r w:rsidR="006670D7" w:rsidRPr="0022791D">
        <w:rPr>
          <w:rFonts w:cs="Arial"/>
          <w:szCs w:val="20"/>
        </w:rPr>
        <w:t xml:space="preserve"> </w:t>
      </w:r>
      <w:r w:rsidR="00250E57" w:rsidRPr="0022791D">
        <w:rPr>
          <w:rFonts w:cs="Arial"/>
          <w:szCs w:val="20"/>
          <w:lang w:val="en-US"/>
        </w:rPr>
        <w:t>at S</w:t>
      </w:r>
      <w:r w:rsidRPr="0022791D">
        <w:rPr>
          <w:rFonts w:cs="Arial"/>
          <w:szCs w:val="20"/>
          <w:lang w:val="en-US"/>
        </w:rPr>
        <w:t xml:space="preserve">tate higher </w:t>
      </w:r>
      <w:r w:rsidR="00BC0739">
        <w:rPr>
          <w:rStyle w:val="tlid-translation"/>
          <w:lang w:val="en"/>
        </w:rPr>
        <w:t>vocational</w:t>
      </w:r>
      <w:r w:rsidR="00BC0739" w:rsidRPr="0022791D">
        <w:rPr>
          <w:rFonts w:cs="Arial"/>
          <w:szCs w:val="20"/>
          <w:lang w:val="en-US"/>
        </w:rPr>
        <w:t xml:space="preserve"> </w:t>
      </w:r>
      <w:r w:rsidRPr="0022791D">
        <w:rPr>
          <w:rFonts w:cs="Arial"/>
          <w:szCs w:val="20"/>
          <w:lang w:val="en-US"/>
        </w:rPr>
        <w:t xml:space="preserve">schools and </w:t>
      </w:r>
      <w:r w:rsidR="00EC1F01" w:rsidRPr="0022791D">
        <w:rPr>
          <w:rFonts w:cs="Arial"/>
          <w:szCs w:val="20"/>
          <w:lang w:val="en-US"/>
        </w:rPr>
        <w:t>12.</w:t>
      </w:r>
      <w:r w:rsidR="005C56C0">
        <w:rPr>
          <w:rFonts w:cs="Arial"/>
          <w:szCs w:val="20"/>
          <w:lang w:val="en-US"/>
        </w:rPr>
        <w:t>4</w:t>
      </w:r>
      <w:r w:rsidR="006670D7" w:rsidRPr="0022791D">
        <w:rPr>
          <w:rFonts w:cs="Arial"/>
          <w:szCs w:val="20"/>
        </w:rPr>
        <w:t>%</w:t>
      </w:r>
      <w:r w:rsidRPr="0022791D">
        <w:rPr>
          <w:rFonts w:cs="Arial"/>
          <w:szCs w:val="20"/>
          <w:lang w:val="en-US"/>
        </w:rPr>
        <w:t>, i.e.</w:t>
      </w:r>
      <w:r w:rsidR="006670D7" w:rsidRPr="0022791D">
        <w:rPr>
          <w:rFonts w:cs="Arial"/>
          <w:szCs w:val="20"/>
        </w:rPr>
        <w:t xml:space="preserve"> 4</w:t>
      </w:r>
      <w:r w:rsidRPr="0022791D">
        <w:rPr>
          <w:rFonts w:cs="Arial"/>
          <w:szCs w:val="20"/>
          <w:lang w:val="en-US"/>
        </w:rPr>
        <w:t xml:space="preserve"> </w:t>
      </w:r>
      <w:r w:rsidR="005C56C0">
        <w:rPr>
          <w:rFonts w:cs="Arial"/>
          <w:szCs w:val="20"/>
          <w:lang w:val="en-US"/>
        </w:rPr>
        <w:t>617</w:t>
      </w:r>
      <w:r w:rsidR="006670D7" w:rsidRPr="0022791D">
        <w:rPr>
          <w:rFonts w:cs="Arial"/>
          <w:szCs w:val="20"/>
        </w:rPr>
        <w:t xml:space="preserve"> </w:t>
      </w:r>
      <w:r w:rsidRPr="0022791D">
        <w:rPr>
          <w:rFonts w:cs="Arial"/>
          <w:szCs w:val="20"/>
          <w:lang w:val="en-US"/>
        </w:rPr>
        <w:t>at private higher</w:t>
      </w:r>
      <w:r w:rsidR="0025278E">
        <w:rPr>
          <w:rFonts w:cs="Arial"/>
          <w:szCs w:val="20"/>
          <w:lang w:val="en-US"/>
        </w:rPr>
        <w:t xml:space="preserve"> </w:t>
      </w:r>
      <w:r w:rsidR="0025278E">
        <w:rPr>
          <w:rStyle w:val="tlid-translation"/>
          <w:lang w:val="en"/>
        </w:rPr>
        <w:t>vocational</w:t>
      </w:r>
      <w:r w:rsidRPr="0022791D">
        <w:rPr>
          <w:rFonts w:cs="Arial"/>
          <w:szCs w:val="20"/>
          <w:lang w:val="en-US"/>
        </w:rPr>
        <w:t xml:space="preserve"> schools</w:t>
      </w:r>
      <w:r w:rsidR="006670D7" w:rsidRPr="0022791D">
        <w:rPr>
          <w:rFonts w:cs="Arial"/>
          <w:szCs w:val="20"/>
        </w:rPr>
        <w:t>.</w:t>
      </w:r>
    </w:p>
    <w:p w:rsidR="006670D7" w:rsidRPr="005F189E" w:rsidRDefault="00C71527" w:rsidP="005F189E">
      <w:pPr>
        <w:autoSpaceDE w:val="0"/>
        <w:autoSpaceDN w:val="0"/>
        <w:adjustRightInd w:val="0"/>
        <w:spacing w:before="240" w:after="120"/>
        <w:ind w:firstLine="397"/>
        <w:jc w:val="both"/>
        <w:rPr>
          <w:rFonts w:cs="Arial"/>
          <w:szCs w:val="20"/>
          <w:lang w:val="en-US"/>
        </w:rPr>
      </w:pPr>
      <w:r w:rsidRPr="0022791D">
        <w:rPr>
          <w:rFonts w:cs="Arial"/>
          <w:szCs w:val="20"/>
          <w:lang w:val="en-US"/>
        </w:rPr>
        <w:t xml:space="preserve">Observed by way of financing, </w:t>
      </w:r>
      <w:r w:rsidR="00C130FC" w:rsidRPr="0022791D">
        <w:rPr>
          <w:rFonts w:cs="Arial"/>
          <w:szCs w:val="20"/>
          <w:lang w:val="en-US"/>
        </w:rPr>
        <w:t xml:space="preserve">there were </w:t>
      </w:r>
      <w:r w:rsidR="006670D7" w:rsidRPr="0022791D">
        <w:rPr>
          <w:rFonts w:cs="Arial"/>
          <w:szCs w:val="20"/>
        </w:rPr>
        <w:t>41</w:t>
      </w:r>
      <w:r w:rsidRPr="0022791D">
        <w:rPr>
          <w:rFonts w:cs="Arial"/>
          <w:szCs w:val="20"/>
          <w:lang w:val="en-US"/>
        </w:rPr>
        <w:t>.</w:t>
      </w:r>
      <w:r w:rsidR="005C56C0">
        <w:rPr>
          <w:rFonts w:cs="Arial"/>
          <w:szCs w:val="20"/>
          <w:lang w:val="en-US"/>
        </w:rPr>
        <w:t>4</w:t>
      </w:r>
      <w:r w:rsidR="006670D7" w:rsidRPr="0022791D">
        <w:rPr>
          <w:rFonts w:cs="Arial"/>
          <w:szCs w:val="20"/>
        </w:rPr>
        <w:t xml:space="preserve">% </w:t>
      </w:r>
      <w:r w:rsidRPr="0022791D">
        <w:rPr>
          <w:rFonts w:cs="Arial"/>
          <w:szCs w:val="20"/>
          <w:lang w:val="en-US"/>
        </w:rPr>
        <w:t xml:space="preserve">students </w:t>
      </w:r>
      <w:r w:rsidR="00C130FC" w:rsidRPr="0022791D">
        <w:rPr>
          <w:rFonts w:cs="Arial"/>
          <w:szCs w:val="20"/>
          <w:lang w:val="en-US"/>
        </w:rPr>
        <w:t xml:space="preserve">financed from the </w:t>
      </w:r>
      <w:r w:rsidRPr="0022791D">
        <w:rPr>
          <w:rFonts w:cs="Arial"/>
          <w:szCs w:val="20"/>
          <w:lang w:val="en-US"/>
        </w:rPr>
        <w:t xml:space="preserve">budget and </w:t>
      </w:r>
      <w:r w:rsidR="00EC1F01" w:rsidRPr="0022791D">
        <w:rPr>
          <w:rFonts w:cs="Arial"/>
          <w:szCs w:val="20"/>
          <w:lang w:val="en-US"/>
        </w:rPr>
        <w:t>58.</w:t>
      </w:r>
      <w:r w:rsidR="005C56C0">
        <w:rPr>
          <w:rFonts w:cs="Arial"/>
          <w:szCs w:val="20"/>
          <w:lang w:val="en-US"/>
        </w:rPr>
        <w:t>6</w:t>
      </w:r>
      <w:r w:rsidR="006670D7" w:rsidRPr="0022791D">
        <w:rPr>
          <w:rFonts w:cs="Arial"/>
          <w:szCs w:val="20"/>
        </w:rPr>
        <w:t xml:space="preserve">% </w:t>
      </w:r>
      <w:r w:rsidR="00C130FC" w:rsidRPr="0022791D">
        <w:rPr>
          <w:rFonts w:cs="Arial"/>
          <w:szCs w:val="20"/>
          <w:lang w:val="en-US"/>
        </w:rPr>
        <w:t>self-financing students</w:t>
      </w:r>
      <w:r w:rsidR="006670D7" w:rsidRPr="0022791D">
        <w:rPr>
          <w:rFonts w:cs="Arial"/>
          <w:szCs w:val="20"/>
        </w:rPr>
        <w:t>.</w:t>
      </w:r>
    </w:p>
    <w:p w:rsidR="001C3045" w:rsidRPr="005F189E" w:rsidRDefault="001C3045" w:rsidP="006A7E8E">
      <w:pPr>
        <w:rPr>
          <w:lang w:val="sr-Latn-CS"/>
        </w:rPr>
      </w:pPr>
    </w:p>
    <w:p w:rsidR="001C3045" w:rsidRPr="005F189E" w:rsidRDefault="001C3045" w:rsidP="000D4B8D">
      <w:pPr>
        <w:pStyle w:val="Footer"/>
        <w:spacing w:before="60" w:after="60"/>
        <w:ind w:left="255" w:hanging="255"/>
        <w:rPr>
          <w:b/>
          <w:lang w:val="en-US"/>
        </w:rPr>
      </w:pPr>
    </w:p>
    <w:p w:rsidR="006670D7" w:rsidRPr="005F189E" w:rsidRDefault="00C130FC" w:rsidP="000D4B8D">
      <w:pPr>
        <w:pStyle w:val="Footer"/>
        <w:spacing w:before="60" w:after="60"/>
        <w:ind w:left="255" w:hanging="255"/>
        <w:rPr>
          <w:b/>
          <w:vertAlign w:val="superscript"/>
        </w:rPr>
      </w:pPr>
      <w:r w:rsidRPr="005F189E">
        <w:rPr>
          <w:b/>
          <w:lang w:val="en-US"/>
        </w:rPr>
        <w:t>Students e</w:t>
      </w:r>
      <w:r w:rsidR="00250E57" w:rsidRPr="005F189E">
        <w:rPr>
          <w:b/>
          <w:lang w:val="en-US"/>
        </w:rPr>
        <w:t>nrolled by universities and way</w:t>
      </w:r>
      <w:r w:rsidRPr="005F189E">
        <w:rPr>
          <w:b/>
          <w:lang w:val="en-US"/>
        </w:rPr>
        <w:t xml:space="preserve"> of financing</w:t>
      </w:r>
      <w:r w:rsidR="006670D7" w:rsidRPr="005F189E">
        <w:rPr>
          <w:b/>
          <w:vertAlign w:val="superscript"/>
        </w:rPr>
        <w:t>1)</w:t>
      </w:r>
    </w:p>
    <w:tbl>
      <w:tblPr>
        <w:tblW w:w="1028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6670D7" w:rsidRPr="00AD2E6A" w:rsidTr="005F189E">
        <w:trPr>
          <w:trHeight w:val="20"/>
          <w:jc w:val="center"/>
        </w:trPr>
        <w:tc>
          <w:tcPr>
            <w:tcW w:w="340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670D7" w:rsidRPr="00AD2E6A" w:rsidRDefault="006670D7" w:rsidP="006670D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D2E6A">
              <w:rPr>
                <w:rFonts w:cs="Arial"/>
                <w:sz w:val="16"/>
                <w:szCs w:val="16"/>
                <w:lang w:val="en-US"/>
              </w:rPr>
              <w:t>Universities</w:t>
            </w:r>
          </w:p>
        </w:tc>
        <w:tc>
          <w:tcPr>
            <w:tcW w:w="2295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670D7" w:rsidRPr="00AD2E6A" w:rsidRDefault="006670D7" w:rsidP="006670D7">
            <w:pPr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AD2E6A">
              <w:rPr>
                <w:rFonts w:cs="Arial"/>
                <w:bCs/>
                <w:sz w:val="16"/>
                <w:szCs w:val="16"/>
                <w:lang w:val="en-US"/>
              </w:rPr>
              <w:t>Students</w:t>
            </w:r>
          </w:p>
        </w:tc>
        <w:tc>
          <w:tcPr>
            <w:tcW w:w="459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670D7" w:rsidRPr="00AD2E6A" w:rsidRDefault="006670D7" w:rsidP="006670D7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D2E6A">
              <w:rPr>
                <w:rFonts w:cs="Arial"/>
                <w:bCs/>
                <w:sz w:val="16"/>
                <w:szCs w:val="16"/>
                <w:lang w:val="en-US"/>
              </w:rPr>
              <w:t>Way of financing</w:t>
            </w:r>
          </w:p>
        </w:tc>
      </w:tr>
      <w:tr w:rsidR="006670D7" w:rsidRPr="00AD2E6A" w:rsidTr="005F189E">
        <w:trPr>
          <w:trHeight w:val="20"/>
          <w:jc w:val="center"/>
        </w:trPr>
        <w:tc>
          <w:tcPr>
            <w:tcW w:w="340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670D7" w:rsidRPr="00AD2E6A" w:rsidRDefault="006670D7" w:rsidP="006670D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295" w:type="dxa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670D7" w:rsidRPr="00AD2E6A" w:rsidRDefault="006670D7" w:rsidP="006670D7">
            <w:pPr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6670D7" w:rsidRPr="00AD2E6A" w:rsidRDefault="006670D7" w:rsidP="006670D7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D2E6A">
              <w:rPr>
                <w:rFonts w:cs="Arial"/>
                <w:sz w:val="16"/>
                <w:szCs w:val="16"/>
                <w:lang w:val="en-US"/>
              </w:rPr>
              <w:t>Budget</w:t>
            </w:r>
          </w:p>
        </w:tc>
        <w:tc>
          <w:tcPr>
            <w:tcW w:w="229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6670D7" w:rsidRPr="00AD2E6A" w:rsidRDefault="006670D7" w:rsidP="006670D7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D2E6A">
              <w:rPr>
                <w:rFonts w:cs="Arial"/>
                <w:sz w:val="16"/>
                <w:szCs w:val="16"/>
                <w:lang w:val="en-US"/>
              </w:rPr>
              <w:t>Self-financing</w:t>
            </w:r>
          </w:p>
        </w:tc>
      </w:tr>
      <w:tr w:rsidR="006670D7" w:rsidRPr="00AD2E6A" w:rsidTr="005F189E">
        <w:trPr>
          <w:trHeight w:val="20"/>
          <w:jc w:val="center"/>
        </w:trPr>
        <w:tc>
          <w:tcPr>
            <w:tcW w:w="340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670D7" w:rsidRPr="00AD2E6A" w:rsidRDefault="006670D7" w:rsidP="006670D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6670D7" w:rsidRPr="00AD2E6A" w:rsidRDefault="006670D7" w:rsidP="006670D7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D2E6A">
              <w:rPr>
                <w:rFonts w:cs="Arial"/>
                <w:sz w:val="16"/>
                <w:szCs w:val="16"/>
                <w:lang w:val="en-US"/>
              </w:rPr>
              <w:t>All</w:t>
            </w:r>
          </w:p>
        </w:tc>
        <w:tc>
          <w:tcPr>
            <w:tcW w:w="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6670D7" w:rsidRPr="00AD2E6A" w:rsidRDefault="006670D7" w:rsidP="006670D7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D2E6A">
              <w:rPr>
                <w:rFonts w:cs="Arial"/>
                <w:sz w:val="16"/>
                <w:szCs w:val="16"/>
                <w:lang w:val="en-US"/>
              </w:rPr>
              <w:t>Men</w:t>
            </w:r>
          </w:p>
        </w:tc>
        <w:tc>
          <w:tcPr>
            <w:tcW w:w="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6670D7" w:rsidRPr="00AD2E6A" w:rsidRDefault="006670D7" w:rsidP="006670D7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D2E6A">
              <w:rPr>
                <w:rFonts w:cs="Arial"/>
                <w:sz w:val="16"/>
                <w:szCs w:val="16"/>
                <w:lang w:val="en-US"/>
              </w:rPr>
              <w:t>Women</w:t>
            </w:r>
          </w:p>
        </w:tc>
        <w:tc>
          <w:tcPr>
            <w:tcW w:w="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6670D7" w:rsidRPr="00AD2E6A" w:rsidRDefault="006670D7" w:rsidP="006670D7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D2E6A">
              <w:rPr>
                <w:rFonts w:cs="Arial"/>
                <w:sz w:val="16"/>
                <w:szCs w:val="16"/>
                <w:lang w:val="en-US"/>
              </w:rPr>
              <w:t>All</w:t>
            </w:r>
          </w:p>
        </w:tc>
        <w:tc>
          <w:tcPr>
            <w:tcW w:w="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6670D7" w:rsidRPr="00AD2E6A" w:rsidRDefault="006670D7" w:rsidP="006670D7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D2E6A">
              <w:rPr>
                <w:rFonts w:cs="Arial"/>
                <w:sz w:val="16"/>
                <w:szCs w:val="16"/>
                <w:lang w:val="en-US"/>
              </w:rPr>
              <w:t>Men</w:t>
            </w:r>
          </w:p>
        </w:tc>
        <w:tc>
          <w:tcPr>
            <w:tcW w:w="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6670D7" w:rsidRPr="00AD2E6A" w:rsidRDefault="006670D7" w:rsidP="006670D7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D2E6A">
              <w:rPr>
                <w:rFonts w:cs="Arial"/>
                <w:sz w:val="16"/>
                <w:szCs w:val="16"/>
                <w:lang w:val="en-US"/>
              </w:rPr>
              <w:t>Women</w:t>
            </w:r>
          </w:p>
        </w:tc>
        <w:tc>
          <w:tcPr>
            <w:tcW w:w="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6670D7" w:rsidRPr="00AD2E6A" w:rsidRDefault="006670D7" w:rsidP="006670D7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D2E6A">
              <w:rPr>
                <w:rFonts w:cs="Arial"/>
                <w:sz w:val="16"/>
                <w:szCs w:val="16"/>
                <w:lang w:val="en-US"/>
              </w:rPr>
              <w:t>All</w:t>
            </w:r>
          </w:p>
        </w:tc>
        <w:tc>
          <w:tcPr>
            <w:tcW w:w="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6670D7" w:rsidRPr="00AD2E6A" w:rsidRDefault="006670D7" w:rsidP="006670D7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D2E6A">
              <w:rPr>
                <w:rFonts w:cs="Arial"/>
                <w:sz w:val="16"/>
                <w:szCs w:val="16"/>
                <w:lang w:val="en-US"/>
              </w:rPr>
              <w:t>Men</w:t>
            </w:r>
          </w:p>
        </w:tc>
        <w:tc>
          <w:tcPr>
            <w:tcW w:w="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6670D7" w:rsidRPr="00AD2E6A" w:rsidRDefault="006670D7" w:rsidP="006670D7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D2E6A">
              <w:rPr>
                <w:rFonts w:cs="Arial"/>
                <w:sz w:val="16"/>
                <w:szCs w:val="16"/>
                <w:lang w:val="en-US"/>
              </w:rPr>
              <w:t>Women</w:t>
            </w:r>
          </w:p>
        </w:tc>
      </w:tr>
      <w:tr w:rsidR="006670D7" w:rsidRPr="00AD2E6A" w:rsidTr="005F189E">
        <w:trPr>
          <w:trHeight w:val="20"/>
          <w:jc w:val="center"/>
        </w:trPr>
        <w:tc>
          <w:tcPr>
            <w:tcW w:w="340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AD2E6A" w:rsidRDefault="006670D7" w:rsidP="00644F4F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AD2E6A" w:rsidRDefault="006670D7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AD2E6A" w:rsidRDefault="006670D7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AD2E6A" w:rsidRDefault="006670D7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AD2E6A" w:rsidRDefault="006670D7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AD2E6A" w:rsidRDefault="006670D7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AD2E6A" w:rsidRDefault="006670D7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AD2E6A" w:rsidRDefault="006670D7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AD2E6A" w:rsidRDefault="006670D7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AD2E6A" w:rsidRDefault="006670D7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C22ED4" w:rsidRPr="00AD2E6A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22ED4" w:rsidRPr="00AD2E6A" w:rsidRDefault="00C22ED4" w:rsidP="00C22ED4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AD2E6A">
              <w:rPr>
                <w:rFonts w:cs="Arial"/>
                <w:b/>
                <w:sz w:val="16"/>
                <w:szCs w:val="16"/>
                <w:lang w:val="en-US"/>
              </w:rPr>
              <w:t>Total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22ED4" w:rsidRPr="00694EDB" w:rsidRDefault="00C22ED4" w:rsidP="00C22ED4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694EDB">
              <w:rPr>
                <w:rFonts w:cs="Arial"/>
                <w:b/>
                <w:color w:val="000000"/>
                <w:sz w:val="16"/>
                <w:szCs w:val="16"/>
              </w:rPr>
              <w:t>241968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694EDB" w:rsidRDefault="00C22ED4" w:rsidP="00C22ED4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94EDB">
              <w:rPr>
                <w:rFonts w:cs="Arial"/>
                <w:b/>
                <w:color w:val="000000"/>
                <w:sz w:val="16"/>
                <w:szCs w:val="16"/>
              </w:rPr>
              <w:t>104058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694EDB" w:rsidRDefault="00C22ED4" w:rsidP="00C22ED4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94EDB">
              <w:rPr>
                <w:rFonts w:cs="Arial"/>
                <w:b/>
                <w:color w:val="000000"/>
                <w:sz w:val="16"/>
                <w:szCs w:val="16"/>
              </w:rPr>
              <w:t>137910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694EDB" w:rsidRDefault="00C22ED4" w:rsidP="00C22ED4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94EDB">
              <w:rPr>
                <w:rFonts w:cs="Arial"/>
                <w:b/>
                <w:color w:val="000000"/>
                <w:sz w:val="16"/>
                <w:szCs w:val="16"/>
              </w:rPr>
              <w:t>100250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694EDB" w:rsidRDefault="00C22ED4" w:rsidP="00C22ED4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94EDB">
              <w:rPr>
                <w:rFonts w:cs="Arial"/>
                <w:b/>
                <w:color w:val="000000"/>
                <w:sz w:val="16"/>
                <w:szCs w:val="16"/>
              </w:rPr>
              <w:t>40252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694EDB" w:rsidRDefault="00C22ED4" w:rsidP="00C22ED4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94EDB">
              <w:rPr>
                <w:rFonts w:cs="Arial"/>
                <w:b/>
                <w:color w:val="000000"/>
                <w:sz w:val="16"/>
                <w:szCs w:val="16"/>
              </w:rPr>
              <w:t>59998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694EDB" w:rsidRDefault="00C22ED4" w:rsidP="00C22ED4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94EDB">
              <w:rPr>
                <w:rFonts w:cs="Arial"/>
                <w:b/>
                <w:color w:val="000000"/>
                <w:sz w:val="16"/>
                <w:szCs w:val="16"/>
              </w:rPr>
              <w:t>141718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694EDB" w:rsidRDefault="00C22ED4" w:rsidP="00C22ED4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94EDB">
              <w:rPr>
                <w:rFonts w:cs="Arial"/>
                <w:b/>
                <w:color w:val="000000"/>
                <w:sz w:val="16"/>
                <w:szCs w:val="16"/>
              </w:rPr>
              <w:t>63806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694EDB" w:rsidRDefault="00C22ED4" w:rsidP="00C22ED4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94EDB">
              <w:rPr>
                <w:rFonts w:cs="Arial"/>
                <w:b/>
                <w:color w:val="000000"/>
                <w:sz w:val="16"/>
                <w:szCs w:val="16"/>
              </w:rPr>
              <w:t>77912</w:t>
            </w:r>
          </w:p>
        </w:tc>
      </w:tr>
      <w:tr w:rsidR="00C22ED4" w:rsidRPr="00AD2E6A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22ED4" w:rsidRPr="00AD2E6A" w:rsidRDefault="00C22ED4" w:rsidP="00C22ED4">
            <w:pPr>
              <w:spacing w:before="120"/>
              <w:ind w:left="17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AD2E6A">
              <w:rPr>
                <w:rFonts w:cs="Arial"/>
                <w:b/>
                <w:bCs/>
                <w:sz w:val="16"/>
                <w:szCs w:val="16"/>
              </w:rPr>
              <w:t>State universities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175995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71087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104908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85243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33255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51988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90752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37832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52920</w:t>
            </w:r>
          </w:p>
        </w:tc>
      </w:tr>
      <w:tr w:rsidR="00C22ED4" w:rsidRPr="00AD2E6A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22ED4" w:rsidRPr="00AD2E6A" w:rsidRDefault="00C22ED4" w:rsidP="00C22ED4">
            <w:pPr>
              <w:ind w:left="284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University of Belgrade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95016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36895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58121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39945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14815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25130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55071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22080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32991</w:t>
            </w:r>
          </w:p>
        </w:tc>
      </w:tr>
      <w:tr w:rsidR="00C22ED4" w:rsidRPr="00AD2E6A" w:rsidTr="005F189E">
        <w:trPr>
          <w:trHeight w:val="57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22ED4" w:rsidRPr="00AD2E6A" w:rsidRDefault="00C22ED4" w:rsidP="00C22ED4">
            <w:pPr>
              <w:ind w:left="284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University of arts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2662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1716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572</w:t>
            </w:r>
          </w:p>
        </w:tc>
      </w:tr>
      <w:tr w:rsidR="00C22ED4" w:rsidRPr="00AD2E6A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22ED4" w:rsidRPr="00AD2E6A" w:rsidRDefault="00C22ED4" w:rsidP="00C22ED4">
            <w:pPr>
              <w:ind w:left="284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University of national defence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</w:tr>
      <w:tr w:rsidR="00C22ED4" w:rsidRPr="00AD2E6A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22ED4" w:rsidRPr="00AD2E6A" w:rsidRDefault="00C22ED4" w:rsidP="00C22ED4">
            <w:pPr>
              <w:ind w:left="284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University of Kragujevac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13589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4891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8698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7529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2624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4905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2267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3793</w:t>
            </w:r>
          </w:p>
        </w:tc>
      </w:tr>
      <w:tr w:rsidR="00C22ED4" w:rsidRPr="00AD2E6A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22ED4" w:rsidRPr="00AD2E6A" w:rsidRDefault="00C22ED4" w:rsidP="00C22ED4">
            <w:pPr>
              <w:ind w:left="284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University in Niš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20495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8687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11808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11585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4864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6721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8910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3823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5087</w:t>
            </w:r>
          </w:p>
        </w:tc>
      </w:tr>
      <w:tr w:rsidR="00C22ED4" w:rsidRPr="00AD2E6A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22ED4" w:rsidRPr="00AD2E6A" w:rsidRDefault="00C22ED4" w:rsidP="00C22ED4">
            <w:pPr>
              <w:ind w:left="284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University of Novi Sad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40549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17925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22624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22501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9411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13090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18048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8514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9534</w:t>
            </w:r>
          </w:p>
        </w:tc>
      </w:tr>
      <w:tr w:rsidR="00C22ED4" w:rsidRPr="00AD2E6A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22ED4" w:rsidRPr="00AD2E6A" w:rsidRDefault="00C22ED4" w:rsidP="00C22ED4">
            <w:pPr>
              <w:ind w:left="284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University of Novi Pazar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1672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1047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867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</w:t>
            </w:r>
          </w:p>
        </w:tc>
      </w:tr>
      <w:tr w:rsidR="00C22ED4" w:rsidRPr="00AD2E6A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22ED4" w:rsidRPr="00AD2E6A" w:rsidRDefault="00C22ED4" w:rsidP="00C22ED4">
            <w:pPr>
              <w:ind w:left="284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Academy of criminalistics and police studies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382</w:t>
            </w:r>
          </w:p>
        </w:tc>
      </w:tr>
      <w:tr w:rsidR="00C22ED4" w:rsidRPr="00AD2E6A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22ED4" w:rsidRPr="00AD2E6A" w:rsidRDefault="00C22ED4" w:rsidP="00C22ED4">
            <w:pPr>
              <w:spacing w:before="120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AD2E6A">
              <w:rPr>
                <w:rFonts w:cs="Arial"/>
                <w:b/>
                <w:bCs/>
                <w:sz w:val="16"/>
                <w:szCs w:val="16"/>
              </w:rPr>
              <w:t>Private universities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28632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13984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14648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28632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13984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14648</w:t>
            </w:r>
          </w:p>
        </w:tc>
      </w:tr>
      <w:tr w:rsidR="00C22ED4" w:rsidRPr="00AD2E6A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22ED4" w:rsidRPr="00AD2E6A" w:rsidRDefault="00C22ED4" w:rsidP="00C22ED4">
            <w:pPr>
              <w:ind w:left="284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University Singidunum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7541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3380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7541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3380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4161</w:t>
            </w:r>
          </w:p>
        </w:tc>
      </w:tr>
      <w:tr w:rsidR="00C22ED4" w:rsidRPr="00AD2E6A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22ED4" w:rsidRPr="00AD2E6A" w:rsidRDefault="00C22ED4" w:rsidP="00C22ED4">
            <w:pPr>
              <w:ind w:left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University “Megatrend”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2566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2566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1296</w:t>
            </w:r>
          </w:p>
        </w:tc>
      </w:tr>
      <w:tr w:rsidR="00C22ED4" w:rsidRPr="00AD2E6A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22ED4" w:rsidRPr="00AD2E6A" w:rsidRDefault="00C22ED4" w:rsidP="00C22ED4">
            <w:pPr>
              <w:ind w:left="284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University Union Nikola Tesla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4829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2099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4829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2099</w:t>
            </w:r>
          </w:p>
        </w:tc>
      </w:tr>
      <w:tr w:rsidR="00C22ED4" w:rsidRPr="00AD2E6A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22ED4" w:rsidRPr="00AD2E6A" w:rsidRDefault="00C22ED4" w:rsidP="00C22ED4">
            <w:pPr>
              <w:ind w:left="284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University Union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3106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1616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3106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1616</w:t>
            </w:r>
          </w:p>
        </w:tc>
      </w:tr>
      <w:tr w:rsidR="00C22ED4" w:rsidRPr="00AD2E6A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22ED4" w:rsidRPr="00AD2E6A" w:rsidRDefault="00C22ED4" w:rsidP="00C22ED4">
            <w:pPr>
              <w:ind w:left="284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Аlfa university (“Braća Karić")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514</w:t>
            </w:r>
          </w:p>
        </w:tc>
      </w:tr>
      <w:tr w:rsidR="00C22ED4" w:rsidRPr="00AD2E6A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22ED4" w:rsidRPr="00AD2E6A" w:rsidRDefault="00C22ED4" w:rsidP="00C22ED4">
            <w:pPr>
              <w:ind w:left="284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European university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</w:tr>
      <w:tr w:rsidR="00C22ED4" w:rsidRPr="00AD2E6A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22ED4" w:rsidRPr="00AD2E6A" w:rsidRDefault="00C22ED4" w:rsidP="00C22ED4">
            <w:pPr>
              <w:ind w:left="284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Metropolitan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509</w:t>
            </w:r>
          </w:p>
        </w:tc>
      </w:tr>
      <w:tr w:rsidR="00C22ED4" w:rsidRPr="00AD2E6A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22ED4" w:rsidRPr="00AD2E6A" w:rsidRDefault="00C22ED4" w:rsidP="00C22ED4">
            <w:pPr>
              <w:ind w:left="284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University Educons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783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783</w:t>
            </w:r>
          </w:p>
        </w:tc>
      </w:tr>
      <w:tr w:rsidR="00C22ED4" w:rsidRPr="00AD2E6A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22ED4" w:rsidRPr="00AD2E6A" w:rsidRDefault="00C22ED4" w:rsidP="00C22ED4">
            <w:pPr>
              <w:ind w:left="284"/>
              <w:rPr>
                <w:rFonts w:cs="Arial"/>
                <w:sz w:val="16"/>
                <w:szCs w:val="16"/>
              </w:rPr>
            </w:pPr>
            <w:r w:rsidRPr="00AD2E6A">
              <w:rPr>
                <w:rFonts w:cs="Arial"/>
                <w:sz w:val="16"/>
                <w:szCs w:val="16"/>
              </w:rPr>
              <w:t>University Business academy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4096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1805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2291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4096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1805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2291</w:t>
            </w:r>
          </w:p>
        </w:tc>
      </w:tr>
      <w:tr w:rsidR="00C22ED4" w:rsidRPr="00AD2E6A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C22ED4" w:rsidRPr="00AD2E6A" w:rsidRDefault="00C22ED4" w:rsidP="00C22ED4">
            <w:pPr>
              <w:spacing w:line="264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AD2E6A">
              <w:rPr>
                <w:rFonts w:cs="Arial"/>
                <w:sz w:val="16"/>
                <w:szCs w:val="16"/>
                <w:lang w:val="en-US"/>
              </w:rPr>
              <w:t>International university in Novi Pazar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336</w:t>
            </w:r>
          </w:p>
        </w:tc>
      </w:tr>
      <w:tr w:rsidR="00C22ED4" w:rsidRPr="00AD2E6A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C22ED4" w:rsidRPr="00AD2E6A" w:rsidRDefault="00C22ED4" w:rsidP="00C22ED4">
            <w:pPr>
              <w:spacing w:line="264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AD2E6A">
              <w:rPr>
                <w:rFonts w:cs="Arial"/>
                <w:sz w:val="16"/>
                <w:szCs w:val="16"/>
                <w:lang w:val="en-US"/>
              </w:rPr>
              <w:t>Faculties not being part of universities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995</w:t>
            </w:r>
          </w:p>
        </w:tc>
      </w:tr>
      <w:tr w:rsidR="00C22ED4" w:rsidRPr="00AD2E6A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22ED4" w:rsidRPr="00AD2E6A" w:rsidRDefault="00C22ED4" w:rsidP="00C22ED4">
            <w:pPr>
              <w:spacing w:before="120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AD2E6A">
              <w:rPr>
                <w:rFonts w:cs="Arial"/>
                <w:b/>
                <w:bCs/>
                <w:sz w:val="16"/>
                <w:szCs w:val="16"/>
              </w:rPr>
              <w:t>State higher schools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32724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16419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16305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15007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6997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8010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17717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9422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8295</w:t>
            </w:r>
          </w:p>
        </w:tc>
      </w:tr>
      <w:tr w:rsidR="00C22ED4" w:rsidRPr="00AD2E6A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22ED4" w:rsidRPr="00AD2E6A" w:rsidRDefault="00C22ED4" w:rsidP="00C22ED4">
            <w:pPr>
              <w:spacing w:before="120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AD2E6A">
              <w:rPr>
                <w:rFonts w:cs="Arial"/>
                <w:b/>
                <w:bCs/>
                <w:sz w:val="16"/>
                <w:szCs w:val="16"/>
              </w:rPr>
              <w:t>Private higher schools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4617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2568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4617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2568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2049</w:t>
            </w:r>
          </w:p>
        </w:tc>
      </w:tr>
    </w:tbl>
    <w:p w:rsidR="000F3806" w:rsidRDefault="000F3806" w:rsidP="000F3806">
      <w:pPr>
        <w:rPr>
          <w:lang w:val="sr-Latn-R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21D021" wp14:editId="683A8569">
                <wp:simplePos x="0" y="0"/>
                <wp:positionH relativeFrom="character">
                  <wp:posOffset>0</wp:posOffset>
                </wp:positionH>
                <wp:positionV relativeFrom="line">
                  <wp:posOffset>86896</wp:posOffset>
                </wp:positionV>
                <wp:extent cx="720000" cy="0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7191F9" id="Straight Connector 1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char;mso-position-vertical:absolute;mso-position-vertical-relative:line;mso-width-percent:0;mso-width-relative:margin" from="0,6.85pt" to="56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" strokecolor="#7f7f7f [1612]" strokeweight=".25pt">
                <w10:wrap anchory="line"/>
              </v:line>
            </w:pict>
          </mc:Fallback>
        </mc:AlternateContent>
      </w:r>
    </w:p>
    <w:p w:rsidR="000F3806" w:rsidRPr="004852BD" w:rsidRDefault="000F3806" w:rsidP="000F3806">
      <w:pPr>
        <w:rPr>
          <w:sz w:val="14"/>
          <w:szCs w:val="14"/>
        </w:rPr>
      </w:pPr>
      <w:r w:rsidRPr="004852BD">
        <w:rPr>
          <w:sz w:val="14"/>
          <w:szCs w:val="14"/>
          <w:vertAlign w:val="superscript"/>
          <w:lang w:val="sr-Latn-RS"/>
        </w:rPr>
        <w:t>1)</w:t>
      </w:r>
      <w:r>
        <w:rPr>
          <w:sz w:val="14"/>
          <w:szCs w:val="14"/>
          <w:lang w:val="sr-Latn-RS"/>
        </w:rPr>
        <w:t xml:space="preserve"> Pre</w:t>
      </w:r>
      <w:r w:rsidR="00F431E3">
        <w:rPr>
          <w:sz w:val="14"/>
          <w:szCs w:val="14"/>
          <w:lang w:val="sr-Latn-RS"/>
        </w:rPr>
        <w:t>liminary</w:t>
      </w:r>
      <w:r>
        <w:rPr>
          <w:sz w:val="14"/>
          <w:szCs w:val="14"/>
          <w:lang w:val="sr-Latn-RS"/>
        </w:rPr>
        <w:t xml:space="preserve"> data</w:t>
      </w:r>
      <w:r>
        <w:rPr>
          <w:sz w:val="14"/>
          <w:szCs w:val="14"/>
        </w:rPr>
        <w:t>.</w:t>
      </w:r>
      <w:r w:rsidRPr="004852BD">
        <w:rPr>
          <w:sz w:val="14"/>
          <w:szCs w:val="14"/>
          <w:lang w:val="sr-Latn-RS"/>
        </w:rPr>
        <w:t xml:space="preserve"> </w:t>
      </w:r>
    </w:p>
    <w:p w:rsidR="000D4B8D" w:rsidRPr="005F189E" w:rsidRDefault="00C130FC" w:rsidP="000D4B8D">
      <w:pPr>
        <w:pStyle w:val="Footer"/>
        <w:spacing w:before="60" w:after="60"/>
        <w:ind w:left="255" w:hanging="255"/>
      </w:pPr>
      <w:r w:rsidRPr="005F189E">
        <w:rPr>
          <w:b/>
          <w:lang w:val="en-US"/>
        </w:rPr>
        <w:lastRenderedPageBreak/>
        <w:t>Students enrolled by universities and ways of financing</w:t>
      </w:r>
      <w:r w:rsidR="006670D7" w:rsidRPr="005F189E">
        <w:rPr>
          <w:b/>
          <w:vertAlign w:val="superscript"/>
        </w:rPr>
        <w:t>1)</w:t>
      </w:r>
      <w:r w:rsidR="000D4B8D" w:rsidRPr="005F189E">
        <w:rPr>
          <w:b/>
          <w:lang w:val="en-US"/>
        </w:rPr>
        <w:t xml:space="preserve"> </w:t>
      </w:r>
      <w:r w:rsidR="000D4B8D" w:rsidRPr="005F189E">
        <w:t>(</w:t>
      </w:r>
      <w:r w:rsidR="000E23B5" w:rsidRPr="005F189E">
        <w:rPr>
          <w:lang w:val="sr-Latn-RS"/>
        </w:rPr>
        <w:t>continued</w:t>
      </w:r>
      <w:r w:rsidR="000D4B8D" w:rsidRPr="005F189E">
        <w:t>)</w:t>
      </w:r>
    </w:p>
    <w:tbl>
      <w:tblPr>
        <w:tblW w:w="1028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6670D7" w:rsidRPr="001B5A6B" w:rsidTr="005F189E">
        <w:trPr>
          <w:trHeight w:val="20"/>
          <w:jc w:val="center"/>
        </w:trPr>
        <w:tc>
          <w:tcPr>
            <w:tcW w:w="340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670D7" w:rsidRPr="005F189E" w:rsidRDefault="006670D7" w:rsidP="007A553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F189E">
              <w:rPr>
                <w:rFonts w:cs="Arial"/>
                <w:sz w:val="16"/>
                <w:szCs w:val="16"/>
                <w:lang w:val="en-US"/>
              </w:rPr>
              <w:t>Universities</w:t>
            </w:r>
          </w:p>
        </w:tc>
        <w:tc>
          <w:tcPr>
            <w:tcW w:w="2295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670D7" w:rsidRPr="005F189E" w:rsidRDefault="006670D7" w:rsidP="007A553B">
            <w:pPr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5F189E">
              <w:rPr>
                <w:rFonts w:cs="Arial"/>
                <w:bCs/>
                <w:sz w:val="16"/>
                <w:szCs w:val="16"/>
                <w:lang w:val="en-US"/>
              </w:rPr>
              <w:t>Students</w:t>
            </w:r>
          </w:p>
        </w:tc>
        <w:tc>
          <w:tcPr>
            <w:tcW w:w="459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670D7" w:rsidRPr="005F189E" w:rsidRDefault="006670D7" w:rsidP="007A553B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F189E">
              <w:rPr>
                <w:rFonts w:cs="Arial"/>
                <w:bCs/>
                <w:sz w:val="16"/>
                <w:szCs w:val="16"/>
                <w:lang w:val="en-US"/>
              </w:rPr>
              <w:t>Way of financing</w:t>
            </w:r>
          </w:p>
        </w:tc>
      </w:tr>
      <w:tr w:rsidR="006670D7" w:rsidRPr="001B5A6B" w:rsidTr="005F189E">
        <w:trPr>
          <w:trHeight w:val="20"/>
          <w:jc w:val="center"/>
        </w:trPr>
        <w:tc>
          <w:tcPr>
            <w:tcW w:w="340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670D7" w:rsidRPr="005F189E" w:rsidRDefault="006670D7" w:rsidP="007A553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295" w:type="dxa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670D7" w:rsidRPr="005F189E" w:rsidRDefault="006670D7" w:rsidP="007A553B">
            <w:pPr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6670D7" w:rsidRPr="005F189E" w:rsidRDefault="006670D7" w:rsidP="007A553B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F189E">
              <w:rPr>
                <w:rFonts w:cs="Arial"/>
                <w:sz w:val="16"/>
                <w:szCs w:val="16"/>
                <w:lang w:val="en-US"/>
              </w:rPr>
              <w:t>Budget</w:t>
            </w:r>
          </w:p>
        </w:tc>
        <w:tc>
          <w:tcPr>
            <w:tcW w:w="229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6670D7" w:rsidRPr="005F189E" w:rsidRDefault="006670D7" w:rsidP="007A553B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F189E">
              <w:rPr>
                <w:rFonts w:cs="Arial"/>
                <w:sz w:val="16"/>
                <w:szCs w:val="16"/>
                <w:lang w:val="en-US"/>
              </w:rPr>
              <w:t>Self-financing</w:t>
            </w:r>
          </w:p>
        </w:tc>
      </w:tr>
      <w:tr w:rsidR="006670D7" w:rsidRPr="001B5A6B" w:rsidTr="005F189E">
        <w:trPr>
          <w:trHeight w:val="20"/>
          <w:jc w:val="center"/>
        </w:trPr>
        <w:tc>
          <w:tcPr>
            <w:tcW w:w="340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670D7" w:rsidRPr="005F189E" w:rsidRDefault="006670D7" w:rsidP="007A553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6670D7" w:rsidRPr="005F189E" w:rsidRDefault="006670D7" w:rsidP="007A553B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F189E">
              <w:rPr>
                <w:rFonts w:cs="Arial"/>
                <w:sz w:val="16"/>
                <w:szCs w:val="16"/>
                <w:lang w:val="en-US"/>
              </w:rPr>
              <w:t>All</w:t>
            </w:r>
          </w:p>
        </w:tc>
        <w:tc>
          <w:tcPr>
            <w:tcW w:w="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6670D7" w:rsidRPr="005F189E" w:rsidRDefault="006670D7" w:rsidP="007A553B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F189E">
              <w:rPr>
                <w:rFonts w:cs="Arial"/>
                <w:sz w:val="16"/>
                <w:szCs w:val="16"/>
                <w:lang w:val="en-US"/>
              </w:rPr>
              <w:t>Men</w:t>
            </w:r>
          </w:p>
        </w:tc>
        <w:tc>
          <w:tcPr>
            <w:tcW w:w="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6670D7" w:rsidRPr="005F189E" w:rsidRDefault="006670D7" w:rsidP="007A553B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F189E">
              <w:rPr>
                <w:rFonts w:cs="Arial"/>
                <w:sz w:val="16"/>
                <w:szCs w:val="16"/>
                <w:lang w:val="en-US"/>
              </w:rPr>
              <w:t>Women</w:t>
            </w:r>
          </w:p>
        </w:tc>
        <w:tc>
          <w:tcPr>
            <w:tcW w:w="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6670D7" w:rsidRPr="005F189E" w:rsidRDefault="006670D7" w:rsidP="007A553B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F189E">
              <w:rPr>
                <w:rFonts w:cs="Arial"/>
                <w:sz w:val="16"/>
                <w:szCs w:val="16"/>
                <w:lang w:val="en-US"/>
              </w:rPr>
              <w:t>All</w:t>
            </w:r>
          </w:p>
        </w:tc>
        <w:tc>
          <w:tcPr>
            <w:tcW w:w="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6670D7" w:rsidRPr="005F189E" w:rsidRDefault="006670D7" w:rsidP="007A553B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F189E">
              <w:rPr>
                <w:rFonts w:cs="Arial"/>
                <w:sz w:val="16"/>
                <w:szCs w:val="16"/>
                <w:lang w:val="en-US"/>
              </w:rPr>
              <w:t>Men</w:t>
            </w:r>
          </w:p>
        </w:tc>
        <w:tc>
          <w:tcPr>
            <w:tcW w:w="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6670D7" w:rsidRPr="005F189E" w:rsidRDefault="006670D7" w:rsidP="007A553B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F189E">
              <w:rPr>
                <w:rFonts w:cs="Arial"/>
                <w:sz w:val="16"/>
                <w:szCs w:val="16"/>
                <w:lang w:val="en-US"/>
              </w:rPr>
              <w:t>Women</w:t>
            </w:r>
          </w:p>
        </w:tc>
        <w:tc>
          <w:tcPr>
            <w:tcW w:w="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6670D7" w:rsidRPr="005F189E" w:rsidRDefault="006670D7" w:rsidP="007A553B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F189E">
              <w:rPr>
                <w:rFonts w:cs="Arial"/>
                <w:sz w:val="16"/>
                <w:szCs w:val="16"/>
                <w:lang w:val="en-US"/>
              </w:rPr>
              <w:t>All</w:t>
            </w:r>
          </w:p>
        </w:tc>
        <w:tc>
          <w:tcPr>
            <w:tcW w:w="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6670D7" w:rsidRPr="005F189E" w:rsidRDefault="006670D7" w:rsidP="007A553B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F189E">
              <w:rPr>
                <w:rFonts w:cs="Arial"/>
                <w:sz w:val="16"/>
                <w:szCs w:val="16"/>
                <w:lang w:val="en-US"/>
              </w:rPr>
              <w:t>Men</w:t>
            </w:r>
          </w:p>
        </w:tc>
        <w:tc>
          <w:tcPr>
            <w:tcW w:w="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6670D7" w:rsidRPr="005F189E" w:rsidRDefault="006670D7" w:rsidP="007A553B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F189E">
              <w:rPr>
                <w:rFonts w:cs="Arial"/>
                <w:sz w:val="16"/>
                <w:szCs w:val="16"/>
                <w:lang w:val="en-US"/>
              </w:rPr>
              <w:t>Women</w:t>
            </w:r>
          </w:p>
        </w:tc>
      </w:tr>
      <w:tr w:rsidR="006670D7" w:rsidRPr="001B5A6B" w:rsidTr="005F189E">
        <w:trPr>
          <w:trHeight w:val="20"/>
          <w:jc w:val="center"/>
        </w:trPr>
        <w:tc>
          <w:tcPr>
            <w:tcW w:w="340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5F189E" w:rsidRDefault="006670D7" w:rsidP="007A553B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5F189E" w:rsidRDefault="006670D7" w:rsidP="007A553B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5F189E" w:rsidRDefault="006670D7" w:rsidP="007A553B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5F189E" w:rsidRDefault="006670D7" w:rsidP="007A553B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5F189E" w:rsidRDefault="006670D7" w:rsidP="007A553B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5F189E" w:rsidRDefault="006670D7" w:rsidP="007A553B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5F189E" w:rsidRDefault="006670D7" w:rsidP="007A553B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5F189E" w:rsidRDefault="006670D7" w:rsidP="007A553B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5F189E" w:rsidRDefault="006670D7" w:rsidP="007A553B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670D7" w:rsidRPr="005F189E" w:rsidRDefault="006670D7" w:rsidP="007A553B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C22ED4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22ED4" w:rsidRPr="005F189E" w:rsidRDefault="00C22ED4" w:rsidP="00C22ED4">
            <w:pPr>
              <w:ind w:left="57"/>
              <w:rPr>
                <w:rFonts w:cs="Arial"/>
                <w:sz w:val="16"/>
                <w:szCs w:val="16"/>
                <w:lang w:val="en-US"/>
              </w:rPr>
            </w:pPr>
            <w:r w:rsidRPr="005F189E">
              <w:rPr>
                <w:rFonts w:cs="Arial"/>
                <w:sz w:val="16"/>
                <w:szCs w:val="16"/>
              </w:rPr>
              <w:t xml:space="preserve">SERBIA – SEVER 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192100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83029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109071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73934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29517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44417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118166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53512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64654</w:t>
            </w:r>
          </w:p>
        </w:tc>
      </w:tr>
      <w:tr w:rsidR="00C22ED4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22ED4" w:rsidRPr="005F189E" w:rsidRDefault="00C22ED4" w:rsidP="00C22ED4">
            <w:pPr>
              <w:spacing w:before="120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5F189E">
              <w:rPr>
                <w:rFonts w:cs="Arial"/>
                <w:b/>
                <w:bCs/>
                <w:sz w:val="16"/>
                <w:szCs w:val="16"/>
              </w:rPr>
              <w:t>State universities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139455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56522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82933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64934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25302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39632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74521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31220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43301</w:t>
            </w:r>
          </w:p>
        </w:tc>
      </w:tr>
      <w:tr w:rsidR="00C22ED4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22ED4" w:rsidRPr="005F189E" w:rsidRDefault="00C22ED4" w:rsidP="00C22ED4">
            <w:pPr>
              <w:ind w:left="284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University of Belgrade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94232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36533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57699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39617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14671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24946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54615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21862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32753</w:t>
            </w:r>
          </w:p>
        </w:tc>
      </w:tr>
      <w:tr w:rsidR="00C22ED4" w:rsidRPr="006670D7" w:rsidTr="005F189E">
        <w:trPr>
          <w:trHeight w:val="57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22ED4" w:rsidRPr="005F189E" w:rsidRDefault="00C22ED4" w:rsidP="00C22ED4">
            <w:pPr>
              <w:ind w:left="284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University of arts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2662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1716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1756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1144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572</w:t>
            </w:r>
          </w:p>
        </w:tc>
      </w:tr>
      <w:tr w:rsidR="00C22ED4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22ED4" w:rsidRPr="005F189E" w:rsidRDefault="00C22ED4" w:rsidP="00C22ED4">
            <w:pPr>
              <w:ind w:left="284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University of national defense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</w:tr>
      <w:tr w:rsidR="00C22ED4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22ED4" w:rsidRPr="005F189E" w:rsidRDefault="00C22ED4" w:rsidP="00C22ED4">
            <w:pPr>
              <w:ind w:left="284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University of Novi Sad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40549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17925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22624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22501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9411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13090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18048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8514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9534</w:t>
            </w:r>
          </w:p>
        </w:tc>
      </w:tr>
      <w:tr w:rsidR="00C22ED4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22ED4" w:rsidRPr="005F189E" w:rsidRDefault="00C22ED4" w:rsidP="00C22ED4">
            <w:pPr>
              <w:ind w:left="284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Academy of criminalistics and police studies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1181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382</w:t>
            </w:r>
          </w:p>
        </w:tc>
      </w:tr>
      <w:tr w:rsidR="00C22ED4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22ED4" w:rsidRPr="005F189E" w:rsidRDefault="00C22ED4" w:rsidP="00C22ED4">
            <w:pPr>
              <w:spacing w:before="120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5F189E">
              <w:rPr>
                <w:rFonts w:cs="Arial"/>
                <w:b/>
                <w:bCs/>
                <w:sz w:val="16"/>
                <w:szCs w:val="16"/>
              </w:rPr>
              <w:t>Private universities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26540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12976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13564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26540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12976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13564</w:t>
            </w:r>
          </w:p>
        </w:tc>
      </w:tr>
      <w:tr w:rsidR="00C22ED4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22ED4" w:rsidRPr="005F189E" w:rsidRDefault="00C22ED4" w:rsidP="00C22ED4">
            <w:pPr>
              <w:ind w:left="284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University Singidunum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7127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3209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3918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7127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3209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3918</w:t>
            </w:r>
          </w:p>
        </w:tc>
      </w:tr>
      <w:tr w:rsidR="00C22ED4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22ED4" w:rsidRPr="005F189E" w:rsidRDefault="00C22ED4" w:rsidP="00C22ED4">
            <w:pPr>
              <w:ind w:left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University “Megatrend”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2146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1070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1076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2146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1070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1076</w:t>
            </w:r>
          </w:p>
        </w:tc>
      </w:tr>
      <w:tr w:rsidR="00C22ED4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22ED4" w:rsidRPr="005F189E" w:rsidRDefault="00C22ED4" w:rsidP="00C22ED4">
            <w:pPr>
              <w:ind w:left="284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University Union Nikola Tesla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4247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2355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4247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2355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1892</w:t>
            </w:r>
          </w:p>
        </w:tc>
      </w:tr>
      <w:tr w:rsidR="00C22ED4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22ED4" w:rsidRPr="005F189E" w:rsidRDefault="00C22ED4" w:rsidP="00C22ED4">
            <w:pPr>
              <w:ind w:left="284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University Union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3106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1490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1616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3106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1490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1616</w:t>
            </w:r>
          </w:p>
        </w:tc>
      </w:tr>
      <w:tr w:rsidR="00C22ED4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22ED4" w:rsidRPr="005F189E" w:rsidRDefault="00C22ED4" w:rsidP="00C22ED4">
            <w:pPr>
              <w:ind w:left="284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Аlfa university ("Braća Karić")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1062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1062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514</w:t>
            </w:r>
          </w:p>
        </w:tc>
      </w:tr>
      <w:tr w:rsidR="00C22ED4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22ED4" w:rsidRPr="005F189E" w:rsidRDefault="00C22ED4" w:rsidP="00C22ED4">
            <w:pPr>
              <w:ind w:left="284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Еuropean university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</w:tr>
      <w:tr w:rsidR="00C22ED4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22ED4" w:rsidRPr="005F189E" w:rsidRDefault="00C22ED4" w:rsidP="00C22ED4">
            <w:pPr>
              <w:ind w:left="284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Меtropolitan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1205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1205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509</w:t>
            </w:r>
          </w:p>
        </w:tc>
      </w:tr>
      <w:tr w:rsidR="00C22ED4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22ED4" w:rsidRPr="005F189E" w:rsidRDefault="00C22ED4" w:rsidP="00C22ED4">
            <w:pPr>
              <w:ind w:left="284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University Educons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1644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783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1644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783</w:t>
            </w:r>
          </w:p>
        </w:tc>
      </w:tr>
      <w:tr w:rsidR="00C22ED4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C22ED4" w:rsidRPr="005F189E" w:rsidRDefault="00C22ED4" w:rsidP="00C22ED4">
            <w:pPr>
              <w:spacing w:line="264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142A3D">
              <w:rPr>
                <w:rFonts w:cs="Arial"/>
                <w:sz w:val="16"/>
                <w:szCs w:val="16"/>
                <w:lang w:val="en-US"/>
              </w:rPr>
              <w:t>University “Business Academy</w:t>
            </w:r>
            <w:r w:rsidRPr="00142A3D">
              <w:rPr>
                <w:rFonts w:cs="Arial"/>
                <w:sz w:val="16"/>
                <w:szCs w:val="16"/>
              </w:rPr>
              <w:t xml:space="preserve">“  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4096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1805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2291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4096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1805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2291</w:t>
            </w:r>
          </w:p>
        </w:tc>
      </w:tr>
      <w:tr w:rsidR="00C22ED4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C22ED4" w:rsidRPr="005F189E" w:rsidRDefault="00C22ED4" w:rsidP="00C22ED4">
            <w:pPr>
              <w:spacing w:line="264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5F189E">
              <w:rPr>
                <w:rFonts w:cs="Arial"/>
                <w:sz w:val="16"/>
                <w:szCs w:val="16"/>
                <w:lang w:val="en-US"/>
              </w:rPr>
              <w:t>Faculties not being part of universities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1817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917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1817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917</w:t>
            </w:r>
          </w:p>
        </w:tc>
      </w:tr>
      <w:tr w:rsidR="00C22ED4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22ED4" w:rsidRPr="005F189E" w:rsidRDefault="00C22ED4" w:rsidP="00C22ED4">
            <w:pPr>
              <w:spacing w:before="120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5F189E">
              <w:rPr>
                <w:rFonts w:cs="Arial"/>
                <w:b/>
                <w:bCs/>
                <w:sz w:val="16"/>
                <w:szCs w:val="16"/>
              </w:rPr>
              <w:t>State higher schools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21888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11156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10732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4215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4785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12888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6941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5947</w:t>
            </w:r>
          </w:p>
        </w:tc>
      </w:tr>
      <w:tr w:rsidR="00C22ED4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22ED4" w:rsidRPr="005F189E" w:rsidRDefault="00C22ED4" w:rsidP="00C22ED4">
            <w:pPr>
              <w:spacing w:before="120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5F189E">
              <w:rPr>
                <w:rFonts w:cs="Arial"/>
                <w:b/>
                <w:bCs/>
                <w:sz w:val="16"/>
                <w:szCs w:val="16"/>
              </w:rPr>
              <w:t>Private higher schools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4217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2375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4217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2375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1842</w:t>
            </w:r>
          </w:p>
        </w:tc>
      </w:tr>
      <w:tr w:rsidR="00C22ED4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22ED4" w:rsidRPr="005F189E" w:rsidRDefault="00C22ED4" w:rsidP="00C22ED4">
            <w:pPr>
              <w:spacing w:before="120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 xml:space="preserve"> SERBIA – JUG 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49868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21029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28839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26316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10735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15581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23552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10294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13258</w:t>
            </w:r>
          </w:p>
        </w:tc>
      </w:tr>
      <w:tr w:rsidR="00C22ED4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22ED4" w:rsidRPr="005F189E" w:rsidRDefault="00C22ED4" w:rsidP="00C22ED4">
            <w:pPr>
              <w:spacing w:before="120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5F189E">
              <w:rPr>
                <w:rFonts w:cs="Arial"/>
                <w:b/>
                <w:bCs/>
                <w:sz w:val="16"/>
                <w:szCs w:val="16"/>
              </w:rPr>
              <w:t>State universities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36540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14565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21975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20309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7953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12356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16231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6612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9619</w:t>
            </w:r>
          </w:p>
        </w:tc>
      </w:tr>
      <w:tr w:rsidR="00C22ED4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22ED4" w:rsidRPr="005F189E" w:rsidRDefault="00C22ED4" w:rsidP="00C22ED4">
            <w:pPr>
              <w:ind w:left="284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University of Belgrade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238</w:t>
            </w:r>
          </w:p>
        </w:tc>
      </w:tr>
      <w:tr w:rsidR="00C22ED4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22ED4" w:rsidRPr="005F189E" w:rsidRDefault="00C22ED4" w:rsidP="00C22ED4">
            <w:pPr>
              <w:ind w:left="284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University of Kragujevac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13589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4891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8698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7529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2624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4905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2267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3793</w:t>
            </w:r>
          </w:p>
        </w:tc>
      </w:tr>
      <w:tr w:rsidR="00C22ED4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22ED4" w:rsidRPr="005F189E" w:rsidRDefault="00C22ED4" w:rsidP="00C22ED4">
            <w:pPr>
              <w:ind w:left="284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University of Niš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20495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8687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11808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11585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4864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6721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8910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3823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5087</w:t>
            </w:r>
          </w:p>
        </w:tc>
      </w:tr>
      <w:tr w:rsidR="00C22ED4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22ED4" w:rsidRPr="005F189E" w:rsidRDefault="00C22ED4" w:rsidP="00C22ED4">
            <w:pPr>
              <w:ind w:left="284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University of Novi Pazar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1672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1047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867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501</w:t>
            </w:r>
          </w:p>
        </w:tc>
      </w:tr>
      <w:tr w:rsidR="00C22ED4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22ED4" w:rsidRPr="005F189E" w:rsidRDefault="00C22ED4" w:rsidP="00C22ED4">
            <w:pPr>
              <w:spacing w:before="120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5F189E">
              <w:rPr>
                <w:rFonts w:cs="Arial"/>
                <w:b/>
                <w:bCs/>
                <w:sz w:val="16"/>
                <w:szCs w:val="16"/>
              </w:rPr>
              <w:t>Private universities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2092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1008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1084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2092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1008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1084</w:t>
            </w:r>
          </w:p>
        </w:tc>
      </w:tr>
      <w:tr w:rsidR="00C22ED4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22ED4" w:rsidRPr="005F189E" w:rsidRDefault="00C22ED4" w:rsidP="00C22ED4">
            <w:pPr>
              <w:ind w:left="284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Universities Singidunum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243</w:t>
            </w:r>
          </w:p>
        </w:tc>
      </w:tr>
      <w:tr w:rsidR="00C22ED4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22ED4" w:rsidRPr="005F189E" w:rsidRDefault="00C22ED4" w:rsidP="00C22ED4">
            <w:pPr>
              <w:ind w:left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University “Megatrend” 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220</w:t>
            </w:r>
          </w:p>
        </w:tc>
      </w:tr>
      <w:tr w:rsidR="00C22ED4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22ED4" w:rsidRPr="005F189E" w:rsidRDefault="00C22ED4" w:rsidP="00C22ED4">
            <w:pPr>
              <w:ind w:left="284"/>
              <w:rPr>
                <w:rFonts w:cs="Arial"/>
                <w:sz w:val="16"/>
                <w:szCs w:val="16"/>
              </w:rPr>
            </w:pPr>
            <w:r w:rsidRPr="005F189E">
              <w:rPr>
                <w:rFonts w:cs="Arial"/>
                <w:sz w:val="16"/>
                <w:szCs w:val="16"/>
              </w:rPr>
              <w:t>Universities Union Nikola Tesla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207</w:t>
            </w:r>
          </w:p>
        </w:tc>
      </w:tr>
      <w:tr w:rsidR="00C22ED4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22ED4" w:rsidRPr="005F189E" w:rsidRDefault="00C22ED4" w:rsidP="00C22ED4">
            <w:pPr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5F189E">
              <w:rPr>
                <w:rFonts w:cs="Arial"/>
                <w:sz w:val="16"/>
                <w:szCs w:val="16"/>
                <w:lang w:val="en-US"/>
              </w:rPr>
              <w:t>International university in Novi Pazar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336</w:t>
            </w:r>
          </w:p>
        </w:tc>
      </w:tr>
      <w:tr w:rsidR="00C22ED4" w:rsidRPr="006670D7" w:rsidTr="0025278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C22ED4" w:rsidRPr="0022791D" w:rsidRDefault="00C22ED4" w:rsidP="00C22ED4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22791D">
              <w:rPr>
                <w:rFonts w:cs="Arial"/>
                <w:color w:val="000000"/>
                <w:sz w:val="16"/>
                <w:szCs w:val="16"/>
                <w:lang w:val="en-US"/>
              </w:rPr>
              <w:t>Faculties not being part of a university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</w:tr>
      <w:tr w:rsidR="00C22ED4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22ED4" w:rsidRPr="005F189E" w:rsidRDefault="00C22ED4" w:rsidP="00C22ED4">
            <w:pPr>
              <w:spacing w:before="120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5F189E">
              <w:rPr>
                <w:rFonts w:cs="Arial"/>
                <w:b/>
                <w:bCs/>
                <w:sz w:val="16"/>
                <w:szCs w:val="16"/>
              </w:rPr>
              <w:t>State higher schools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10836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5263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5573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6007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2782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4829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2481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2348</w:t>
            </w:r>
          </w:p>
        </w:tc>
      </w:tr>
      <w:tr w:rsidR="00C22ED4" w:rsidRPr="006670D7" w:rsidTr="005F189E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22ED4" w:rsidRPr="005F189E" w:rsidRDefault="00C22ED4" w:rsidP="00C22ED4">
            <w:pPr>
              <w:spacing w:before="120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5F189E">
              <w:rPr>
                <w:rFonts w:cs="Arial"/>
                <w:b/>
                <w:bCs/>
                <w:sz w:val="16"/>
                <w:szCs w:val="16"/>
              </w:rPr>
              <w:t>Private higher schools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22ED4" w:rsidRPr="00BE57AE" w:rsidRDefault="00C22ED4" w:rsidP="00C22ED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E57AE">
              <w:rPr>
                <w:rFonts w:cs="Arial"/>
                <w:color w:val="000000"/>
                <w:sz w:val="16"/>
                <w:szCs w:val="16"/>
              </w:rPr>
              <w:t>207</w:t>
            </w:r>
          </w:p>
        </w:tc>
      </w:tr>
    </w:tbl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0D4B8D" w:rsidRPr="00EA3C2F" w:rsidTr="006670D7">
        <w:tc>
          <w:tcPr>
            <w:tcW w:w="9185" w:type="dxa"/>
            <w:shd w:val="clear" w:color="auto" w:fill="auto"/>
          </w:tcPr>
          <w:p w:rsidR="000D4B8D" w:rsidRPr="00BD68C0" w:rsidRDefault="0008570D" w:rsidP="00546E24">
            <w:pPr>
              <w:jc w:val="center"/>
              <w:rPr>
                <w:iCs/>
                <w:sz w:val="18"/>
                <w:szCs w:val="18"/>
                <w:lang w:val="sr-Latn-RS"/>
              </w:rPr>
            </w:pPr>
            <w:r>
              <w:rPr>
                <w:rFonts w:cs="Arial"/>
                <w:iCs/>
                <w:sz w:val="18"/>
                <w:szCs w:val="18"/>
                <w:lang w:val="sr-Latn-RS"/>
              </w:rPr>
              <w:t>Contact</w:t>
            </w:r>
            <w:r w:rsidR="000D4B8D" w:rsidRPr="00BD68C0">
              <w:rPr>
                <w:rFonts w:cs="Arial"/>
                <w:iCs/>
                <w:sz w:val="18"/>
                <w:szCs w:val="18"/>
                <w:lang w:val="sr-Cyrl-CS"/>
              </w:rPr>
              <w:t xml:space="preserve">: 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 </w:t>
            </w:r>
            <w:r w:rsidR="000D4B8D" w:rsidRPr="00BD68C0">
              <w:rPr>
                <w:rFonts w:cs="Arial"/>
                <w:iCs/>
                <w:color w:val="0000FF"/>
                <w:sz w:val="18"/>
                <w:szCs w:val="18"/>
              </w:rPr>
              <w:t>v</w:t>
            </w:r>
            <w:r w:rsidR="000D4B8D" w:rsidRPr="00BD68C0">
              <w:rPr>
                <w:rFonts w:cs="Arial"/>
                <w:iCs/>
                <w:color w:val="0000FF"/>
                <w:sz w:val="18"/>
                <w:szCs w:val="18"/>
                <w:lang w:val="sr-Cyrl-CS"/>
              </w:rPr>
              <w:t>esna</w:t>
            </w:r>
            <w:r w:rsidR="000D4B8D" w:rsidRPr="00BD68C0">
              <w:rPr>
                <w:rFonts w:cs="Arial"/>
                <w:iCs/>
                <w:color w:val="0000FF"/>
                <w:sz w:val="18"/>
                <w:szCs w:val="18"/>
                <w:lang w:val="ru-RU"/>
              </w:rPr>
              <w:t>.</w:t>
            </w:r>
            <w:r w:rsidR="000D4B8D" w:rsidRPr="00BD68C0">
              <w:rPr>
                <w:rFonts w:cs="Arial"/>
                <w:iCs/>
                <w:color w:val="0000FF"/>
                <w:sz w:val="18"/>
                <w:szCs w:val="18"/>
                <w:lang w:val="sr-Latn-CS"/>
              </w:rPr>
              <w:t>jasovic_surlan@stat.gov.rs</w:t>
            </w:r>
            <w:r w:rsidR="000D4B8D">
              <w:rPr>
                <w:rFonts w:cs="Arial"/>
                <w:iCs/>
                <w:sz w:val="18"/>
                <w:szCs w:val="18"/>
                <w:lang w:val="sr-Cyrl-CS"/>
              </w:rPr>
              <w:t>,</w:t>
            </w:r>
            <w:r w:rsidR="000D4B8D" w:rsidRPr="00BD68C0">
              <w:rPr>
                <w:rFonts w:cs="Arial"/>
                <w:iCs/>
                <w:sz w:val="18"/>
                <w:szCs w:val="18"/>
                <w:lang w:val="sr-Latn-CS"/>
              </w:rPr>
              <w:t xml:space="preserve"> </w:t>
            </w:r>
            <w:r>
              <w:rPr>
                <w:iCs/>
                <w:sz w:val="18"/>
                <w:szCs w:val="18"/>
                <w:lang w:val="sr-Latn-RS"/>
              </w:rPr>
              <w:t>tel</w:t>
            </w:r>
            <w:r w:rsidR="000D4B8D">
              <w:rPr>
                <w:iCs/>
                <w:sz w:val="18"/>
                <w:szCs w:val="18"/>
                <w:lang w:val="sr-Cyrl-CS"/>
              </w:rPr>
              <w:t>.</w:t>
            </w:r>
            <w:r w:rsidR="000D4B8D">
              <w:rPr>
                <w:iCs/>
                <w:sz w:val="18"/>
                <w:szCs w:val="18"/>
                <w:lang w:val="sr-Latn-RS"/>
              </w:rPr>
              <w:t>: 011 2412-922</w:t>
            </w:r>
            <w:r w:rsidR="000D4B8D">
              <w:rPr>
                <w:iCs/>
                <w:sz w:val="18"/>
                <w:szCs w:val="18"/>
                <w:lang w:val="sr-Cyrl-CS"/>
              </w:rPr>
              <w:t>,</w:t>
            </w:r>
            <w:r w:rsidR="000D4B8D" w:rsidRPr="00BD68C0">
              <w:rPr>
                <w:iCs/>
                <w:sz w:val="18"/>
                <w:szCs w:val="18"/>
                <w:lang w:val="sr-Latn-RS"/>
              </w:rPr>
              <w:t xml:space="preserve"> </w:t>
            </w:r>
            <w:r>
              <w:rPr>
                <w:iCs/>
                <w:sz w:val="18"/>
                <w:szCs w:val="18"/>
                <w:lang w:val="sr-Latn-RS"/>
              </w:rPr>
              <w:t>extension</w:t>
            </w:r>
            <w:r w:rsidR="000D4B8D" w:rsidRPr="00BD68C0">
              <w:rPr>
                <w:iCs/>
                <w:sz w:val="18"/>
                <w:szCs w:val="18"/>
                <w:lang w:val="sr-Latn-RS"/>
              </w:rPr>
              <w:t xml:space="preserve"> 284</w:t>
            </w:r>
          </w:p>
          <w:p w:rsidR="000D4B8D" w:rsidRPr="00EA3C2F" w:rsidRDefault="0008570D" w:rsidP="00546E24">
            <w:pPr>
              <w:jc w:val="center"/>
              <w:rPr>
                <w:i/>
                <w:iCs/>
                <w:lang w:val="sr-Cyrl-CS"/>
              </w:rPr>
            </w:pPr>
            <w:r>
              <w:rPr>
                <w:rFonts w:cs="Arial"/>
                <w:iCs/>
                <w:sz w:val="18"/>
                <w:szCs w:val="18"/>
                <w:lang w:val="sr-Latn-RS"/>
              </w:rPr>
              <w:t>Published and printed by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: </w:t>
            </w:r>
            <w:r>
              <w:rPr>
                <w:rFonts w:cs="Arial"/>
                <w:iCs/>
                <w:sz w:val="18"/>
                <w:szCs w:val="18"/>
                <w:lang w:val="sr-Latn-RS"/>
              </w:rPr>
              <w:t>Statistical Office of the Republic of Serbia,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 </w:t>
            </w:r>
            <w:r w:rsidR="000D4B8D">
              <w:rPr>
                <w:rFonts w:cs="Arial"/>
                <w:iCs/>
                <w:sz w:val="18"/>
                <w:szCs w:val="18"/>
                <w:lang w:val="ru-RU"/>
              </w:rPr>
              <w:t xml:space="preserve">11 050 </w:t>
            </w:r>
            <w:r>
              <w:rPr>
                <w:rFonts w:cs="Arial"/>
                <w:iCs/>
                <w:sz w:val="18"/>
                <w:szCs w:val="18"/>
                <w:lang w:val="sr-Latn-RS"/>
              </w:rPr>
              <w:t>Belgrade, Milana Rakića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 5 </w:t>
            </w:r>
            <w:r w:rsidR="000D4B8D" w:rsidRPr="00BD68C0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="000D4B8D" w:rsidRPr="00BD68C0">
              <w:rPr>
                <w:rFonts w:cs="Arial"/>
                <w:iCs/>
                <w:sz w:val="18"/>
                <w:szCs w:val="18"/>
              </w:rPr>
              <w:t>T</w:t>
            </w:r>
            <w:r>
              <w:rPr>
                <w:rFonts w:cs="Arial"/>
                <w:iCs/>
                <w:sz w:val="18"/>
                <w:szCs w:val="18"/>
                <w:lang w:val="sr-Latn-RS"/>
              </w:rPr>
              <w:t>elephone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: </w:t>
            </w:r>
            <w:r w:rsidR="00D16FAE">
              <w:rPr>
                <w:rFonts w:cs="Arial"/>
                <w:iCs/>
                <w:sz w:val="18"/>
                <w:szCs w:val="18"/>
                <w:lang w:val="sr-Latn-RS"/>
              </w:rPr>
              <w:t xml:space="preserve">++ 381 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11 </w:t>
            </w:r>
            <w:r w:rsidR="000D4B8D" w:rsidRPr="00BD68C0">
              <w:rPr>
                <w:rFonts w:cs="Arial"/>
                <w:iCs/>
                <w:sz w:val="18"/>
                <w:szCs w:val="18"/>
                <w:lang w:val="sr-Cyrl-CS"/>
              </w:rPr>
              <w:t>2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>412-922 (</w:t>
            </w:r>
            <w:r w:rsidR="00D16FAE">
              <w:rPr>
                <w:rFonts w:cs="Arial"/>
                <w:iCs/>
                <w:sz w:val="18"/>
                <w:szCs w:val="18"/>
                <w:lang w:val="sr-Latn-RS"/>
              </w:rPr>
              <w:t>telephone exchange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) • </w:t>
            </w:r>
            <w:r w:rsidR="000D4B8D" w:rsidRPr="00BD68C0">
              <w:rPr>
                <w:rFonts w:cs="Arial"/>
                <w:iCs/>
                <w:sz w:val="18"/>
                <w:szCs w:val="18"/>
              </w:rPr>
              <w:t>T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>е</w:t>
            </w:r>
            <w:r w:rsidR="00D16FAE">
              <w:rPr>
                <w:rFonts w:cs="Arial"/>
                <w:iCs/>
                <w:sz w:val="18"/>
                <w:szCs w:val="18"/>
                <w:lang w:val="sr-Latn-RS"/>
              </w:rPr>
              <w:t>lefax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>:</w:t>
            </w:r>
            <w:r w:rsidR="00D16FAE">
              <w:rPr>
                <w:rFonts w:cs="Arial"/>
                <w:iCs/>
                <w:sz w:val="18"/>
                <w:szCs w:val="18"/>
                <w:lang w:val="sr-Latn-RS"/>
              </w:rPr>
              <w:t xml:space="preserve"> ++ 381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 11 2411</w:t>
            </w:r>
            <w:r w:rsidR="000D4B8D" w:rsidRPr="00BD68C0">
              <w:rPr>
                <w:rFonts w:cs="Arial"/>
                <w:iCs/>
                <w:sz w:val="18"/>
                <w:szCs w:val="18"/>
                <w:lang w:val="sr-Cyrl-CS"/>
              </w:rPr>
              <w:t>-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>260 •</w:t>
            </w:r>
            <w:r w:rsidR="000D4B8D" w:rsidRPr="00BD68C0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="000D4B8D" w:rsidRPr="00BD68C0">
              <w:rPr>
                <w:rFonts w:cs="Arial"/>
                <w:iCs/>
                <w:sz w:val="18"/>
                <w:szCs w:val="18"/>
                <w:lang w:val="sr-Latn-CS"/>
              </w:rPr>
              <w:t>www.stat.gov.rs</w:t>
            </w:r>
            <w:r w:rsidR="000D4B8D" w:rsidRPr="00BD68C0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="00D16FAE">
              <w:rPr>
                <w:rFonts w:cs="Arial"/>
                <w:iCs/>
                <w:sz w:val="18"/>
                <w:szCs w:val="18"/>
                <w:lang w:val="sr-Latn-RS"/>
              </w:rPr>
              <w:t>Responsible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: </w:t>
            </w:r>
            <w:r w:rsidR="00D16FAE">
              <w:rPr>
                <w:rFonts w:cs="Arial"/>
                <w:iCs/>
                <w:sz w:val="18"/>
                <w:szCs w:val="18"/>
                <w:lang w:val="sr-Latn-RS"/>
              </w:rPr>
              <w:t>dr</w:t>
            </w:r>
            <w:r w:rsidR="000D4B8D" w:rsidRPr="00BD68C0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="000D4B8D">
              <w:rPr>
                <w:rFonts w:cs="Arial"/>
                <w:iCs/>
                <w:sz w:val="18"/>
                <w:szCs w:val="18"/>
                <w:lang w:val="sr-Cyrl-CS"/>
              </w:rPr>
              <w:t>М</w:t>
            </w:r>
            <w:r w:rsidR="00D16FAE">
              <w:rPr>
                <w:rFonts w:cs="Arial"/>
                <w:iCs/>
                <w:sz w:val="18"/>
                <w:szCs w:val="18"/>
                <w:lang w:val="sr-Latn-RS"/>
              </w:rPr>
              <w:t>iladin Kovačević, Director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 </w:t>
            </w:r>
            <w:r w:rsidR="000D4B8D" w:rsidRPr="00BD68C0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="00D16FAE">
              <w:rPr>
                <w:rFonts w:cs="Arial"/>
                <w:iCs/>
                <w:sz w:val="18"/>
                <w:szCs w:val="18"/>
                <w:lang w:val="sr-Latn-RS"/>
              </w:rPr>
              <w:t>Circulation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: </w:t>
            </w:r>
            <w:r w:rsidR="000D4B8D" w:rsidRPr="00BD68C0">
              <w:rPr>
                <w:rFonts w:cs="Arial"/>
                <w:iCs/>
                <w:sz w:val="18"/>
                <w:szCs w:val="18"/>
                <w:lang w:val="sr-Latn-CS"/>
              </w:rPr>
              <w:t>20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 ● </w:t>
            </w:r>
            <w:r w:rsidR="00D16FAE">
              <w:rPr>
                <w:rFonts w:cs="Arial"/>
                <w:iCs/>
                <w:sz w:val="18"/>
                <w:szCs w:val="18"/>
                <w:lang w:val="sr-Latn-RS"/>
              </w:rPr>
              <w:t>Frequency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: </w:t>
            </w:r>
            <w:r w:rsidR="00D16FAE">
              <w:rPr>
                <w:rFonts w:cs="Arial"/>
                <w:iCs/>
                <w:sz w:val="18"/>
                <w:szCs w:val="18"/>
                <w:lang w:val="sr-Latn-RS"/>
              </w:rPr>
              <w:t>annual</w:t>
            </w:r>
          </w:p>
        </w:tc>
      </w:tr>
    </w:tbl>
    <w:p w:rsidR="000F3806" w:rsidRDefault="000F3806" w:rsidP="000F3806">
      <w:pPr>
        <w:rPr>
          <w:lang w:val="sr-Latn-R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1E7CA4" wp14:editId="6AA09537">
                <wp:simplePos x="0" y="0"/>
                <wp:positionH relativeFrom="character">
                  <wp:posOffset>0</wp:posOffset>
                </wp:positionH>
                <wp:positionV relativeFrom="line">
                  <wp:posOffset>86896</wp:posOffset>
                </wp:positionV>
                <wp:extent cx="720000" cy="0"/>
                <wp:effectExtent l="0" t="0" r="234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5BE2E9" id="Straight Connector 4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char;mso-position-vertical:absolute;mso-position-vertical-relative:line;mso-width-percent:0;mso-width-relative:margin" from="0,6.85pt" to="56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" strokecolor="#7f7f7f [1612]" strokeweight=".25pt">
                <w10:wrap anchory="line"/>
              </v:line>
            </w:pict>
          </mc:Fallback>
        </mc:AlternateContent>
      </w:r>
    </w:p>
    <w:p w:rsidR="000F3806" w:rsidRDefault="000F3806" w:rsidP="006A7E8E">
      <w:pPr>
        <w:rPr>
          <w:lang w:val="sr-Latn-CS"/>
        </w:rPr>
      </w:pPr>
      <w:r w:rsidRPr="004852BD">
        <w:rPr>
          <w:sz w:val="14"/>
          <w:szCs w:val="14"/>
          <w:vertAlign w:val="superscript"/>
          <w:lang w:val="sr-Latn-RS"/>
        </w:rPr>
        <w:t>1)</w:t>
      </w:r>
      <w:r>
        <w:rPr>
          <w:sz w:val="14"/>
          <w:szCs w:val="14"/>
          <w:lang w:val="sr-Latn-RS"/>
        </w:rPr>
        <w:t xml:space="preserve"> Pre</w:t>
      </w:r>
      <w:r w:rsidR="00F431E3">
        <w:rPr>
          <w:sz w:val="14"/>
          <w:szCs w:val="14"/>
          <w:lang w:val="sr-Latn-RS"/>
        </w:rPr>
        <w:t>liminary</w:t>
      </w:r>
      <w:r>
        <w:rPr>
          <w:sz w:val="14"/>
          <w:szCs w:val="14"/>
          <w:lang w:val="sr-Latn-RS"/>
        </w:rPr>
        <w:t xml:space="preserve"> data</w:t>
      </w:r>
      <w:r>
        <w:rPr>
          <w:sz w:val="14"/>
          <w:szCs w:val="14"/>
        </w:rPr>
        <w:t>.</w:t>
      </w:r>
      <w:r w:rsidRPr="004852BD">
        <w:rPr>
          <w:sz w:val="14"/>
          <w:szCs w:val="14"/>
          <w:lang w:val="sr-Latn-RS"/>
        </w:rPr>
        <w:t xml:space="preserve"> </w:t>
      </w:r>
    </w:p>
    <w:p w:rsidR="005F189E" w:rsidRPr="005F189E" w:rsidRDefault="005F189E" w:rsidP="005F189E">
      <w:pPr>
        <w:spacing w:before="360" w:after="180"/>
        <w:ind w:left="360"/>
        <w:jc w:val="center"/>
        <w:rPr>
          <w:rFonts w:cs="Arial"/>
          <w:b/>
          <w:sz w:val="22"/>
          <w:szCs w:val="22"/>
          <w:lang w:val="sr-Cyrl-CS"/>
        </w:rPr>
      </w:pPr>
      <w:r w:rsidRPr="005F189E">
        <w:rPr>
          <w:rFonts w:cs="Arial"/>
          <w:b/>
          <w:sz w:val="22"/>
          <w:szCs w:val="22"/>
          <w:lang w:val="en-US"/>
        </w:rPr>
        <w:t>Methodological explanations</w:t>
      </w:r>
    </w:p>
    <w:p w:rsidR="005F189E" w:rsidRPr="00AD2E6A" w:rsidRDefault="00CF0F9D" w:rsidP="005F189E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  <w:lang w:val="en-US"/>
        </w:rPr>
      </w:pPr>
      <w:r w:rsidRPr="00AD2E6A">
        <w:rPr>
          <w:rFonts w:cs="Arial"/>
          <w:szCs w:val="20"/>
          <w:lang w:val="en-US"/>
        </w:rPr>
        <w:t xml:space="preserve">Data on enrolled students result from the regular survey “Statistical Report on the Enrollment of Students” (Form </w:t>
      </w:r>
      <w:r w:rsidRPr="00AD2E6A">
        <w:rPr>
          <w:rFonts w:cs="Arial"/>
          <w:szCs w:val="20"/>
          <w:lang w:val="sr-Latn-RS"/>
        </w:rPr>
        <w:t>ŠV</w:t>
      </w:r>
      <w:r w:rsidRPr="00AD2E6A">
        <w:rPr>
          <w:rFonts w:cs="Arial"/>
          <w:szCs w:val="20"/>
          <w:lang w:val="en-US"/>
        </w:rPr>
        <w:t>-20). The survey covers all higher education institutions</w:t>
      </w:r>
      <w:r w:rsidR="005F189E" w:rsidRPr="00AD2E6A">
        <w:rPr>
          <w:rFonts w:cs="Arial"/>
          <w:szCs w:val="20"/>
        </w:rPr>
        <w:t>.</w:t>
      </w:r>
    </w:p>
    <w:p w:rsidR="005F189E" w:rsidRPr="00AD2E6A" w:rsidRDefault="00CF0F9D" w:rsidP="005F189E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  <w:lang w:val="en-US"/>
        </w:rPr>
      </w:pPr>
      <w:r w:rsidRPr="00AD2E6A">
        <w:rPr>
          <w:rFonts w:cs="Arial"/>
          <w:szCs w:val="20"/>
          <w:lang w:val="en-US"/>
        </w:rPr>
        <w:t>Data refer to all enrolled students at academic and applied studies, at all three levels of studies, as well as according to the old programme</w:t>
      </w:r>
      <w:r w:rsidR="005F189E" w:rsidRPr="00AD2E6A">
        <w:rPr>
          <w:rFonts w:cs="Arial"/>
          <w:szCs w:val="20"/>
        </w:rPr>
        <w:t>.</w:t>
      </w:r>
      <w:r w:rsidR="005F189E" w:rsidRPr="00AD2E6A">
        <w:rPr>
          <w:rFonts w:cs="Arial"/>
          <w:szCs w:val="20"/>
          <w:lang w:val="en-US"/>
        </w:rPr>
        <w:t xml:space="preserve"> </w:t>
      </w:r>
    </w:p>
    <w:p w:rsidR="005F189E" w:rsidRPr="00AD2E6A" w:rsidRDefault="00CF0F9D" w:rsidP="005F189E">
      <w:pPr>
        <w:spacing w:before="120" w:after="120"/>
        <w:ind w:firstLine="397"/>
        <w:jc w:val="both"/>
        <w:rPr>
          <w:rFonts w:cs="Arial"/>
          <w:szCs w:val="20"/>
        </w:rPr>
      </w:pPr>
      <w:r w:rsidRPr="00AD2E6A">
        <w:rPr>
          <w:rFonts w:cs="Arial"/>
          <w:szCs w:val="20"/>
          <w:lang w:val="en-US"/>
        </w:rPr>
        <w:t>Data presented in this</w:t>
      </w:r>
      <w:bookmarkStart w:id="0" w:name="_GoBack"/>
      <w:bookmarkEnd w:id="0"/>
      <w:r w:rsidRPr="00AD2E6A">
        <w:rPr>
          <w:rFonts w:cs="Arial"/>
          <w:szCs w:val="20"/>
          <w:lang w:val="en-US"/>
        </w:rPr>
        <w:t xml:space="preserve"> release refer to </w:t>
      </w:r>
      <w:r w:rsidR="005F189E" w:rsidRPr="00AD2E6A">
        <w:rPr>
          <w:rFonts w:cs="Arial"/>
          <w:szCs w:val="20"/>
        </w:rPr>
        <w:t xml:space="preserve">ISCED 6, 7, 8 </w:t>
      </w:r>
      <w:r w:rsidRPr="00AD2E6A">
        <w:rPr>
          <w:rFonts w:cs="Arial"/>
          <w:szCs w:val="20"/>
          <w:lang w:val="en-US"/>
        </w:rPr>
        <w:t xml:space="preserve">levels according to </w:t>
      </w:r>
      <w:r w:rsidR="005F189E" w:rsidRPr="00AD2E6A">
        <w:rPr>
          <w:rStyle w:val="algo-summary"/>
          <w:rFonts w:cs="Arial"/>
        </w:rPr>
        <w:t xml:space="preserve">The International Standard Classification of Education – </w:t>
      </w:r>
      <w:r w:rsidR="005F189E" w:rsidRPr="00AD2E6A">
        <w:rPr>
          <w:rFonts w:cs="Arial"/>
          <w:szCs w:val="20"/>
        </w:rPr>
        <w:t>ISCED2011.</w:t>
      </w:r>
    </w:p>
    <w:p w:rsidR="005F189E" w:rsidRPr="005F189E" w:rsidRDefault="005F189E" w:rsidP="005F189E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  <w:lang w:val="en-US"/>
        </w:rPr>
      </w:pPr>
      <w:r w:rsidRPr="005F189E">
        <w:rPr>
          <w:szCs w:val="20"/>
        </w:rPr>
        <w:t>Starting from 199</w:t>
      </w:r>
      <w:r w:rsidRPr="005F189E">
        <w:rPr>
          <w:szCs w:val="20"/>
          <w:lang w:val="en-US"/>
        </w:rPr>
        <w:t>9</w:t>
      </w:r>
      <w:r w:rsidRPr="005F189E">
        <w:rPr>
          <w:szCs w:val="20"/>
        </w:rPr>
        <w:t xml:space="preserve"> the Statistical Of</w:t>
      </w:r>
      <w:r w:rsidR="00CF0F9D">
        <w:rPr>
          <w:szCs w:val="20"/>
          <w:lang w:val="en-US"/>
        </w:rPr>
        <w:t>f</w:t>
      </w:r>
      <w:r w:rsidRPr="005F189E">
        <w:rPr>
          <w:szCs w:val="20"/>
        </w:rPr>
        <w:t xml:space="preserve">ice of the Republic of Serbia </w:t>
      </w:r>
      <w:r w:rsidRPr="005F189E">
        <w:rPr>
          <w:szCs w:val="20"/>
          <w:lang w:val="en-US"/>
        </w:rPr>
        <w:t xml:space="preserve">has no available certain data relative to </w:t>
      </w:r>
      <w:r w:rsidRPr="005F189E">
        <w:rPr>
          <w:szCs w:val="20"/>
        </w:rPr>
        <w:t>AP Kosovo and Metohija</w:t>
      </w:r>
      <w:r w:rsidRPr="005F189E">
        <w:rPr>
          <w:szCs w:val="20"/>
          <w:lang w:val="en-US"/>
        </w:rPr>
        <w:t>,</w:t>
      </w:r>
      <w:r w:rsidRPr="005F189E">
        <w:rPr>
          <w:szCs w:val="20"/>
        </w:rPr>
        <w:t xml:space="preserve"> therefore these data are not included in the coverage for the Republic of Serbia (total).</w:t>
      </w:r>
    </w:p>
    <w:p w:rsidR="00546E24" w:rsidRDefault="00546E24" w:rsidP="006A7E8E">
      <w:pPr>
        <w:rPr>
          <w:lang w:val="sr-Latn-CS"/>
        </w:rPr>
      </w:pPr>
    </w:p>
    <w:p w:rsidR="00546E24" w:rsidRDefault="00546E24" w:rsidP="006A7E8E">
      <w:pPr>
        <w:rPr>
          <w:lang w:val="sr-Latn-CS"/>
        </w:rPr>
      </w:pPr>
    </w:p>
    <w:sectPr w:rsidR="00546E24" w:rsidSect="00A7556A">
      <w:footerReference w:type="even" r:id="rId8"/>
      <w:footerReference w:type="default" r:id="rId9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187" w:rsidRDefault="00EA5187">
      <w:r>
        <w:separator/>
      </w:r>
    </w:p>
  </w:endnote>
  <w:endnote w:type="continuationSeparator" w:id="0">
    <w:p w:rsidR="00EA5187" w:rsidRDefault="00EA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25278E" w:rsidRPr="007C4CA6" w:rsidTr="00EA3C2F">
      <w:tc>
        <w:tcPr>
          <w:tcW w:w="5210" w:type="dxa"/>
          <w:shd w:val="clear" w:color="auto" w:fill="auto"/>
        </w:tcPr>
        <w:p w:rsidR="0025278E" w:rsidRPr="007C4CA6" w:rsidRDefault="0025278E" w:rsidP="00EA3C2F">
          <w:pPr>
            <w:spacing w:before="120"/>
            <w:rPr>
              <w:iCs/>
              <w:sz w:val="16"/>
              <w:szCs w:val="16"/>
            </w:rPr>
          </w:pPr>
          <w:r w:rsidRPr="007C4CA6">
            <w:rPr>
              <w:iCs/>
              <w:sz w:val="16"/>
              <w:szCs w:val="16"/>
            </w:rPr>
            <w:fldChar w:fldCharType="begin"/>
          </w:r>
          <w:r w:rsidRPr="007C4CA6">
            <w:rPr>
              <w:iCs/>
              <w:sz w:val="16"/>
              <w:szCs w:val="16"/>
            </w:rPr>
            <w:instrText xml:space="preserve"> PAGE </w:instrText>
          </w:r>
          <w:r w:rsidRPr="007C4CA6">
            <w:rPr>
              <w:iCs/>
              <w:sz w:val="16"/>
              <w:szCs w:val="16"/>
            </w:rPr>
            <w:fldChar w:fldCharType="separate"/>
          </w:r>
          <w:r w:rsidR="00694EDB">
            <w:rPr>
              <w:iCs/>
              <w:noProof/>
              <w:sz w:val="16"/>
              <w:szCs w:val="16"/>
            </w:rPr>
            <w:t>2</w:t>
          </w:r>
          <w:r w:rsidRPr="007C4CA6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shd w:val="clear" w:color="auto" w:fill="auto"/>
        </w:tcPr>
        <w:p w:rsidR="0025278E" w:rsidRPr="00546E24" w:rsidRDefault="0025278E" w:rsidP="00C22ED4">
          <w:pPr>
            <w:spacing w:before="120"/>
            <w:jc w:val="right"/>
            <w:rPr>
              <w:bCs/>
              <w:sz w:val="16"/>
              <w:szCs w:val="16"/>
              <w:lang w:val="sr-Latn-RS"/>
            </w:rPr>
          </w:pPr>
          <w:r>
            <w:rPr>
              <w:bCs/>
              <w:sz w:val="16"/>
              <w:szCs w:val="16"/>
              <w:lang w:val="en-US"/>
            </w:rPr>
            <w:t>SERB16</w:t>
          </w:r>
          <w:r w:rsidR="00C22ED4">
            <w:rPr>
              <w:bCs/>
              <w:sz w:val="16"/>
              <w:szCs w:val="16"/>
              <w:lang w:val="en-US"/>
            </w:rPr>
            <w:t>5</w:t>
          </w:r>
          <w:r>
            <w:rPr>
              <w:bCs/>
              <w:sz w:val="16"/>
              <w:szCs w:val="16"/>
              <w:lang w:val="en-US"/>
            </w:rPr>
            <w:t xml:space="preserve"> AS</w:t>
          </w:r>
          <w:r>
            <w:rPr>
              <w:bCs/>
              <w:sz w:val="16"/>
              <w:szCs w:val="16"/>
            </w:rPr>
            <w:t>2</w:t>
          </w:r>
          <w:r>
            <w:rPr>
              <w:bCs/>
              <w:sz w:val="16"/>
              <w:szCs w:val="16"/>
              <w:lang w:val="sr-Latn-RS"/>
            </w:rPr>
            <w:t>0</w:t>
          </w:r>
          <w:r w:rsidRPr="007C4CA6">
            <w:rPr>
              <w:bCs/>
              <w:sz w:val="16"/>
              <w:szCs w:val="16"/>
              <w:lang w:val="sr-Cyrl-CS"/>
            </w:rPr>
            <w:t xml:space="preserve"> </w:t>
          </w:r>
          <w:r w:rsidR="00C22ED4">
            <w:rPr>
              <w:bCs/>
              <w:sz w:val="16"/>
              <w:szCs w:val="16"/>
              <w:lang w:val="sr-Latn-RS"/>
            </w:rPr>
            <w:t>240620</w:t>
          </w:r>
        </w:p>
      </w:tc>
    </w:tr>
  </w:tbl>
  <w:p w:rsidR="0025278E" w:rsidRPr="00933BE7" w:rsidRDefault="0025278E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25278E" w:rsidRPr="007C4CA6" w:rsidTr="00EA3C2F">
      <w:tc>
        <w:tcPr>
          <w:tcW w:w="5210" w:type="dxa"/>
          <w:shd w:val="clear" w:color="auto" w:fill="auto"/>
        </w:tcPr>
        <w:p w:rsidR="0025278E" w:rsidRPr="00EA038B" w:rsidRDefault="0025278E" w:rsidP="003A2B0D">
          <w:pPr>
            <w:spacing w:before="120"/>
            <w:rPr>
              <w:iCs/>
              <w:sz w:val="16"/>
              <w:szCs w:val="16"/>
            </w:rPr>
          </w:pPr>
          <w:r w:rsidRPr="007C4CA6">
            <w:rPr>
              <w:iCs/>
              <w:sz w:val="16"/>
              <w:szCs w:val="16"/>
            </w:rPr>
            <w:t>СРБ</w:t>
          </w:r>
          <w:r>
            <w:rPr>
              <w:iCs/>
              <w:sz w:val="16"/>
              <w:szCs w:val="16"/>
              <w:lang w:val="en-US"/>
            </w:rPr>
            <w:t>296</w:t>
          </w:r>
          <w:r w:rsidRPr="007C4CA6">
            <w:rPr>
              <w:iCs/>
              <w:sz w:val="16"/>
              <w:szCs w:val="16"/>
              <w:lang w:val="sr-Latn-CS"/>
            </w:rPr>
            <w:t xml:space="preserve"> </w:t>
          </w:r>
          <w:r w:rsidRPr="007C4CA6">
            <w:rPr>
              <w:iCs/>
              <w:sz w:val="16"/>
              <w:szCs w:val="16"/>
              <w:lang w:val="sr-Cyrl-CS"/>
            </w:rPr>
            <w:t>ДД40</w:t>
          </w:r>
          <w:r w:rsidRPr="007C4CA6">
            <w:rPr>
              <w:iCs/>
              <w:sz w:val="16"/>
              <w:szCs w:val="16"/>
            </w:rPr>
            <w:t xml:space="preserve"> </w:t>
          </w:r>
          <w:r w:rsidRPr="007C4CA6">
            <w:rPr>
              <w:iCs/>
              <w:sz w:val="16"/>
              <w:szCs w:val="16"/>
              <w:lang w:val="sr-Latn-RS"/>
            </w:rPr>
            <w:t>18111</w:t>
          </w:r>
          <w:r>
            <w:rPr>
              <w:iCs/>
              <w:sz w:val="16"/>
              <w:szCs w:val="16"/>
              <w:lang w:val="sr-Latn-RS"/>
            </w:rPr>
            <w:t>6</w:t>
          </w:r>
        </w:p>
      </w:tc>
      <w:tc>
        <w:tcPr>
          <w:tcW w:w="5211" w:type="dxa"/>
          <w:shd w:val="clear" w:color="auto" w:fill="auto"/>
        </w:tcPr>
        <w:p w:rsidR="0025278E" w:rsidRPr="007C4CA6" w:rsidRDefault="0025278E" w:rsidP="00EA3C2F">
          <w:pPr>
            <w:spacing w:before="120"/>
            <w:jc w:val="right"/>
            <w:rPr>
              <w:bCs/>
              <w:sz w:val="16"/>
              <w:szCs w:val="16"/>
            </w:rPr>
          </w:pPr>
          <w:r w:rsidRPr="007C4CA6">
            <w:rPr>
              <w:bCs/>
              <w:sz w:val="16"/>
              <w:szCs w:val="16"/>
            </w:rPr>
            <w:fldChar w:fldCharType="begin"/>
          </w:r>
          <w:r w:rsidRPr="007C4CA6">
            <w:rPr>
              <w:bCs/>
              <w:sz w:val="16"/>
              <w:szCs w:val="16"/>
            </w:rPr>
            <w:instrText xml:space="preserve"> PAGE </w:instrText>
          </w:r>
          <w:r w:rsidRPr="007C4CA6">
            <w:rPr>
              <w:bCs/>
              <w:sz w:val="16"/>
              <w:szCs w:val="16"/>
            </w:rPr>
            <w:fldChar w:fldCharType="separate"/>
          </w:r>
          <w:r w:rsidR="005C56C0">
            <w:rPr>
              <w:bCs/>
              <w:noProof/>
              <w:sz w:val="16"/>
              <w:szCs w:val="16"/>
            </w:rPr>
            <w:t>3</w:t>
          </w:r>
          <w:r w:rsidRPr="007C4CA6">
            <w:rPr>
              <w:bCs/>
              <w:sz w:val="16"/>
              <w:szCs w:val="16"/>
            </w:rPr>
            <w:fldChar w:fldCharType="end"/>
          </w:r>
        </w:p>
      </w:tc>
    </w:tr>
  </w:tbl>
  <w:p w:rsidR="0025278E" w:rsidRPr="00933BE7" w:rsidRDefault="0025278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187" w:rsidRDefault="00EA5187">
      <w:r>
        <w:separator/>
      </w:r>
    </w:p>
  </w:footnote>
  <w:footnote w:type="continuationSeparator" w:id="0">
    <w:p w:rsidR="00EA5187" w:rsidRDefault="00EA5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EC64E60"/>
    <w:multiLevelType w:val="hybridMultilevel"/>
    <w:tmpl w:val="39F28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 w15:restartNumberingAfterBreak="0">
    <w:nsid w:val="3507083C"/>
    <w:multiLevelType w:val="hybridMultilevel"/>
    <w:tmpl w:val="5980FBBC"/>
    <w:lvl w:ilvl="0" w:tplc="F51612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E5550B"/>
    <w:multiLevelType w:val="hybridMultilevel"/>
    <w:tmpl w:val="3DDA4E2E"/>
    <w:lvl w:ilvl="0" w:tplc="F51612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1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4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5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6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9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0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1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2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0454B7B"/>
    <w:multiLevelType w:val="hybridMultilevel"/>
    <w:tmpl w:val="7660D242"/>
    <w:lvl w:ilvl="0" w:tplc="F5161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FC736E9"/>
    <w:multiLevelType w:val="hybridMultilevel"/>
    <w:tmpl w:val="0768674A"/>
    <w:lvl w:ilvl="0" w:tplc="F5161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26"/>
  </w:num>
  <w:num w:numId="13">
    <w:abstractNumId w:val="8"/>
  </w:num>
  <w:num w:numId="14">
    <w:abstractNumId w:val="30"/>
  </w:num>
  <w:num w:numId="15">
    <w:abstractNumId w:val="28"/>
  </w:num>
  <w:num w:numId="16">
    <w:abstractNumId w:val="12"/>
  </w:num>
  <w:num w:numId="17">
    <w:abstractNumId w:val="13"/>
  </w:num>
  <w:num w:numId="18">
    <w:abstractNumId w:val="34"/>
  </w:num>
  <w:num w:numId="19">
    <w:abstractNumId w:val="25"/>
  </w:num>
  <w:num w:numId="20">
    <w:abstractNumId w:val="22"/>
  </w:num>
  <w:num w:numId="21">
    <w:abstractNumId w:val="32"/>
  </w:num>
  <w:num w:numId="22">
    <w:abstractNumId w:val="27"/>
  </w:num>
  <w:num w:numId="23">
    <w:abstractNumId w:val="24"/>
  </w:num>
  <w:num w:numId="24">
    <w:abstractNumId w:val="16"/>
  </w:num>
  <w:num w:numId="25">
    <w:abstractNumId w:val="15"/>
  </w:num>
  <w:num w:numId="26">
    <w:abstractNumId w:val="20"/>
  </w:num>
  <w:num w:numId="27">
    <w:abstractNumId w:val="31"/>
  </w:num>
  <w:num w:numId="28">
    <w:abstractNumId w:val="11"/>
  </w:num>
  <w:num w:numId="29">
    <w:abstractNumId w:val="29"/>
  </w:num>
  <w:num w:numId="30">
    <w:abstractNumId w:val="23"/>
  </w:num>
  <w:num w:numId="31">
    <w:abstractNumId w:val="21"/>
  </w:num>
  <w:num w:numId="32">
    <w:abstractNumId w:val="10"/>
  </w:num>
  <w:num w:numId="33">
    <w:abstractNumId w:val="35"/>
  </w:num>
  <w:num w:numId="34">
    <w:abstractNumId w:val="18"/>
  </w:num>
  <w:num w:numId="35">
    <w:abstractNumId w:val="33"/>
  </w:num>
  <w:num w:numId="36">
    <w:abstractNumId w:val="17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89"/>
    <w:rsid w:val="0000317F"/>
    <w:rsid w:val="000049E7"/>
    <w:rsid w:val="000212E2"/>
    <w:rsid w:val="00021C9B"/>
    <w:rsid w:val="00025AE9"/>
    <w:rsid w:val="000265E8"/>
    <w:rsid w:val="00027264"/>
    <w:rsid w:val="00032FCE"/>
    <w:rsid w:val="0004729F"/>
    <w:rsid w:val="00053720"/>
    <w:rsid w:val="00056A2A"/>
    <w:rsid w:val="00060122"/>
    <w:rsid w:val="00084CB7"/>
    <w:rsid w:val="0008570D"/>
    <w:rsid w:val="0008594B"/>
    <w:rsid w:val="000905F2"/>
    <w:rsid w:val="000A0823"/>
    <w:rsid w:val="000A3363"/>
    <w:rsid w:val="000B10EA"/>
    <w:rsid w:val="000B3A59"/>
    <w:rsid w:val="000B7381"/>
    <w:rsid w:val="000D4726"/>
    <w:rsid w:val="000D4B8D"/>
    <w:rsid w:val="000D6845"/>
    <w:rsid w:val="000E23B5"/>
    <w:rsid w:val="000F1CC3"/>
    <w:rsid w:val="000F3806"/>
    <w:rsid w:val="000F6F20"/>
    <w:rsid w:val="000F7389"/>
    <w:rsid w:val="001034CA"/>
    <w:rsid w:val="001057A8"/>
    <w:rsid w:val="00110976"/>
    <w:rsid w:val="00112C9B"/>
    <w:rsid w:val="00114067"/>
    <w:rsid w:val="00117B75"/>
    <w:rsid w:val="00120DC5"/>
    <w:rsid w:val="00123D75"/>
    <w:rsid w:val="001245F5"/>
    <w:rsid w:val="0014018B"/>
    <w:rsid w:val="00140B9E"/>
    <w:rsid w:val="0014318B"/>
    <w:rsid w:val="00151F18"/>
    <w:rsid w:val="00156B85"/>
    <w:rsid w:val="00161C21"/>
    <w:rsid w:val="00165B24"/>
    <w:rsid w:val="001713E8"/>
    <w:rsid w:val="00174E1D"/>
    <w:rsid w:val="00184568"/>
    <w:rsid w:val="001A08A1"/>
    <w:rsid w:val="001B5A6B"/>
    <w:rsid w:val="001B5E2C"/>
    <w:rsid w:val="001C14ED"/>
    <w:rsid w:val="001C3045"/>
    <w:rsid w:val="001C31CB"/>
    <w:rsid w:val="001D2C77"/>
    <w:rsid w:val="001D61FD"/>
    <w:rsid w:val="001E50A1"/>
    <w:rsid w:val="00215B12"/>
    <w:rsid w:val="00225696"/>
    <w:rsid w:val="0022656F"/>
    <w:rsid w:val="0022791D"/>
    <w:rsid w:val="002338F2"/>
    <w:rsid w:val="00250E57"/>
    <w:rsid w:val="0025278E"/>
    <w:rsid w:val="002577D1"/>
    <w:rsid w:val="00260103"/>
    <w:rsid w:val="00261537"/>
    <w:rsid w:val="00266953"/>
    <w:rsid w:val="002713F2"/>
    <w:rsid w:val="0027276E"/>
    <w:rsid w:val="00284FE7"/>
    <w:rsid w:val="00287FD9"/>
    <w:rsid w:val="00292B20"/>
    <w:rsid w:val="002A5996"/>
    <w:rsid w:val="002B2208"/>
    <w:rsid w:val="002B66A1"/>
    <w:rsid w:val="002C4192"/>
    <w:rsid w:val="002F13AB"/>
    <w:rsid w:val="002F360D"/>
    <w:rsid w:val="00314CB3"/>
    <w:rsid w:val="00320633"/>
    <w:rsid w:val="0032260C"/>
    <w:rsid w:val="00322A39"/>
    <w:rsid w:val="00323425"/>
    <w:rsid w:val="00327B2C"/>
    <w:rsid w:val="00336930"/>
    <w:rsid w:val="00343F54"/>
    <w:rsid w:val="003472A6"/>
    <w:rsid w:val="00357F01"/>
    <w:rsid w:val="003671CF"/>
    <w:rsid w:val="00367E6B"/>
    <w:rsid w:val="003767F1"/>
    <w:rsid w:val="00384428"/>
    <w:rsid w:val="003845CC"/>
    <w:rsid w:val="003928B7"/>
    <w:rsid w:val="00392E99"/>
    <w:rsid w:val="00395DD5"/>
    <w:rsid w:val="003A2B0D"/>
    <w:rsid w:val="003A2F46"/>
    <w:rsid w:val="003A3532"/>
    <w:rsid w:val="003B685E"/>
    <w:rsid w:val="003C4653"/>
    <w:rsid w:val="003E06F2"/>
    <w:rsid w:val="003E3C34"/>
    <w:rsid w:val="003F3A44"/>
    <w:rsid w:val="004100CA"/>
    <w:rsid w:val="00411E58"/>
    <w:rsid w:val="0041371A"/>
    <w:rsid w:val="0041739D"/>
    <w:rsid w:val="00420E98"/>
    <w:rsid w:val="00421FC9"/>
    <w:rsid w:val="00432CB2"/>
    <w:rsid w:val="00432F75"/>
    <w:rsid w:val="00433486"/>
    <w:rsid w:val="00442578"/>
    <w:rsid w:val="00443DC2"/>
    <w:rsid w:val="0045261A"/>
    <w:rsid w:val="00452C25"/>
    <w:rsid w:val="00475B2D"/>
    <w:rsid w:val="00476A85"/>
    <w:rsid w:val="00484F96"/>
    <w:rsid w:val="00485185"/>
    <w:rsid w:val="004946DA"/>
    <w:rsid w:val="004958A5"/>
    <w:rsid w:val="004A0008"/>
    <w:rsid w:val="004A4270"/>
    <w:rsid w:val="004A7323"/>
    <w:rsid w:val="004B463B"/>
    <w:rsid w:val="004C17DD"/>
    <w:rsid w:val="004C29C3"/>
    <w:rsid w:val="004E266D"/>
    <w:rsid w:val="004E3796"/>
    <w:rsid w:val="004E5ADD"/>
    <w:rsid w:val="004F1C0A"/>
    <w:rsid w:val="004F4876"/>
    <w:rsid w:val="004F4A0C"/>
    <w:rsid w:val="004F4A78"/>
    <w:rsid w:val="00500A79"/>
    <w:rsid w:val="005021C6"/>
    <w:rsid w:val="005053D6"/>
    <w:rsid w:val="005062DF"/>
    <w:rsid w:val="005101A5"/>
    <w:rsid w:val="00517689"/>
    <w:rsid w:val="005324E0"/>
    <w:rsid w:val="00543EEE"/>
    <w:rsid w:val="00544DD8"/>
    <w:rsid w:val="005452E1"/>
    <w:rsid w:val="00545435"/>
    <w:rsid w:val="00546E24"/>
    <w:rsid w:val="005548EE"/>
    <w:rsid w:val="005605E2"/>
    <w:rsid w:val="00561B79"/>
    <w:rsid w:val="00564B36"/>
    <w:rsid w:val="005759AB"/>
    <w:rsid w:val="00577BE8"/>
    <w:rsid w:val="00581737"/>
    <w:rsid w:val="00581A0F"/>
    <w:rsid w:val="00590A0C"/>
    <w:rsid w:val="00591B6F"/>
    <w:rsid w:val="00591F3B"/>
    <w:rsid w:val="005939D9"/>
    <w:rsid w:val="00593A0E"/>
    <w:rsid w:val="00595517"/>
    <w:rsid w:val="00596613"/>
    <w:rsid w:val="00596A18"/>
    <w:rsid w:val="005976B7"/>
    <w:rsid w:val="005A020F"/>
    <w:rsid w:val="005A1054"/>
    <w:rsid w:val="005B17E1"/>
    <w:rsid w:val="005B5B60"/>
    <w:rsid w:val="005C10E4"/>
    <w:rsid w:val="005C2ACA"/>
    <w:rsid w:val="005C4034"/>
    <w:rsid w:val="005C45C0"/>
    <w:rsid w:val="005C503A"/>
    <w:rsid w:val="005C56C0"/>
    <w:rsid w:val="005C7938"/>
    <w:rsid w:val="005D40B3"/>
    <w:rsid w:val="005E4FA6"/>
    <w:rsid w:val="005F189E"/>
    <w:rsid w:val="005F217C"/>
    <w:rsid w:val="005F408E"/>
    <w:rsid w:val="00603748"/>
    <w:rsid w:val="006210DB"/>
    <w:rsid w:val="00625AAE"/>
    <w:rsid w:val="00626DB8"/>
    <w:rsid w:val="00627E99"/>
    <w:rsid w:val="00630631"/>
    <w:rsid w:val="0064260B"/>
    <w:rsid w:val="00644F4F"/>
    <w:rsid w:val="006471E8"/>
    <w:rsid w:val="00651833"/>
    <w:rsid w:val="00657C06"/>
    <w:rsid w:val="006670D7"/>
    <w:rsid w:val="0067119B"/>
    <w:rsid w:val="00677A51"/>
    <w:rsid w:val="00677F33"/>
    <w:rsid w:val="00694EDB"/>
    <w:rsid w:val="0069777B"/>
    <w:rsid w:val="006A3197"/>
    <w:rsid w:val="006A7E8E"/>
    <w:rsid w:val="006B2FA2"/>
    <w:rsid w:val="006B7517"/>
    <w:rsid w:val="006C078D"/>
    <w:rsid w:val="006D0F55"/>
    <w:rsid w:val="006E7AF4"/>
    <w:rsid w:val="006F1FBF"/>
    <w:rsid w:val="006F35D2"/>
    <w:rsid w:val="00701779"/>
    <w:rsid w:val="0070369C"/>
    <w:rsid w:val="007126AD"/>
    <w:rsid w:val="007264A9"/>
    <w:rsid w:val="0073113A"/>
    <w:rsid w:val="00742E08"/>
    <w:rsid w:val="0075752E"/>
    <w:rsid w:val="00770E36"/>
    <w:rsid w:val="00776253"/>
    <w:rsid w:val="00780C27"/>
    <w:rsid w:val="00790EE3"/>
    <w:rsid w:val="0079496C"/>
    <w:rsid w:val="007A551E"/>
    <w:rsid w:val="007A553B"/>
    <w:rsid w:val="007A55A7"/>
    <w:rsid w:val="007A5D22"/>
    <w:rsid w:val="007A7392"/>
    <w:rsid w:val="007B33E6"/>
    <w:rsid w:val="007C4CA6"/>
    <w:rsid w:val="007D24F8"/>
    <w:rsid w:val="007D3C34"/>
    <w:rsid w:val="007D4AF9"/>
    <w:rsid w:val="007E2BD1"/>
    <w:rsid w:val="007E3FD2"/>
    <w:rsid w:val="007E6E68"/>
    <w:rsid w:val="007F1EB5"/>
    <w:rsid w:val="007F63EA"/>
    <w:rsid w:val="00800AF4"/>
    <w:rsid w:val="00815742"/>
    <w:rsid w:val="008174D7"/>
    <w:rsid w:val="008200B5"/>
    <w:rsid w:val="0082017B"/>
    <w:rsid w:val="00820253"/>
    <w:rsid w:val="008228CE"/>
    <w:rsid w:val="00831E75"/>
    <w:rsid w:val="00834988"/>
    <w:rsid w:val="00843F8C"/>
    <w:rsid w:val="00851D01"/>
    <w:rsid w:val="008524D6"/>
    <w:rsid w:val="00856212"/>
    <w:rsid w:val="0086133F"/>
    <w:rsid w:val="00862686"/>
    <w:rsid w:val="00865950"/>
    <w:rsid w:val="0087552A"/>
    <w:rsid w:val="00881071"/>
    <w:rsid w:val="00883FE5"/>
    <w:rsid w:val="0089419C"/>
    <w:rsid w:val="008953E9"/>
    <w:rsid w:val="008B27B7"/>
    <w:rsid w:val="008B4BE6"/>
    <w:rsid w:val="008B544B"/>
    <w:rsid w:val="008B61CE"/>
    <w:rsid w:val="008C2047"/>
    <w:rsid w:val="008C3B72"/>
    <w:rsid w:val="008C44B8"/>
    <w:rsid w:val="008C4844"/>
    <w:rsid w:val="008D4C05"/>
    <w:rsid w:val="008E21F1"/>
    <w:rsid w:val="008F4265"/>
    <w:rsid w:val="008F5EAC"/>
    <w:rsid w:val="00903CA5"/>
    <w:rsid w:val="00904758"/>
    <w:rsid w:val="00904BEC"/>
    <w:rsid w:val="00910A29"/>
    <w:rsid w:val="009209D4"/>
    <w:rsid w:val="00923D89"/>
    <w:rsid w:val="009324E6"/>
    <w:rsid w:val="00933BE7"/>
    <w:rsid w:val="00934F49"/>
    <w:rsid w:val="00935F76"/>
    <w:rsid w:val="00940DEA"/>
    <w:rsid w:val="00943537"/>
    <w:rsid w:val="00953B72"/>
    <w:rsid w:val="009847A3"/>
    <w:rsid w:val="00986E42"/>
    <w:rsid w:val="0098708B"/>
    <w:rsid w:val="00993513"/>
    <w:rsid w:val="009B5242"/>
    <w:rsid w:val="009B620C"/>
    <w:rsid w:val="009C00CC"/>
    <w:rsid w:val="009C25AA"/>
    <w:rsid w:val="009D1BB9"/>
    <w:rsid w:val="009D28E8"/>
    <w:rsid w:val="009E3CD2"/>
    <w:rsid w:val="009E4CF4"/>
    <w:rsid w:val="009E7214"/>
    <w:rsid w:val="009F0F20"/>
    <w:rsid w:val="00A00107"/>
    <w:rsid w:val="00A02193"/>
    <w:rsid w:val="00A04D8F"/>
    <w:rsid w:val="00A1539B"/>
    <w:rsid w:val="00A20D67"/>
    <w:rsid w:val="00A21867"/>
    <w:rsid w:val="00A277D0"/>
    <w:rsid w:val="00A456E1"/>
    <w:rsid w:val="00A5233E"/>
    <w:rsid w:val="00A54FB9"/>
    <w:rsid w:val="00A57A19"/>
    <w:rsid w:val="00A618AD"/>
    <w:rsid w:val="00A62452"/>
    <w:rsid w:val="00A67881"/>
    <w:rsid w:val="00A7556A"/>
    <w:rsid w:val="00A84F98"/>
    <w:rsid w:val="00A85F30"/>
    <w:rsid w:val="00AB245A"/>
    <w:rsid w:val="00AC43D9"/>
    <w:rsid w:val="00AD2E6A"/>
    <w:rsid w:val="00AD6E6E"/>
    <w:rsid w:val="00AE6FBB"/>
    <w:rsid w:val="00B03055"/>
    <w:rsid w:val="00B17172"/>
    <w:rsid w:val="00B21177"/>
    <w:rsid w:val="00B31708"/>
    <w:rsid w:val="00B54F4C"/>
    <w:rsid w:val="00B64573"/>
    <w:rsid w:val="00B67558"/>
    <w:rsid w:val="00B83073"/>
    <w:rsid w:val="00B863D2"/>
    <w:rsid w:val="00B9154F"/>
    <w:rsid w:val="00B967F5"/>
    <w:rsid w:val="00BA184C"/>
    <w:rsid w:val="00BA1BA5"/>
    <w:rsid w:val="00BA2A4A"/>
    <w:rsid w:val="00BB057F"/>
    <w:rsid w:val="00BC01BD"/>
    <w:rsid w:val="00BC0739"/>
    <w:rsid w:val="00BC5F23"/>
    <w:rsid w:val="00BD3AF4"/>
    <w:rsid w:val="00BD6414"/>
    <w:rsid w:val="00BD68C0"/>
    <w:rsid w:val="00BE0489"/>
    <w:rsid w:val="00BF4CE3"/>
    <w:rsid w:val="00BF65E0"/>
    <w:rsid w:val="00C0166E"/>
    <w:rsid w:val="00C130FC"/>
    <w:rsid w:val="00C13D19"/>
    <w:rsid w:val="00C149A4"/>
    <w:rsid w:val="00C16A16"/>
    <w:rsid w:val="00C20399"/>
    <w:rsid w:val="00C22ED4"/>
    <w:rsid w:val="00C30EBF"/>
    <w:rsid w:val="00C37F67"/>
    <w:rsid w:val="00C71527"/>
    <w:rsid w:val="00C9170F"/>
    <w:rsid w:val="00CA16B2"/>
    <w:rsid w:val="00CB05EE"/>
    <w:rsid w:val="00CC0777"/>
    <w:rsid w:val="00CC2991"/>
    <w:rsid w:val="00CD40C9"/>
    <w:rsid w:val="00CD5281"/>
    <w:rsid w:val="00CD6DB8"/>
    <w:rsid w:val="00CF0F9D"/>
    <w:rsid w:val="00CF20F9"/>
    <w:rsid w:val="00CF74C4"/>
    <w:rsid w:val="00D02A56"/>
    <w:rsid w:val="00D031C6"/>
    <w:rsid w:val="00D06FB5"/>
    <w:rsid w:val="00D075D6"/>
    <w:rsid w:val="00D16FAE"/>
    <w:rsid w:val="00D246E7"/>
    <w:rsid w:val="00D3771D"/>
    <w:rsid w:val="00D431F3"/>
    <w:rsid w:val="00D44043"/>
    <w:rsid w:val="00D515EA"/>
    <w:rsid w:val="00D5713A"/>
    <w:rsid w:val="00D66EB9"/>
    <w:rsid w:val="00D7494A"/>
    <w:rsid w:val="00D86A87"/>
    <w:rsid w:val="00D86F28"/>
    <w:rsid w:val="00D94933"/>
    <w:rsid w:val="00DA14AE"/>
    <w:rsid w:val="00DA6EE7"/>
    <w:rsid w:val="00DB2461"/>
    <w:rsid w:val="00DC6178"/>
    <w:rsid w:val="00DC6B97"/>
    <w:rsid w:val="00DD77BC"/>
    <w:rsid w:val="00DD79B9"/>
    <w:rsid w:val="00DE031C"/>
    <w:rsid w:val="00DE1BD0"/>
    <w:rsid w:val="00E07E9C"/>
    <w:rsid w:val="00E1559A"/>
    <w:rsid w:val="00E1586A"/>
    <w:rsid w:val="00E40273"/>
    <w:rsid w:val="00E550A3"/>
    <w:rsid w:val="00E610E9"/>
    <w:rsid w:val="00E70673"/>
    <w:rsid w:val="00E70E1F"/>
    <w:rsid w:val="00E73CCC"/>
    <w:rsid w:val="00E77E48"/>
    <w:rsid w:val="00E8012D"/>
    <w:rsid w:val="00E83B93"/>
    <w:rsid w:val="00E87323"/>
    <w:rsid w:val="00E909B7"/>
    <w:rsid w:val="00EA038B"/>
    <w:rsid w:val="00EA3C2F"/>
    <w:rsid w:val="00EA5187"/>
    <w:rsid w:val="00EA5F80"/>
    <w:rsid w:val="00EB7050"/>
    <w:rsid w:val="00EC17D6"/>
    <w:rsid w:val="00EC1F01"/>
    <w:rsid w:val="00EC3E4F"/>
    <w:rsid w:val="00EC4F79"/>
    <w:rsid w:val="00ED13D3"/>
    <w:rsid w:val="00ED4FC2"/>
    <w:rsid w:val="00ED68B8"/>
    <w:rsid w:val="00EF3E24"/>
    <w:rsid w:val="00EF3E6B"/>
    <w:rsid w:val="00EF6145"/>
    <w:rsid w:val="00F01407"/>
    <w:rsid w:val="00F13D23"/>
    <w:rsid w:val="00F17F2D"/>
    <w:rsid w:val="00F23E47"/>
    <w:rsid w:val="00F431E3"/>
    <w:rsid w:val="00F43CFF"/>
    <w:rsid w:val="00F45282"/>
    <w:rsid w:val="00F45974"/>
    <w:rsid w:val="00F50635"/>
    <w:rsid w:val="00F554F4"/>
    <w:rsid w:val="00F572B7"/>
    <w:rsid w:val="00F801A0"/>
    <w:rsid w:val="00F86959"/>
    <w:rsid w:val="00F97C6C"/>
    <w:rsid w:val="00FA65E3"/>
    <w:rsid w:val="00FA66FB"/>
    <w:rsid w:val="00FA7424"/>
    <w:rsid w:val="00FB4D74"/>
    <w:rsid w:val="00FC021A"/>
    <w:rsid w:val="00FD6B5B"/>
    <w:rsid w:val="00FF3BEC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B01E1717-A6F8-4940-B242-37C2BF78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C05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F7389"/>
    <w:pPr>
      <w:keepNext/>
      <w:outlineLvl w:val="3"/>
    </w:pPr>
    <w:rPr>
      <w:rFonts w:cs="Arial"/>
      <w:sz w:val="32"/>
      <w:szCs w:val="40"/>
      <w:lang w:val="sr-Cyrl-CS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xl24">
    <w:name w:val="xl24"/>
    <w:basedOn w:val="Normal"/>
    <w:rsid w:val="00561B79"/>
    <w:pPr>
      <w:spacing w:before="100" w:beforeAutospacing="1" w:after="100" w:afterAutospacing="1"/>
    </w:pPr>
    <w:rPr>
      <w:rFonts w:ascii="Arial Cirilica" w:eastAsia="Arial Unicode MS" w:hAnsi="Arial Cirilica" w:cs="Arial Unicode MS"/>
      <w:sz w:val="24"/>
    </w:rPr>
  </w:style>
  <w:style w:type="paragraph" w:customStyle="1" w:styleId="FR3">
    <w:name w:val="FR3"/>
    <w:rsid w:val="00561B79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character" w:styleId="PageNumber">
    <w:name w:val="page number"/>
    <w:basedOn w:val="DefaultParagraphFont"/>
    <w:rsid w:val="00561B79"/>
  </w:style>
  <w:style w:type="character" w:styleId="Hyperlink">
    <w:name w:val="Hyperlink"/>
    <w:uiPriority w:val="99"/>
    <w:unhideWhenUsed/>
    <w:rsid w:val="005324E0"/>
    <w:rPr>
      <w:color w:val="0000FF"/>
      <w:u w:val="single"/>
    </w:rPr>
  </w:style>
  <w:style w:type="character" w:styleId="FollowedHyperlink">
    <w:name w:val="FollowedHyperlink"/>
    <w:uiPriority w:val="99"/>
    <w:unhideWhenUsed/>
    <w:rsid w:val="005324E0"/>
    <w:rPr>
      <w:color w:val="800080"/>
      <w:u w:val="single"/>
    </w:rPr>
  </w:style>
  <w:style w:type="character" w:customStyle="1" w:styleId="algo-summary">
    <w:name w:val="algo-summary"/>
    <w:basedOn w:val="DefaultParagraphFont"/>
    <w:rsid w:val="00546E24"/>
  </w:style>
  <w:style w:type="character" w:customStyle="1" w:styleId="alt-edited">
    <w:name w:val="alt-edited"/>
    <w:basedOn w:val="DefaultParagraphFont"/>
    <w:rsid w:val="005F189E"/>
  </w:style>
  <w:style w:type="paragraph" w:styleId="ListParagraph">
    <w:name w:val="List Paragraph"/>
    <w:basedOn w:val="Normal"/>
    <w:uiPriority w:val="34"/>
    <w:qFormat/>
    <w:rsid w:val="005F189E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25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dana.milosevic.STATSRB\Desktop\Saop&#353;tenja\MustraSaopSC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MustraSaopSCir</Template>
  <TotalTime>12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Dragana Steljic</cp:lastModifiedBy>
  <cp:revision>6</cp:revision>
  <cp:lastPrinted>2014-11-18T06:00:00Z</cp:lastPrinted>
  <dcterms:created xsi:type="dcterms:W3CDTF">2020-06-18T09:39:00Z</dcterms:created>
  <dcterms:modified xsi:type="dcterms:W3CDTF">2020-06-18T12:13:00Z</dcterms:modified>
</cp:coreProperties>
</file>