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C744B7" w:rsidRPr="00147DEF" w:rsidTr="003D470F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C744B7" w:rsidRPr="00147DEF" w:rsidRDefault="00C744B7" w:rsidP="003D470F">
            <w:pPr>
              <w:rPr>
                <w:rFonts w:cs="Arial"/>
                <w:color w:val="808080"/>
                <w:szCs w:val="20"/>
              </w:rPr>
            </w:pPr>
            <w:r w:rsidRPr="00147DEF">
              <w:rPr>
                <w:color w:val="808080"/>
                <w:sz w:val="8"/>
                <w:szCs w:val="8"/>
              </w:rPr>
              <w:t xml:space="preserve">                    </w:t>
            </w:r>
            <w:r w:rsidRPr="00147DEF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0AFEFF77" wp14:editId="739B1E37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7" name="Picture 7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DEF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20E327B5" wp14:editId="45770AD1">
                      <wp:extent cx="904240" cy="220980"/>
                      <wp:effectExtent l="0" t="0" r="0" b="0"/>
                      <wp:docPr id="6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9BAE09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fhsg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C744B7" w:rsidRPr="00147DEF" w:rsidRDefault="00C744B7" w:rsidP="003D470F">
            <w:pPr>
              <w:rPr>
                <w:rFonts w:cs="Arial"/>
                <w:szCs w:val="20"/>
              </w:rPr>
            </w:pPr>
            <w:r w:rsidRPr="00147DEF">
              <w:rPr>
                <w:rFonts w:cs="Arial"/>
                <w:szCs w:val="20"/>
              </w:rPr>
              <w:t>Republic of Serbia</w:t>
            </w:r>
          </w:p>
          <w:p w:rsidR="00C744B7" w:rsidRPr="00147DEF" w:rsidRDefault="00C744B7" w:rsidP="003D470F">
            <w:pPr>
              <w:rPr>
                <w:rFonts w:cs="Arial"/>
                <w:szCs w:val="20"/>
              </w:rPr>
            </w:pPr>
            <w:r w:rsidRPr="00147DEF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C744B7" w:rsidRPr="00147DEF" w:rsidRDefault="00C744B7" w:rsidP="003D470F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147DEF">
              <w:rPr>
                <w:rFonts w:cs="Arial"/>
                <w:szCs w:val="20"/>
              </w:rPr>
              <w:t>ISSN 0353-9555</w:t>
            </w:r>
          </w:p>
        </w:tc>
      </w:tr>
      <w:tr w:rsidR="00C744B7" w:rsidRPr="00147DEF" w:rsidTr="003D470F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744B7" w:rsidRPr="00147DEF" w:rsidRDefault="00C744B7" w:rsidP="003D470F">
            <w:pPr>
              <w:rPr>
                <w:color w:val="808080"/>
                <w:szCs w:val="20"/>
              </w:rPr>
            </w:pPr>
            <w:r w:rsidRPr="00147DEF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744B7" w:rsidRPr="00C744B7" w:rsidRDefault="00C744B7" w:rsidP="00C744B7">
            <w:pPr>
              <w:jc w:val="right"/>
              <w:rPr>
                <w:b/>
                <w:color w:val="808080"/>
                <w:sz w:val="12"/>
                <w:lang w:val="en-US"/>
              </w:rPr>
            </w:pPr>
            <w:r w:rsidRPr="00147DEF">
              <w:rPr>
                <w:rFonts w:cs="Arial"/>
                <w:b/>
                <w:bCs/>
                <w:color w:val="808080"/>
                <w:sz w:val="48"/>
                <w:szCs w:val="48"/>
              </w:rPr>
              <w:t>DD</w:t>
            </w:r>
            <w:r>
              <w:rPr>
                <w:rFonts w:cs="Arial"/>
                <w:b/>
                <w:bCs/>
                <w:color w:val="808080"/>
                <w:sz w:val="48"/>
                <w:szCs w:val="48"/>
                <w:lang w:val="en-US"/>
              </w:rPr>
              <w:t>51</w:t>
            </w:r>
          </w:p>
        </w:tc>
      </w:tr>
      <w:tr w:rsidR="00C744B7" w:rsidRPr="00147DEF" w:rsidTr="003D470F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4B7" w:rsidRPr="002D3755" w:rsidRDefault="00C744B7" w:rsidP="002D3755">
            <w:pPr>
              <w:rPr>
                <w:rFonts w:cs="Arial"/>
                <w:szCs w:val="20"/>
                <w:lang w:val="sr-Latn-RS"/>
              </w:rPr>
            </w:pPr>
            <w:r w:rsidRPr="00147DEF">
              <w:rPr>
                <w:rFonts w:cs="Arial"/>
                <w:szCs w:val="20"/>
              </w:rPr>
              <w:t xml:space="preserve">Number </w:t>
            </w:r>
            <w:r w:rsidR="00921172">
              <w:rPr>
                <w:rFonts w:cs="Arial"/>
                <w:szCs w:val="20"/>
                <w:lang w:val="en-US"/>
              </w:rPr>
              <w:t>159</w:t>
            </w:r>
            <w:r w:rsidRPr="00147DEF">
              <w:rPr>
                <w:rFonts w:cs="Arial"/>
                <w:szCs w:val="20"/>
              </w:rPr>
              <w:t xml:space="preserve"> - Year LX</w:t>
            </w:r>
            <w:r w:rsidR="00921172">
              <w:rPr>
                <w:rFonts w:cs="Arial"/>
                <w:szCs w:val="20"/>
                <w:lang w:val="sr-Latn-RS"/>
              </w:rPr>
              <w:t>X</w:t>
            </w:r>
            <w:r w:rsidRPr="00147DEF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  <w:lang w:val="en-US"/>
              </w:rPr>
              <w:t>2</w:t>
            </w:r>
            <w:r w:rsidR="002D3755">
              <w:rPr>
                <w:rFonts w:cs="Arial"/>
                <w:szCs w:val="20"/>
                <w:lang w:val="en-US"/>
              </w:rPr>
              <w:t>9</w:t>
            </w:r>
            <w:r w:rsidRPr="00147DEF">
              <w:rPr>
                <w:rFonts w:cs="Arial"/>
                <w:szCs w:val="20"/>
              </w:rPr>
              <w:t>.0</w:t>
            </w:r>
            <w:r>
              <w:rPr>
                <w:rFonts w:cs="Arial"/>
                <w:szCs w:val="20"/>
                <w:lang w:val="en-US"/>
              </w:rPr>
              <w:t>6</w:t>
            </w:r>
            <w:r w:rsidRPr="00147DEF">
              <w:rPr>
                <w:rFonts w:cs="Arial"/>
                <w:szCs w:val="20"/>
              </w:rPr>
              <w:t>.</w:t>
            </w:r>
            <w:r w:rsidR="002D3755">
              <w:rPr>
                <w:rFonts w:cs="Arial"/>
                <w:szCs w:val="20"/>
                <w:lang w:val="sr-Latn-RS"/>
              </w:rPr>
              <w:t>2020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4B7" w:rsidRPr="00147DEF" w:rsidRDefault="00C744B7" w:rsidP="003D470F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C744B7" w:rsidRPr="00147DEF" w:rsidTr="003D470F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C744B7" w:rsidRPr="00147DEF" w:rsidRDefault="00C744B7" w:rsidP="003D470F">
            <w:pPr>
              <w:rPr>
                <w:b/>
                <w:bCs/>
                <w:sz w:val="24"/>
              </w:rPr>
            </w:pPr>
            <w:r w:rsidRPr="00147DEF">
              <w:rPr>
                <w:rFonts w:cs="Arial"/>
                <w:b/>
                <w:bCs/>
                <w:sz w:val="24"/>
              </w:rPr>
              <w:t>Education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C744B7" w:rsidRPr="00C744B7" w:rsidRDefault="00C744B7" w:rsidP="002D3755">
            <w:pPr>
              <w:jc w:val="right"/>
              <w:rPr>
                <w:b/>
                <w:szCs w:val="20"/>
                <w:lang w:val="en-US"/>
              </w:rPr>
            </w:pPr>
            <w:r w:rsidRPr="00147DEF">
              <w:rPr>
                <w:rFonts w:cs="Arial"/>
                <w:szCs w:val="20"/>
              </w:rPr>
              <w:t>SERB</w:t>
            </w:r>
            <w:r>
              <w:rPr>
                <w:rFonts w:cs="Arial"/>
                <w:szCs w:val="20"/>
                <w:lang w:val="en-US"/>
              </w:rPr>
              <w:t>1</w:t>
            </w:r>
            <w:r w:rsidR="00921172">
              <w:rPr>
                <w:rFonts w:cs="Arial"/>
                <w:szCs w:val="20"/>
                <w:lang w:val="en-US"/>
              </w:rPr>
              <w:t>59</w:t>
            </w:r>
            <w:r w:rsidRPr="00147DEF">
              <w:rPr>
                <w:rFonts w:cs="Arial"/>
                <w:szCs w:val="20"/>
              </w:rPr>
              <w:t xml:space="preserve"> DD</w:t>
            </w:r>
            <w:r>
              <w:rPr>
                <w:rFonts w:cs="Arial"/>
                <w:szCs w:val="20"/>
                <w:lang w:val="en-US"/>
              </w:rPr>
              <w:t>51</w:t>
            </w:r>
            <w:r w:rsidRPr="00147DEF">
              <w:rPr>
                <w:rFonts w:cs="Arial"/>
                <w:szCs w:val="20"/>
              </w:rPr>
              <w:t xml:space="preserve"> </w:t>
            </w:r>
            <w:r w:rsidR="002D3755">
              <w:rPr>
                <w:rFonts w:cs="Arial"/>
                <w:szCs w:val="20"/>
                <w:lang w:val="en-US"/>
              </w:rPr>
              <w:t>290620</w:t>
            </w:r>
          </w:p>
        </w:tc>
      </w:tr>
    </w:tbl>
    <w:p w:rsidR="0009739A" w:rsidRPr="00D57C56" w:rsidRDefault="0009739A" w:rsidP="00C82D08">
      <w:pPr>
        <w:pStyle w:val="Heading8"/>
        <w:spacing w:before="480"/>
        <w:rPr>
          <w:sz w:val="24"/>
          <w:lang w:val="en-GB"/>
        </w:rPr>
      </w:pPr>
      <w:r w:rsidRPr="00D57C56">
        <w:rPr>
          <w:sz w:val="24"/>
          <w:lang w:val="en-GB"/>
        </w:rPr>
        <w:t xml:space="preserve">Upper secondary education </w:t>
      </w:r>
    </w:p>
    <w:p w:rsidR="001C0C7C" w:rsidRPr="00D57C56" w:rsidRDefault="00C70B72" w:rsidP="00E307F1">
      <w:pPr>
        <w:tabs>
          <w:tab w:val="left" w:pos="3456"/>
        </w:tabs>
        <w:spacing w:before="120" w:after="360"/>
        <w:jc w:val="center"/>
        <w:rPr>
          <w:rFonts w:cs="Arial"/>
          <w:b/>
          <w:bCs/>
          <w:sz w:val="22"/>
          <w:szCs w:val="22"/>
          <w:lang w:val="sr-Cyrl-CS"/>
        </w:rPr>
      </w:pPr>
      <w:r w:rsidRPr="00D57C56">
        <w:rPr>
          <w:rFonts w:cs="Arial"/>
          <w:b/>
          <w:bCs/>
          <w:sz w:val="22"/>
          <w:szCs w:val="22"/>
          <w:lang w:val="sr-Cyrl-CS"/>
        </w:rPr>
        <w:t>–</w:t>
      </w:r>
      <w:r w:rsidR="001C0C7C" w:rsidRPr="00D57C56">
        <w:rPr>
          <w:rFonts w:cs="Arial"/>
          <w:b/>
          <w:bCs/>
          <w:sz w:val="22"/>
          <w:szCs w:val="22"/>
          <w:lang w:val="sr-Cyrl-CS"/>
        </w:rPr>
        <w:t xml:space="preserve"> </w:t>
      </w:r>
      <w:r w:rsidR="002E4E70" w:rsidRPr="00D57C56">
        <w:rPr>
          <w:rFonts w:cs="Arial"/>
          <w:b/>
          <w:bCs/>
          <w:sz w:val="22"/>
          <w:szCs w:val="22"/>
          <w:lang w:val="en-US"/>
        </w:rPr>
        <w:t>A</w:t>
      </w:r>
      <w:r w:rsidR="00EE7866" w:rsidRPr="00D57C56">
        <w:rPr>
          <w:rFonts w:cs="Arial"/>
          <w:b/>
          <w:bCs/>
          <w:sz w:val="22"/>
          <w:szCs w:val="22"/>
          <w:lang w:val="en-US"/>
        </w:rPr>
        <w:t>t the end of</w:t>
      </w:r>
      <w:r w:rsidR="005D67DB" w:rsidRPr="00D57C56">
        <w:rPr>
          <w:rFonts w:cs="Arial"/>
          <w:b/>
          <w:bCs/>
          <w:sz w:val="22"/>
          <w:szCs w:val="22"/>
          <w:lang w:val="sr-Cyrl-CS"/>
        </w:rPr>
        <w:t xml:space="preserve"> 201</w:t>
      </w:r>
      <w:r w:rsidR="006F0626" w:rsidRPr="00D57C56">
        <w:rPr>
          <w:rFonts w:cs="Arial"/>
          <w:b/>
          <w:bCs/>
          <w:sz w:val="22"/>
          <w:szCs w:val="22"/>
          <w:lang w:val="en-US"/>
        </w:rPr>
        <w:t>8</w:t>
      </w:r>
      <w:r w:rsidR="00606DB9" w:rsidRPr="00D57C56">
        <w:rPr>
          <w:rFonts w:cs="Arial"/>
          <w:b/>
          <w:bCs/>
          <w:sz w:val="22"/>
          <w:szCs w:val="22"/>
          <w:lang w:val="sr-Cyrl-CS"/>
        </w:rPr>
        <w:t>/</w:t>
      </w:r>
      <w:r w:rsidR="005D67DB" w:rsidRPr="00D57C56">
        <w:rPr>
          <w:rFonts w:cs="Arial"/>
          <w:b/>
          <w:bCs/>
          <w:sz w:val="22"/>
          <w:szCs w:val="22"/>
          <w:lang w:val="sr-Cyrl-CS"/>
        </w:rPr>
        <w:t>1</w:t>
      </w:r>
      <w:r w:rsidR="006F0626" w:rsidRPr="00D57C56">
        <w:rPr>
          <w:rFonts w:cs="Arial"/>
          <w:b/>
          <w:bCs/>
          <w:sz w:val="22"/>
          <w:szCs w:val="22"/>
          <w:lang w:val="en-US"/>
        </w:rPr>
        <w:t>9</w:t>
      </w:r>
      <w:r w:rsidR="00EE7866" w:rsidRPr="00D57C56">
        <w:rPr>
          <w:rFonts w:cs="Arial"/>
          <w:b/>
          <w:bCs/>
          <w:sz w:val="22"/>
          <w:szCs w:val="22"/>
          <w:lang w:val="sr-Latn-RS"/>
        </w:rPr>
        <w:t xml:space="preserve"> </w:t>
      </w:r>
      <w:r w:rsidR="0009739A" w:rsidRPr="00D57C56">
        <w:rPr>
          <w:rFonts w:cs="Arial"/>
          <w:b/>
          <w:bCs/>
          <w:sz w:val="22"/>
          <w:szCs w:val="22"/>
          <w:lang w:val="sr-Latn-RS"/>
        </w:rPr>
        <w:t>school</w:t>
      </w:r>
      <w:r w:rsidR="00EE7866" w:rsidRPr="00D57C56">
        <w:rPr>
          <w:rFonts w:cs="Arial"/>
          <w:b/>
          <w:bCs/>
          <w:sz w:val="22"/>
          <w:szCs w:val="22"/>
          <w:lang w:val="sr-Latn-RS"/>
        </w:rPr>
        <w:t xml:space="preserve"> year</w:t>
      </w:r>
      <w:r w:rsidR="001C0C7C" w:rsidRPr="00D57C56">
        <w:rPr>
          <w:rFonts w:cs="Arial"/>
          <w:b/>
          <w:bCs/>
          <w:sz w:val="22"/>
          <w:szCs w:val="22"/>
          <w:lang w:val="sr-Cyrl-CS"/>
        </w:rPr>
        <w:t xml:space="preserve"> </w:t>
      </w:r>
      <w:r w:rsidRPr="00D57C56">
        <w:rPr>
          <w:rFonts w:cs="Arial"/>
          <w:b/>
          <w:bCs/>
          <w:sz w:val="22"/>
          <w:szCs w:val="22"/>
          <w:lang w:val="sr-Cyrl-CS"/>
        </w:rPr>
        <w:t>–</w:t>
      </w:r>
    </w:p>
    <w:p w:rsidR="00E3719C" w:rsidRPr="00FE6FFD" w:rsidRDefault="00EE7866" w:rsidP="00B20512">
      <w:pPr>
        <w:spacing w:before="120" w:after="120"/>
        <w:ind w:firstLine="397"/>
        <w:jc w:val="both"/>
        <w:rPr>
          <w:rFonts w:cs="Arial"/>
          <w:szCs w:val="20"/>
        </w:rPr>
      </w:pPr>
      <w:r w:rsidRPr="00D57C56">
        <w:rPr>
          <w:rFonts w:cs="Arial"/>
          <w:szCs w:val="20"/>
          <w:lang w:val="sr-Latn-RS"/>
        </w:rPr>
        <w:t>In the</w:t>
      </w:r>
      <w:r w:rsidR="00F04407" w:rsidRPr="00D57C56">
        <w:rPr>
          <w:rFonts w:cs="Arial"/>
          <w:szCs w:val="20"/>
        </w:rPr>
        <w:t xml:space="preserve"> 201</w:t>
      </w:r>
      <w:r w:rsidR="006F0626" w:rsidRPr="00D57C56">
        <w:rPr>
          <w:rFonts w:cs="Arial"/>
          <w:szCs w:val="20"/>
          <w:lang w:val="sr-Latn-RS"/>
        </w:rPr>
        <w:t>8</w:t>
      </w:r>
      <w:r w:rsidR="00F04407" w:rsidRPr="00D57C56">
        <w:rPr>
          <w:rFonts w:cs="Arial"/>
          <w:szCs w:val="20"/>
        </w:rPr>
        <w:t>/1</w:t>
      </w:r>
      <w:r w:rsidR="006F0626" w:rsidRPr="00D57C56">
        <w:rPr>
          <w:rFonts w:cs="Arial"/>
          <w:szCs w:val="20"/>
          <w:lang w:val="sr-Latn-RS"/>
        </w:rPr>
        <w:t>9</w:t>
      </w:r>
      <w:r w:rsidRPr="00D57C56">
        <w:rPr>
          <w:rFonts w:cs="Arial"/>
          <w:szCs w:val="20"/>
        </w:rPr>
        <w:t xml:space="preserve"> </w:t>
      </w:r>
      <w:r w:rsidR="0009739A" w:rsidRPr="00D57C56">
        <w:rPr>
          <w:rFonts w:cs="Arial"/>
          <w:szCs w:val="20"/>
          <w:lang w:val="sr-Latn-RS"/>
        </w:rPr>
        <w:t>school</w:t>
      </w:r>
      <w:r w:rsidRPr="00D57C56">
        <w:rPr>
          <w:rFonts w:cs="Arial"/>
          <w:szCs w:val="20"/>
        </w:rPr>
        <w:t xml:space="preserve"> year in</w:t>
      </w:r>
      <w:r w:rsidR="001F187B" w:rsidRPr="00D57C56">
        <w:rPr>
          <w:rFonts w:cs="Arial"/>
          <w:szCs w:val="20"/>
        </w:rPr>
        <w:t xml:space="preserve"> </w:t>
      </w:r>
      <w:r w:rsidR="006F0626" w:rsidRPr="00D57C56">
        <w:rPr>
          <w:rFonts w:cs="Arial"/>
          <w:szCs w:val="20"/>
          <w:lang w:val="sr-Latn-RS"/>
        </w:rPr>
        <w:t>51</w:t>
      </w:r>
      <w:r w:rsidR="00474B3B">
        <w:rPr>
          <w:rFonts w:cs="Arial"/>
          <w:szCs w:val="20"/>
          <w:lang w:val="sr-Latn-RS"/>
        </w:rPr>
        <w:t>5</w:t>
      </w:r>
      <w:r w:rsidR="00F04407" w:rsidRPr="00D57C56">
        <w:rPr>
          <w:rFonts w:cs="Arial"/>
          <w:szCs w:val="20"/>
          <w:lang w:val="sr-Latn-RS"/>
        </w:rPr>
        <w:t xml:space="preserve"> </w:t>
      </w:r>
      <w:r w:rsidRPr="00D57C56">
        <w:rPr>
          <w:rFonts w:cs="Arial"/>
          <w:szCs w:val="20"/>
          <w:lang w:val="sr-Latn-RS"/>
        </w:rPr>
        <w:t xml:space="preserve">regular </w:t>
      </w:r>
      <w:r w:rsidR="0009739A" w:rsidRPr="00D57C56">
        <w:rPr>
          <w:rFonts w:cs="Arial"/>
          <w:szCs w:val="20"/>
          <w:lang w:val="sr-Latn-RS"/>
        </w:rPr>
        <w:t>upper secondary</w:t>
      </w:r>
      <w:r w:rsidRPr="00D57C56">
        <w:rPr>
          <w:rFonts w:cs="Arial"/>
          <w:szCs w:val="20"/>
          <w:lang w:val="sr-Latn-RS"/>
        </w:rPr>
        <w:t xml:space="preserve"> schools</w:t>
      </w:r>
      <w:r w:rsidR="00921EB8" w:rsidRPr="00D57C56">
        <w:rPr>
          <w:rFonts w:cs="Arial"/>
          <w:szCs w:val="20"/>
        </w:rPr>
        <w:t xml:space="preserve"> </w:t>
      </w:r>
      <w:r w:rsidR="006F0626" w:rsidRPr="00D57C56">
        <w:rPr>
          <w:rFonts w:cs="Arial"/>
          <w:szCs w:val="20"/>
          <w:lang w:val="sr-Latn-RS"/>
        </w:rPr>
        <w:t>249</w:t>
      </w:r>
      <w:r w:rsidR="00D57C56">
        <w:rPr>
          <w:rFonts w:cs="Arial"/>
          <w:szCs w:val="20"/>
          <w:lang w:val="sr-Latn-RS"/>
        </w:rPr>
        <w:t> </w:t>
      </w:r>
      <w:r w:rsidR="006F0626" w:rsidRPr="00D57C56">
        <w:rPr>
          <w:rFonts w:cs="Arial"/>
          <w:szCs w:val="20"/>
          <w:lang w:val="sr-Latn-RS"/>
        </w:rPr>
        <w:t>455</w:t>
      </w:r>
      <w:r w:rsidRPr="00D57C56">
        <w:rPr>
          <w:rFonts w:cs="Arial"/>
          <w:szCs w:val="20"/>
        </w:rPr>
        <w:t xml:space="preserve"> students attended classes</w:t>
      </w:r>
      <w:r w:rsidR="00B20512" w:rsidRPr="00D57C56">
        <w:rPr>
          <w:rFonts w:cs="Arial"/>
          <w:szCs w:val="20"/>
          <w:lang w:val="sr-Latn-RS"/>
        </w:rPr>
        <w:t xml:space="preserve">, </w:t>
      </w:r>
      <w:r w:rsidR="00B20512" w:rsidRPr="00D57C56">
        <w:rPr>
          <w:rFonts w:cs="Arial"/>
          <w:szCs w:val="20"/>
        </w:rPr>
        <w:t>12</w:t>
      </w:r>
      <w:r w:rsidR="006F0626" w:rsidRPr="00D57C56">
        <w:rPr>
          <w:rFonts w:cs="Arial"/>
          <w:szCs w:val="20"/>
          <w:lang w:val="sr-Latn-RS"/>
        </w:rPr>
        <w:t>3</w:t>
      </w:r>
      <w:r w:rsidR="00D57C56">
        <w:rPr>
          <w:rFonts w:cs="Arial"/>
          <w:szCs w:val="20"/>
          <w:lang w:val="sr-Latn-RS"/>
        </w:rPr>
        <w:t> </w:t>
      </w:r>
      <w:r w:rsidR="006F0626" w:rsidRPr="00D57C56">
        <w:rPr>
          <w:rFonts w:cs="Arial"/>
          <w:szCs w:val="20"/>
          <w:lang w:val="sr-Latn-RS"/>
        </w:rPr>
        <w:t>838</w:t>
      </w:r>
      <w:r w:rsidRPr="00D57C56">
        <w:rPr>
          <w:rFonts w:cs="Arial"/>
          <w:szCs w:val="20"/>
        </w:rPr>
        <w:t xml:space="preserve"> girls</w:t>
      </w:r>
      <w:r w:rsidR="00B20512" w:rsidRPr="00D57C56">
        <w:rPr>
          <w:rFonts w:cs="Arial"/>
          <w:szCs w:val="20"/>
        </w:rPr>
        <w:t xml:space="preserve"> (49</w:t>
      </w:r>
      <w:r w:rsidRPr="00D57C56">
        <w:rPr>
          <w:rFonts w:cs="Arial"/>
          <w:szCs w:val="20"/>
          <w:lang w:val="sr-Latn-RS"/>
        </w:rPr>
        <w:t>.</w:t>
      </w:r>
      <w:r w:rsidR="00921EB8" w:rsidRPr="00D57C56">
        <w:rPr>
          <w:rFonts w:cs="Arial"/>
          <w:szCs w:val="20"/>
          <w:lang w:val="sr-Latn-RS"/>
        </w:rPr>
        <w:t>6</w:t>
      </w:r>
      <w:r w:rsidR="00B20512" w:rsidRPr="00D57C56">
        <w:rPr>
          <w:rFonts w:cs="Arial"/>
          <w:szCs w:val="20"/>
        </w:rPr>
        <w:t>%)</w:t>
      </w:r>
      <w:r w:rsidR="00CC06F3" w:rsidRPr="00D57C56">
        <w:rPr>
          <w:rFonts w:cs="Arial"/>
          <w:szCs w:val="20"/>
        </w:rPr>
        <w:t>,</w:t>
      </w:r>
      <w:r w:rsidR="00B20512" w:rsidRPr="00D57C56">
        <w:rPr>
          <w:rFonts w:cs="Arial"/>
          <w:szCs w:val="20"/>
          <w:lang w:val="sr-Latn-RS"/>
        </w:rPr>
        <w:t xml:space="preserve"> </w:t>
      </w:r>
      <w:r w:rsidRPr="00D57C56">
        <w:rPr>
          <w:rFonts w:cs="Arial"/>
          <w:szCs w:val="20"/>
        </w:rPr>
        <w:t>12</w:t>
      </w:r>
      <w:r w:rsidR="006F0626" w:rsidRPr="00D57C56">
        <w:rPr>
          <w:rFonts w:cs="Arial"/>
          <w:szCs w:val="20"/>
          <w:lang w:val="sr-Latn-RS"/>
        </w:rPr>
        <w:t>5</w:t>
      </w:r>
      <w:r w:rsidR="00D57C56">
        <w:rPr>
          <w:rFonts w:cs="Arial"/>
          <w:szCs w:val="20"/>
          <w:lang w:val="sr-Latn-RS"/>
        </w:rPr>
        <w:t> </w:t>
      </w:r>
      <w:r w:rsidR="006F0626" w:rsidRPr="00D57C56">
        <w:rPr>
          <w:rFonts w:cs="Arial"/>
          <w:szCs w:val="20"/>
          <w:lang w:val="sr-Latn-RS"/>
        </w:rPr>
        <w:t>617</w:t>
      </w:r>
      <w:r w:rsidRPr="00D57C56">
        <w:rPr>
          <w:rFonts w:cs="Arial"/>
          <w:szCs w:val="20"/>
        </w:rPr>
        <w:t xml:space="preserve"> boys</w:t>
      </w:r>
      <w:r w:rsidR="00B20512" w:rsidRPr="00D57C56">
        <w:rPr>
          <w:rFonts w:cs="Arial"/>
          <w:szCs w:val="20"/>
        </w:rPr>
        <w:t xml:space="preserve"> (50</w:t>
      </w:r>
      <w:r w:rsidRPr="00D57C56">
        <w:rPr>
          <w:rFonts w:cs="Arial"/>
          <w:szCs w:val="20"/>
          <w:lang w:val="sr-Latn-RS"/>
        </w:rPr>
        <w:t>.</w:t>
      </w:r>
      <w:r w:rsidR="00921EB8" w:rsidRPr="00D57C56">
        <w:rPr>
          <w:rFonts w:cs="Arial"/>
          <w:szCs w:val="20"/>
          <w:lang w:val="sr-Latn-RS"/>
        </w:rPr>
        <w:t>4</w:t>
      </w:r>
      <w:r w:rsidR="00B20512" w:rsidRPr="00D57C56">
        <w:rPr>
          <w:rFonts w:cs="Arial"/>
          <w:szCs w:val="20"/>
        </w:rPr>
        <w:t>%).</w:t>
      </w:r>
      <w:r w:rsidR="00B20512" w:rsidRPr="00D57C56">
        <w:rPr>
          <w:rFonts w:cs="Arial"/>
          <w:szCs w:val="20"/>
          <w:lang w:val="sr-Latn-RS"/>
        </w:rPr>
        <w:t xml:space="preserve"> </w:t>
      </w:r>
      <w:r w:rsidR="008000E8" w:rsidRPr="00D57C56">
        <w:rPr>
          <w:rFonts w:cs="Arial"/>
          <w:szCs w:val="20"/>
          <w:lang w:val="sr-Latn-RS"/>
        </w:rPr>
        <w:t>1</w:t>
      </w:r>
      <w:r w:rsidR="00D57C56">
        <w:rPr>
          <w:rFonts w:cs="Arial"/>
          <w:szCs w:val="20"/>
          <w:lang w:val="sr-Latn-RS"/>
        </w:rPr>
        <w:t> </w:t>
      </w:r>
      <w:r w:rsidR="006F0626" w:rsidRPr="00D57C56">
        <w:rPr>
          <w:rFonts w:cs="Arial"/>
          <w:szCs w:val="20"/>
          <w:lang w:val="sr-Latn-RS"/>
        </w:rPr>
        <w:t>965</w:t>
      </w:r>
      <w:r w:rsidR="008000E8" w:rsidRPr="00D57C56">
        <w:rPr>
          <w:rFonts w:cs="Arial"/>
          <w:szCs w:val="20"/>
          <w:lang w:val="sr-Latn-RS"/>
        </w:rPr>
        <w:t xml:space="preserve"> students atte</w:t>
      </w:r>
      <w:r w:rsidRPr="00D57C56">
        <w:rPr>
          <w:rFonts w:cs="Arial"/>
          <w:szCs w:val="20"/>
          <w:lang w:val="sr-Latn-RS"/>
        </w:rPr>
        <w:t xml:space="preserve">nded </w:t>
      </w:r>
      <w:r w:rsidR="008000E8" w:rsidRPr="00D57C56">
        <w:rPr>
          <w:rFonts w:cs="Arial"/>
          <w:szCs w:val="20"/>
          <w:lang w:val="en-US"/>
        </w:rPr>
        <w:t>s</w:t>
      </w:r>
      <w:r w:rsidRPr="00D57C56">
        <w:rPr>
          <w:rFonts w:cs="Arial"/>
          <w:szCs w:val="20"/>
          <w:lang w:val="en-US"/>
        </w:rPr>
        <w:t>chools</w:t>
      </w:r>
      <w:r w:rsidRPr="00D57C56">
        <w:rPr>
          <w:rFonts w:cs="Arial"/>
          <w:szCs w:val="20"/>
        </w:rPr>
        <w:t>/</w:t>
      </w:r>
      <w:r w:rsidR="008000E8" w:rsidRPr="00D57C56">
        <w:rPr>
          <w:rFonts w:cs="Arial"/>
          <w:szCs w:val="20"/>
          <w:lang w:val="en-US"/>
        </w:rPr>
        <w:t>d</w:t>
      </w:r>
      <w:r w:rsidRPr="00D57C56">
        <w:rPr>
          <w:rFonts w:cs="Arial"/>
          <w:szCs w:val="20"/>
          <w:lang w:val="en-US"/>
        </w:rPr>
        <w:t xml:space="preserve">epartments for children with </w:t>
      </w:r>
      <w:r w:rsidR="002E4E70" w:rsidRPr="00D57C56">
        <w:rPr>
          <w:rFonts w:cs="Arial"/>
          <w:szCs w:val="20"/>
          <w:lang w:val="en-US"/>
        </w:rPr>
        <w:t>disabilities</w:t>
      </w:r>
      <w:r w:rsidRPr="00D57C56">
        <w:rPr>
          <w:rFonts w:cs="Arial"/>
          <w:szCs w:val="20"/>
          <w:lang w:val="en-US"/>
        </w:rPr>
        <w:t xml:space="preserve"> </w:t>
      </w:r>
      <w:r w:rsidR="00CC06F3" w:rsidRPr="00D57C56">
        <w:rPr>
          <w:rFonts w:cs="Arial"/>
          <w:szCs w:val="20"/>
        </w:rPr>
        <w:t>(</w:t>
      </w:r>
      <w:r w:rsidR="00B20512" w:rsidRPr="00D57C56">
        <w:rPr>
          <w:rFonts w:cs="Arial"/>
          <w:szCs w:val="20"/>
        </w:rPr>
        <w:t>41</w:t>
      </w:r>
      <w:r w:rsidR="00CC06F3" w:rsidRPr="00D57C56">
        <w:rPr>
          <w:rFonts w:cs="Arial"/>
          <w:szCs w:val="20"/>
        </w:rPr>
        <w:t>)</w:t>
      </w:r>
      <w:r w:rsidR="00B20512" w:rsidRPr="00D57C56">
        <w:rPr>
          <w:rFonts w:cs="Arial"/>
          <w:szCs w:val="20"/>
        </w:rPr>
        <w:t>, 7</w:t>
      </w:r>
      <w:r w:rsidR="006F0626" w:rsidRPr="00D57C56">
        <w:rPr>
          <w:rFonts w:cs="Arial"/>
          <w:szCs w:val="20"/>
          <w:lang w:val="en-US"/>
        </w:rPr>
        <w:t>53</w:t>
      </w:r>
      <w:r w:rsidRPr="00D57C56">
        <w:rPr>
          <w:rFonts w:cs="Arial"/>
          <w:szCs w:val="20"/>
        </w:rPr>
        <w:t xml:space="preserve"> girls</w:t>
      </w:r>
      <w:r w:rsidR="00E3719C" w:rsidRPr="00D57C56">
        <w:rPr>
          <w:rFonts w:cs="Arial"/>
          <w:szCs w:val="20"/>
        </w:rPr>
        <w:t xml:space="preserve"> (</w:t>
      </w:r>
      <w:r w:rsidR="006F0626" w:rsidRPr="00D57C56">
        <w:rPr>
          <w:rFonts w:cs="Arial"/>
          <w:szCs w:val="20"/>
          <w:lang w:val="en-US"/>
        </w:rPr>
        <w:t>38.3</w:t>
      </w:r>
      <w:r w:rsidRPr="00D57C56">
        <w:rPr>
          <w:rFonts w:cs="Arial"/>
          <w:szCs w:val="20"/>
        </w:rPr>
        <w:t>%) and</w:t>
      </w:r>
      <w:r w:rsidR="00E3719C" w:rsidRPr="00D57C56">
        <w:rPr>
          <w:rFonts w:cs="Arial"/>
          <w:szCs w:val="20"/>
        </w:rPr>
        <w:t xml:space="preserve"> 1</w:t>
      </w:r>
      <w:r w:rsidR="00606DB9" w:rsidRPr="00D57C56">
        <w:rPr>
          <w:rFonts w:cs="Arial"/>
          <w:szCs w:val="20"/>
          <w:lang w:val="sr-Latn-RS"/>
        </w:rPr>
        <w:t xml:space="preserve"> </w:t>
      </w:r>
      <w:r w:rsidR="006F0626" w:rsidRPr="00D57C56">
        <w:rPr>
          <w:rFonts w:cs="Arial"/>
          <w:szCs w:val="20"/>
          <w:lang w:val="en-US"/>
        </w:rPr>
        <w:t>212</w:t>
      </w:r>
      <w:r w:rsidRPr="00D57C56">
        <w:rPr>
          <w:rFonts w:cs="Arial"/>
          <w:szCs w:val="20"/>
        </w:rPr>
        <w:t xml:space="preserve"> boys</w:t>
      </w:r>
      <w:r w:rsidR="00B20512" w:rsidRPr="00D57C56">
        <w:rPr>
          <w:rFonts w:cs="Arial"/>
          <w:szCs w:val="20"/>
        </w:rPr>
        <w:t xml:space="preserve"> (</w:t>
      </w:r>
      <w:r w:rsidR="00921EB8" w:rsidRPr="00D57C56">
        <w:rPr>
          <w:rFonts w:cs="Arial"/>
          <w:szCs w:val="20"/>
          <w:lang w:val="en-US"/>
        </w:rPr>
        <w:t>6</w:t>
      </w:r>
      <w:r w:rsidR="006F0626" w:rsidRPr="00D57C56">
        <w:rPr>
          <w:rFonts w:cs="Arial"/>
          <w:szCs w:val="20"/>
          <w:lang w:val="en-US"/>
        </w:rPr>
        <w:t>1.7</w:t>
      </w:r>
      <w:r w:rsidR="00E3719C" w:rsidRPr="00D57C56">
        <w:rPr>
          <w:rFonts w:cs="Arial"/>
          <w:szCs w:val="20"/>
        </w:rPr>
        <w:t>%).</w:t>
      </w:r>
    </w:p>
    <w:p w:rsidR="001B39B6" w:rsidRPr="00FE6FFD" w:rsidRDefault="001B39B6" w:rsidP="00E3719C">
      <w:pPr>
        <w:spacing w:before="120" w:after="120"/>
        <w:ind w:firstLine="397"/>
        <w:jc w:val="both"/>
        <w:rPr>
          <w:rFonts w:cs="Arial"/>
          <w:szCs w:val="20"/>
        </w:rPr>
      </w:pPr>
    </w:p>
    <w:p w:rsidR="00B20512" w:rsidRPr="00FE6FFD" w:rsidRDefault="001B39B6" w:rsidP="001B39B6">
      <w:pPr>
        <w:spacing w:before="120" w:after="120"/>
        <w:jc w:val="center"/>
        <w:rPr>
          <w:rFonts w:cs="Arial"/>
          <w:b/>
          <w:szCs w:val="20"/>
        </w:rPr>
      </w:pPr>
      <w:r w:rsidRPr="00FE6FFD">
        <w:rPr>
          <w:rFonts w:cs="Arial"/>
          <w:b/>
          <w:szCs w:val="20"/>
          <w:lang w:val="sr-Latn-RS"/>
        </w:rPr>
        <w:t>1</w:t>
      </w:r>
      <w:r w:rsidR="00B20512" w:rsidRPr="00FE6FFD">
        <w:rPr>
          <w:rFonts w:cs="Arial"/>
          <w:b/>
          <w:szCs w:val="20"/>
        </w:rPr>
        <w:t>.</w:t>
      </w:r>
      <w:r w:rsidR="00EE7866" w:rsidRPr="00FE6FFD">
        <w:rPr>
          <w:rFonts w:cs="Arial"/>
          <w:b/>
          <w:szCs w:val="20"/>
        </w:rPr>
        <w:t xml:space="preserve"> </w:t>
      </w:r>
      <w:r w:rsidR="002E4E70">
        <w:rPr>
          <w:rFonts w:cs="Arial"/>
          <w:b/>
          <w:bCs/>
          <w:color w:val="000000"/>
          <w:szCs w:val="20"/>
        </w:rPr>
        <w:t>U</w:t>
      </w:r>
      <w:r w:rsidR="002E4E70" w:rsidRPr="006304D8">
        <w:rPr>
          <w:rFonts w:cs="Arial"/>
          <w:b/>
          <w:bCs/>
          <w:color w:val="000000"/>
          <w:szCs w:val="20"/>
        </w:rPr>
        <w:t xml:space="preserve">pper secondary schools </w:t>
      </w:r>
      <w:r w:rsidR="00EE7866" w:rsidRPr="00FE6FFD">
        <w:rPr>
          <w:rFonts w:cs="Arial"/>
          <w:b/>
          <w:szCs w:val="20"/>
          <w:lang w:val="en-US"/>
        </w:rPr>
        <w:t>and students</w:t>
      </w:r>
    </w:p>
    <w:tbl>
      <w:tblPr>
        <w:tblW w:w="102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1"/>
        <w:gridCol w:w="905"/>
        <w:gridCol w:w="905"/>
        <w:gridCol w:w="904"/>
        <w:gridCol w:w="904"/>
        <w:gridCol w:w="904"/>
        <w:gridCol w:w="904"/>
        <w:gridCol w:w="904"/>
        <w:gridCol w:w="904"/>
      </w:tblGrid>
      <w:tr w:rsidR="00FE6FFD" w:rsidRPr="00FE6FFD" w:rsidTr="00BF2449">
        <w:trPr>
          <w:trHeight w:val="415"/>
        </w:trPr>
        <w:tc>
          <w:tcPr>
            <w:tcW w:w="2971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1B39B6" w:rsidP="001B39B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EE7866" w:rsidP="0009739A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 xml:space="preserve">Regular </w:t>
            </w:r>
            <w:r w:rsidR="0009739A">
              <w:rPr>
                <w:rFonts w:cs="Arial"/>
                <w:sz w:val="16"/>
                <w:szCs w:val="16"/>
                <w:lang w:val="en-US"/>
              </w:rPr>
              <w:t>upper secondary</w:t>
            </w:r>
            <w:r w:rsidRPr="00FE6FFD">
              <w:rPr>
                <w:rFonts w:cs="Arial"/>
                <w:sz w:val="16"/>
                <w:szCs w:val="16"/>
                <w:lang w:val="en-US"/>
              </w:rPr>
              <w:t xml:space="preserve"> schools</w:t>
            </w:r>
          </w:p>
        </w:tc>
        <w:tc>
          <w:tcPr>
            <w:tcW w:w="36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1B39B6" w:rsidRPr="00FE6FFD" w:rsidRDefault="0096044E" w:rsidP="001B39B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 xml:space="preserve">Schools/departments for students with </w:t>
            </w:r>
            <w:r w:rsidR="002E4E70" w:rsidRPr="002E4E70">
              <w:rPr>
                <w:rFonts w:cs="Arial"/>
                <w:sz w:val="16"/>
                <w:szCs w:val="16"/>
                <w:lang w:val="en-US"/>
              </w:rPr>
              <w:t>disabilities</w:t>
            </w:r>
          </w:p>
        </w:tc>
      </w:tr>
      <w:tr w:rsidR="00FE6FFD" w:rsidRPr="00FE6FFD" w:rsidTr="00BF2449">
        <w:trPr>
          <w:trHeight w:val="20"/>
        </w:trPr>
        <w:tc>
          <w:tcPr>
            <w:tcW w:w="297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B39B6" w:rsidRPr="00FE6FFD" w:rsidRDefault="001B39B6" w:rsidP="001B39B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96044E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schools</w:t>
            </w:r>
          </w:p>
        </w:tc>
        <w:tc>
          <w:tcPr>
            <w:tcW w:w="271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96044E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students</w:t>
            </w:r>
          </w:p>
        </w:tc>
        <w:tc>
          <w:tcPr>
            <w:tcW w:w="90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2E4E70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schools</w:t>
            </w:r>
          </w:p>
        </w:tc>
        <w:tc>
          <w:tcPr>
            <w:tcW w:w="271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2E4E70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students</w:t>
            </w:r>
          </w:p>
        </w:tc>
      </w:tr>
      <w:tr w:rsidR="00FE6FFD" w:rsidRPr="00FE6FFD" w:rsidTr="003B53E8">
        <w:trPr>
          <w:trHeight w:val="20"/>
        </w:trPr>
        <w:tc>
          <w:tcPr>
            <w:tcW w:w="297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B39B6" w:rsidRPr="00FE6FFD" w:rsidRDefault="001B39B6" w:rsidP="001B39B6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B39B6" w:rsidRPr="00FE6FFD" w:rsidRDefault="001B39B6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96044E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9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96044E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girls</w:t>
            </w:r>
          </w:p>
        </w:tc>
        <w:tc>
          <w:tcPr>
            <w:tcW w:w="9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96044E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E6FFD">
              <w:rPr>
                <w:rFonts w:cs="Arial"/>
                <w:sz w:val="16"/>
                <w:szCs w:val="16"/>
                <w:lang w:val="en-US"/>
              </w:rPr>
              <w:t>boys</w:t>
            </w:r>
          </w:p>
        </w:tc>
        <w:tc>
          <w:tcPr>
            <w:tcW w:w="90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B39B6" w:rsidRPr="00FE6FFD" w:rsidRDefault="001B39B6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2E4E70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9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2E4E70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girls</w:t>
            </w:r>
          </w:p>
        </w:tc>
        <w:tc>
          <w:tcPr>
            <w:tcW w:w="9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1B39B6" w:rsidRPr="00FE6FFD" w:rsidRDefault="002E4E70" w:rsidP="001B39B6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boys</w:t>
            </w:r>
          </w:p>
        </w:tc>
      </w:tr>
      <w:tr w:rsidR="00FE6FFD" w:rsidRPr="00FE6FFD" w:rsidTr="003B53E8">
        <w:trPr>
          <w:trHeight w:val="20"/>
        </w:trPr>
        <w:tc>
          <w:tcPr>
            <w:tcW w:w="2971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9B6" w:rsidRPr="00FE6FFD" w:rsidRDefault="001B39B6" w:rsidP="001B39B6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D3755" w:rsidRPr="00FE6FFD" w:rsidTr="003B53E8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D3755" w:rsidRPr="00FE6FFD" w:rsidRDefault="002D3755" w:rsidP="002D3755">
            <w:pPr>
              <w:rPr>
                <w:rFonts w:cs="Arial"/>
                <w:b/>
                <w:sz w:val="16"/>
                <w:szCs w:val="16"/>
                <w:lang w:val="en-US"/>
              </w:rPr>
            </w:pPr>
            <w:r w:rsidRPr="006304D8">
              <w:rPr>
                <w:rFonts w:cs="Arial"/>
                <w:b/>
                <w:color w:val="000000"/>
                <w:sz w:val="16"/>
                <w:szCs w:val="16"/>
              </w:rPr>
              <w:t>REPUBLIC OF SERBIA</w:t>
            </w: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515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249455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12</w:t>
            </w:r>
            <w:r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3838</w:t>
            </w:r>
          </w:p>
        </w:tc>
        <w:tc>
          <w:tcPr>
            <w:tcW w:w="90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25617</w:t>
            </w:r>
          </w:p>
        </w:tc>
        <w:tc>
          <w:tcPr>
            <w:tcW w:w="90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41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965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212</w:t>
            </w:r>
          </w:p>
        </w:tc>
      </w:tr>
      <w:tr w:rsidR="002D3755" w:rsidRPr="00FE6FFD" w:rsidTr="003B53E8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FE6FFD" w:rsidRDefault="002D3755" w:rsidP="002D3755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D3755" w:rsidRPr="00FE6FFD" w:rsidTr="003B53E8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D3755" w:rsidRPr="00FE6FFD" w:rsidRDefault="002D3755" w:rsidP="002D3755">
            <w:pPr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6304D8">
              <w:rPr>
                <w:rFonts w:cs="Arial"/>
                <w:color w:val="000000"/>
                <w:sz w:val="16"/>
                <w:szCs w:val="16"/>
              </w:rPr>
              <w:t>SRBI</w:t>
            </w:r>
            <w:r>
              <w:rPr>
                <w:rFonts w:cs="Arial"/>
                <w:color w:val="000000"/>
                <w:sz w:val="16"/>
                <w:szCs w:val="16"/>
              </w:rPr>
              <w:t>J</w:t>
            </w:r>
            <w:r w:rsidRPr="006304D8">
              <w:rPr>
                <w:rFonts w:cs="Arial"/>
                <w:color w:val="000000"/>
                <w:sz w:val="16"/>
                <w:szCs w:val="16"/>
              </w:rPr>
              <w:t xml:space="preserve">A – </w:t>
            </w:r>
            <w:r>
              <w:rPr>
                <w:rFonts w:cs="Arial"/>
                <w:color w:val="000000"/>
                <w:sz w:val="16"/>
                <w:szCs w:val="16"/>
              </w:rPr>
              <w:t>SEVER</w:t>
            </w: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257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12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4304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1837</w:t>
            </w:r>
          </w:p>
        </w:tc>
        <w:tc>
          <w:tcPr>
            <w:tcW w:w="90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2467</w:t>
            </w:r>
          </w:p>
        </w:tc>
        <w:tc>
          <w:tcPr>
            <w:tcW w:w="90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329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511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818</w:t>
            </w:r>
          </w:p>
        </w:tc>
      </w:tr>
      <w:tr w:rsidR="002D3755" w:rsidRPr="00FE6FFD" w:rsidTr="003B53E8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D3755" w:rsidRPr="00FE6FFD" w:rsidRDefault="002D3755" w:rsidP="002D3755">
            <w:pPr>
              <w:ind w:left="170"/>
              <w:rPr>
                <w:rFonts w:cs="Arial"/>
                <w:sz w:val="16"/>
                <w:szCs w:val="16"/>
                <w:lang w:val="en-US"/>
              </w:rPr>
            </w:pPr>
            <w:r w:rsidRPr="006304D8">
              <w:rPr>
                <w:rFonts w:cs="Arial"/>
                <w:color w:val="000000"/>
                <w:sz w:val="16"/>
                <w:szCs w:val="16"/>
              </w:rPr>
              <w:t>Beogradski region</w:t>
            </w: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114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D3755" w:rsidRPr="00045749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613</w:t>
            </w: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30475</w:t>
            </w:r>
          </w:p>
        </w:tc>
        <w:tc>
          <w:tcPr>
            <w:tcW w:w="90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883</w:t>
            </w:r>
          </w:p>
        </w:tc>
        <w:tc>
          <w:tcPr>
            <w:tcW w:w="90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618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69</w:t>
            </w:r>
          </w:p>
        </w:tc>
      </w:tr>
      <w:tr w:rsidR="002D3755" w:rsidRPr="00FE6FFD" w:rsidTr="003B53E8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D3755" w:rsidRPr="00FE6FFD" w:rsidRDefault="002D3755" w:rsidP="002D3755">
            <w:pPr>
              <w:ind w:left="170"/>
              <w:rPr>
                <w:rFonts w:cs="Arial"/>
                <w:sz w:val="16"/>
                <w:szCs w:val="16"/>
                <w:lang w:val="en-US"/>
              </w:rPr>
            </w:pPr>
            <w:r w:rsidRPr="006304D8">
              <w:rPr>
                <w:rFonts w:cs="Arial"/>
                <w:color w:val="000000"/>
                <w:sz w:val="16"/>
                <w:szCs w:val="16"/>
              </w:rPr>
              <w:t>Region Vojvodine</w:t>
            </w: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143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2946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31362</w:t>
            </w:r>
          </w:p>
        </w:tc>
        <w:tc>
          <w:tcPr>
            <w:tcW w:w="90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584</w:t>
            </w:r>
          </w:p>
        </w:tc>
        <w:tc>
          <w:tcPr>
            <w:tcW w:w="90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711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449</w:t>
            </w:r>
          </w:p>
        </w:tc>
      </w:tr>
      <w:tr w:rsidR="002D3755" w:rsidRPr="00FE6FFD" w:rsidTr="003B53E8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FE6FFD" w:rsidRDefault="002D3755" w:rsidP="002D3755">
            <w:pPr>
              <w:ind w:left="17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2D3755" w:rsidRPr="00FE6FFD" w:rsidTr="003B53E8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D3755" w:rsidRPr="00FE6FFD" w:rsidRDefault="002D3755" w:rsidP="002D3755">
            <w:pPr>
              <w:ind w:left="57"/>
              <w:rPr>
                <w:rFonts w:cs="Arial"/>
                <w:sz w:val="16"/>
                <w:szCs w:val="16"/>
                <w:lang w:val="en-US"/>
              </w:rPr>
            </w:pPr>
            <w:r w:rsidRPr="006304D8">
              <w:rPr>
                <w:rFonts w:cs="Arial"/>
                <w:color w:val="000000"/>
                <w:sz w:val="16"/>
                <w:szCs w:val="16"/>
              </w:rPr>
              <w:t>SRBI</w:t>
            </w:r>
            <w:r>
              <w:rPr>
                <w:rFonts w:cs="Arial"/>
                <w:color w:val="000000"/>
                <w:sz w:val="16"/>
                <w:szCs w:val="16"/>
              </w:rPr>
              <w:t>J</w:t>
            </w:r>
            <w:r w:rsidRPr="006304D8">
              <w:rPr>
                <w:rFonts w:cs="Arial"/>
                <w:color w:val="000000"/>
                <w:sz w:val="16"/>
                <w:szCs w:val="16"/>
              </w:rPr>
              <w:t xml:space="preserve">A – </w:t>
            </w:r>
            <w:r>
              <w:rPr>
                <w:rFonts w:cs="Arial"/>
                <w:color w:val="000000"/>
                <w:sz w:val="16"/>
                <w:szCs w:val="16"/>
              </w:rPr>
              <w:t>JUG</w:t>
            </w: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258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12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5151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90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3150</w:t>
            </w:r>
          </w:p>
        </w:tc>
        <w:tc>
          <w:tcPr>
            <w:tcW w:w="90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636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94</w:t>
            </w:r>
          </w:p>
        </w:tc>
      </w:tr>
      <w:tr w:rsidR="002D3755" w:rsidRPr="00FE6FFD" w:rsidTr="003B53E8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2D3755" w:rsidRPr="006304D8" w:rsidRDefault="002D3755" w:rsidP="002D3755">
            <w:pPr>
              <w:spacing w:line="216" w:lineRule="auto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lang w:val="sr-Latn-RS"/>
              </w:rPr>
              <w:t xml:space="preserve">    </w:t>
            </w:r>
            <w:r w:rsidRPr="006304D8">
              <w:rPr>
                <w:rFonts w:cs="Arial"/>
                <w:color w:val="000000"/>
                <w:sz w:val="16"/>
                <w:szCs w:val="16"/>
              </w:rPr>
              <w:t>Region Šumadije i Zapadne Srbije</w:t>
            </w: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139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2595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6216</w:t>
            </w:r>
          </w:p>
        </w:tc>
        <w:tc>
          <w:tcPr>
            <w:tcW w:w="90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6379</w:t>
            </w:r>
          </w:p>
        </w:tc>
        <w:tc>
          <w:tcPr>
            <w:tcW w:w="90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299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77</w:t>
            </w:r>
          </w:p>
        </w:tc>
      </w:tr>
      <w:tr w:rsidR="002D3755" w:rsidRPr="00FE6FFD" w:rsidTr="003B53E8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D3755" w:rsidRPr="00FE6FFD" w:rsidRDefault="002D3755" w:rsidP="002D3755">
            <w:pPr>
              <w:ind w:left="170"/>
              <w:rPr>
                <w:rFonts w:cs="Arial"/>
                <w:sz w:val="16"/>
                <w:szCs w:val="16"/>
                <w:lang w:val="ru-RU"/>
              </w:rPr>
            </w:pPr>
            <w:r w:rsidRPr="006304D8">
              <w:rPr>
                <w:rFonts w:cs="Arial"/>
                <w:color w:val="000000"/>
                <w:sz w:val="16"/>
                <w:szCs w:val="16"/>
              </w:rPr>
              <w:t>Region Južne i Istočne Srbije</w:t>
            </w: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119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525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5</w:t>
            </w: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5785</w:t>
            </w:r>
          </w:p>
        </w:tc>
        <w:tc>
          <w:tcPr>
            <w:tcW w:w="90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267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90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337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17</w:t>
            </w:r>
          </w:p>
        </w:tc>
      </w:tr>
      <w:tr w:rsidR="002D3755" w:rsidRPr="00FE6FFD" w:rsidTr="003B53E8">
        <w:trPr>
          <w:trHeight w:val="20"/>
        </w:trPr>
        <w:tc>
          <w:tcPr>
            <w:tcW w:w="2971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2D3755" w:rsidRPr="00FE6FFD" w:rsidRDefault="002D3755" w:rsidP="002D3755">
            <w:pPr>
              <w:ind w:left="170"/>
              <w:rPr>
                <w:rFonts w:cs="Arial"/>
                <w:sz w:val="16"/>
                <w:szCs w:val="16"/>
                <w:lang w:val="en-US"/>
              </w:rPr>
            </w:pPr>
            <w:r w:rsidRPr="006304D8">
              <w:rPr>
                <w:rFonts w:cs="Arial"/>
                <w:color w:val="000000"/>
                <w:sz w:val="16"/>
                <w:szCs w:val="16"/>
              </w:rPr>
              <w:t>Region Kosovo i Metohija</w:t>
            </w:r>
          </w:p>
        </w:tc>
        <w:tc>
          <w:tcPr>
            <w:tcW w:w="905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05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04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04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D3755" w:rsidRPr="00DB23C6" w:rsidRDefault="002D3755" w:rsidP="002D3755">
            <w:pPr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DB23C6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     ...</w:t>
            </w:r>
          </w:p>
        </w:tc>
      </w:tr>
    </w:tbl>
    <w:p w:rsidR="001B39B6" w:rsidRPr="00FE6FFD" w:rsidRDefault="001B39B6" w:rsidP="004F5729">
      <w:pPr>
        <w:ind w:firstLine="397"/>
        <w:jc w:val="both"/>
        <w:rPr>
          <w:rFonts w:cs="Arial"/>
          <w:szCs w:val="20"/>
        </w:rPr>
      </w:pPr>
    </w:p>
    <w:p w:rsidR="00E3719C" w:rsidRDefault="006F0626" w:rsidP="00143CE7">
      <w:pPr>
        <w:spacing w:before="120" w:after="120"/>
        <w:ind w:firstLine="397"/>
        <w:jc w:val="both"/>
        <w:rPr>
          <w:rFonts w:cs="Arial"/>
          <w:szCs w:val="20"/>
        </w:rPr>
      </w:pPr>
      <w:r w:rsidRPr="00D57C56">
        <w:rPr>
          <w:rFonts w:cs="Arial"/>
          <w:szCs w:val="20"/>
          <w:lang w:val="en-US"/>
        </w:rPr>
        <w:t>60</w:t>
      </w:r>
      <w:r w:rsidR="00D57C56">
        <w:rPr>
          <w:rFonts w:cs="Arial"/>
          <w:szCs w:val="20"/>
          <w:lang w:val="en-US"/>
        </w:rPr>
        <w:t> </w:t>
      </w:r>
      <w:r w:rsidRPr="00D57C56">
        <w:rPr>
          <w:rFonts w:cs="Arial"/>
          <w:szCs w:val="20"/>
          <w:lang w:val="en-US"/>
        </w:rPr>
        <w:t>978</w:t>
      </w:r>
      <w:r w:rsidR="0096044E" w:rsidRPr="00D57C56">
        <w:rPr>
          <w:rFonts w:cs="Arial"/>
          <w:szCs w:val="20"/>
        </w:rPr>
        <w:t xml:space="preserve"> students</w:t>
      </w:r>
      <w:r w:rsidR="008D2391" w:rsidRPr="00D57C56">
        <w:rPr>
          <w:rFonts w:cs="Arial"/>
          <w:szCs w:val="20"/>
        </w:rPr>
        <w:t xml:space="preserve">, </w:t>
      </w:r>
      <w:r w:rsidR="0096044E" w:rsidRPr="00D57C56">
        <w:rPr>
          <w:rFonts w:cs="Arial"/>
          <w:szCs w:val="20"/>
          <w:lang w:val="en-US"/>
        </w:rPr>
        <w:t>almost</w:t>
      </w:r>
      <w:r w:rsidR="0096044E" w:rsidRPr="00D57C56">
        <w:rPr>
          <w:rFonts w:cs="Arial"/>
          <w:szCs w:val="20"/>
        </w:rPr>
        <w:t xml:space="preserve"> </w:t>
      </w:r>
      <w:r w:rsidR="0096044E" w:rsidRPr="00D57C56">
        <w:rPr>
          <w:rFonts w:cs="Arial"/>
          <w:szCs w:val="20"/>
          <w:lang w:val="en-US"/>
        </w:rPr>
        <w:t>equal</w:t>
      </w:r>
      <w:r w:rsidR="0096044E" w:rsidRPr="00D57C56">
        <w:rPr>
          <w:rFonts w:cs="Arial"/>
          <w:szCs w:val="20"/>
        </w:rPr>
        <w:t xml:space="preserve"> </w:t>
      </w:r>
      <w:r w:rsidR="0096044E" w:rsidRPr="00D57C56">
        <w:rPr>
          <w:rFonts w:cs="Arial"/>
          <w:szCs w:val="20"/>
          <w:lang w:val="en-US"/>
        </w:rPr>
        <w:t>percentage</w:t>
      </w:r>
      <w:r w:rsidR="0096044E" w:rsidRPr="00D57C56">
        <w:rPr>
          <w:rFonts w:cs="Arial"/>
          <w:szCs w:val="20"/>
        </w:rPr>
        <w:t xml:space="preserve"> </w:t>
      </w:r>
      <w:r w:rsidR="0096044E" w:rsidRPr="00D57C56">
        <w:rPr>
          <w:rFonts w:cs="Arial"/>
          <w:szCs w:val="20"/>
          <w:lang w:val="en-US"/>
        </w:rPr>
        <w:t>of</w:t>
      </w:r>
      <w:r w:rsidR="0096044E" w:rsidRPr="00D57C56">
        <w:rPr>
          <w:rFonts w:cs="Arial"/>
          <w:szCs w:val="20"/>
        </w:rPr>
        <w:t xml:space="preserve"> </w:t>
      </w:r>
      <w:r w:rsidR="0096044E" w:rsidRPr="00D57C56">
        <w:rPr>
          <w:rFonts w:cs="Arial"/>
          <w:szCs w:val="20"/>
          <w:lang w:val="en-US"/>
        </w:rPr>
        <w:t>girls</w:t>
      </w:r>
      <w:r w:rsidR="008D2391" w:rsidRPr="00D57C56">
        <w:rPr>
          <w:rFonts w:cs="Arial"/>
          <w:szCs w:val="20"/>
        </w:rPr>
        <w:t xml:space="preserve"> (</w:t>
      </w:r>
      <w:r w:rsidR="00921EB8" w:rsidRPr="00D57C56">
        <w:rPr>
          <w:rFonts w:cs="Arial"/>
          <w:szCs w:val="20"/>
        </w:rPr>
        <w:t>49.</w:t>
      </w:r>
      <w:r w:rsidRPr="00D57C56">
        <w:rPr>
          <w:rFonts w:cs="Arial"/>
          <w:szCs w:val="20"/>
          <w:lang w:val="en-US"/>
        </w:rPr>
        <w:t>5</w:t>
      </w:r>
      <w:r w:rsidR="0096044E" w:rsidRPr="00D57C56">
        <w:rPr>
          <w:rFonts w:cs="Arial"/>
          <w:szCs w:val="20"/>
        </w:rPr>
        <w:t>%) and boys</w:t>
      </w:r>
      <w:r w:rsidR="008D2391" w:rsidRPr="00D57C56">
        <w:rPr>
          <w:rFonts w:cs="Arial"/>
          <w:szCs w:val="20"/>
        </w:rPr>
        <w:t xml:space="preserve"> (</w:t>
      </w:r>
      <w:r w:rsidR="00921EB8" w:rsidRPr="00D57C56">
        <w:rPr>
          <w:rFonts w:cs="Arial"/>
          <w:szCs w:val="20"/>
        </w:rPr>
        <w:t>50.</w:t>
      </w:r>
      <w:r w:rsidRPr="00D57C56">
        <w:rPr>
          <w:rFonts w:cs="Arial"/>
          <w:szCs w:val="20"/>
          <w:lang w:val="en-US"/>
        </w:rPr>
        <w:t>5</w:t>
      </w:r>
      <w:r w:rsidR="0096044E" w:rsidRPr="00D57C56">
        <w:rPr>
          <w:rFonts w:cs="Arial"/>
          <w:szCs w:val="20"/>
        </w:rPr>
        <w:t>%)</w:t>
      </w:r>
      <w:r w:rsidR="008000E8" w:rsidRPr="00D57C56">
        <w:rPr>
          <w:rFonts w:cs="Arial"/>
          <w:szCs w:val="20"/>
        </w:rPr>
        <w:t xml:space="preserve">, finished regular </w:t>
      </w:r>
      <w:r w:rsidR="0009739A" w:rsidRPr="00D57C56">
        <w:rPr>
          <w:rFonts w:cs="Arial"/>
          <w:szCs w:val="20"/>
          <w:lang w:val="sr-Latn-RS"/>
        </w:rPr>
        <w:t>upper secondary</w:t>
      </w:r>
      <w:r w:rsidR="008000E8" w:rsidRPr="00D57C56">
        <w:rPr>
          <w:rFonts w:cs="Arial"/>
          <w:szCs w:val="20"/>
        </w:rPr>
        <w:t xml:space="preserve"> school</w:t>
      </w:r>
      <w:r w:rsidR="0096044E" w:rsidRPr="00D57C56">
        <w:rPr>
          <w:rFonts w:cs="Arial"/>
          <w:szCs w:val="20"/>
        </w:rPr>
        <w:t xml:space="preserve">. </w:t>
      </w:r>
      <w:r w:rsidR="0096044E" w:rsidRPr="00D57C56">
        <w:rPr>
          <w:rFonts w:cs="Arial"/>
          <w:szCs w:val="20"/>
          <w:lang w:val="en-US"/>
        </w:rPr>
        <w:t>Almost</w:t>
      </w:r>
      <w:r w:rsidR="0096044E"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  <w:lang w:val="en-US"/>
        </w:rPr>
        <w:t>86.5</w:t>
      </w:r>
      <w:r w:rsidR="0096044E" w:rsidRPr="00D57C56">
        <w:rPr>
          <w:rFonts w:cs="Arial"/>
          <w:szCs w:val="20"/>
        </w:rPr>
        <w:t>% of students finished a four-year school</w:t>
      </w:r>
      <w:r w:rsidR="008D2391" w:rsidRPr="00D57C56">
        <w:rPr>
          <w:rFonts w:cs="Arial"/>
          <w:szCs w:val="20"/>
        </w:rPr>
        <w:t xml:space="preserve"> (</w:t>
      </w:r>
      <w:r w:rsidR="00921EB8" w:rsidRPr="00D57C56">
        <w:rPr>
          <w:rFonts w:cs="Arial"/>
          <w:szCs w:val="20"/>
          <w:lang w:val="en-US"/>
        </w:rPr>
        <w:t>26.</w:t>
      </w:r>
      <w:r w:rsidRPr="00D57C56">
        <w:rPr>
          <w:rFonts w:cs="Arial"/>
          <w:szCs w:val="20"/>
          <w:lang w:val="en-US"/>
        </w:rPr>
        <w:t>3</w:t>
      </w:r>
      <w:r w:rsidR="0096044E" w:rsidRPr="00D57C56">
        <w:rPr>
          <w:rFonts w:cs="Arial"/>
          <w:szCs w:val="20"/>
        </w:rPr>
        <w:t>% grammar school and</w:t>
      </w:r>
      <w:r w:rsidR="008D2391" w:rsidRPr="00D57C56">
        <w:rPr>
          <w:rFonts w:cs="Arial"/>
          <w:szCs w:val="20"/>
        </w:rPr>
        <w:t xml:space="preserve"> </w:t>
      </w:r>
      <w:r w:rsidR="00921EB8" w:rsidRPr="00D57C56">
        <w:rPr>
          <w:rFonts w:cs="Arial"/>
          <w:szCs w:val="20"/>
          <w:lang w:val="en-US"/>
        </w:rPr>
        <w:t>6</w:t>
      </w:r>
      <w:r w:rsidRPr="00D57C56">
        <w:rPr>
          <w:rFonts w:cs="Arial"/>
          <w:szCs w:val="20"/>
          <w:lang w:val="en-US"/>
        </w:rPr>
        <w:t>0.2</w:t>
      </w:r>
      <w:r w:rsidR="0096044E" w:rsidRPr="00D57C56">
        <w:rPr>
          <w:rFonts w:cs="Arial"/>
          <w:szCs w:val="20"/>
        </w:rPr>
        <w:t xml:space="preserve">% </w:t>
      </w:r>
      <w:r w:rsidR="0096044E" w:rsidRPr="00D57C56">
        <w:rPr>
          <w:rFonts w:cs="Arial"/>
          <w:szCs w:val="20"/>
          <w:lang w:val="en-US"/>
        </w:rPr>
        <w:t xml:space="preserve">four-year </w:t>
      </w:r>
      <w:r w:rsidR="0009739A" w:rsidRPr="00D57C56">
        <w:rPr>
          <w:rFonts w:cs="Arial"/>
          <w:szCs w:val="20"/>
          <w:lang w:val="sr-Latn-RS"/>
        </w:rPr>
        <w:t>vocational</w:t>
      </w:r>
      <w:r w:rsidR="0096044E" w:rsidRPr="00D57C56">
        <w:rPr>
          <w:rFonts w:cs="Arial"/>
          <w:szCs w:val="20"/>
        </w:rPr>
        <w:t xml:space="preserve"> school</w:t>
      </w:r>
      <w:r w:rsidR="008D2391" w:rsidRPr="00D57C56">
        <w:rPr>
          <w:rFonts w:cs="Arial"/>
          <w:szCs w:val="20"/>
        </w:rPr>
        <w:t>).</w:t>
      </w:r>
      <w:r w:rsidR="001B39B6" w:rsidRPr="00D57C56">
        <w:rPr>
          <w:rFonts w:cs="Arial"/>
          <w:szCs w:val="20"/>
          <w:lang w:val="sr-Latn-RS"/>
        </w:rPr>
        <w:t xml:space="preserve"> </w:t>
      </w:r>
      <w:r w:rsidR="0096044E" w:rsidRPr="00D57C56">
        <w:rPr>
          <w:rFonts w:cs="Arial"/>
          <w:szCs w:val="20"/>
          <w:lang w:val="sr-Latn-RS"/>
        </w:rPr>
        <w:t xml:space="preserve">Only </w:t>
      </w:r>
      <w:r w:rsidRPr="00D57C56">
        <w:rPr>
          <w:rFonts w:cs="Arial"/>
          <w:szCs w:val="20"/>
          <w:lang w:val="sr-Latn-RS"/>
        </w:rPr>
        <w:t>13.4</w:t>
      </w:r>
      <w:r w:rsidR="0096044E" w:rsidRPr="00D57C56">
        <w:rPr>
          <w:rFonts w:cs="Arial"/>
          <w:szCs w:val="20"/>
          <w:lang w:val="sr-Latn-RS"/>
        </w:rPr>
        <w:t xml:space="preserve">% of students finished a three-year </w:t>
      </w:r>
      <w:r w:rsidR="0009739A" w:rsidRPr="00D57C56">
        <w:rPr>
          <w:rFonts w:cs="Arial"/>
          <w:szCs w:val="20"/>
          <w:lang w:val="sr-Latn-RS"/>
        </w:rPr>
        <w:t>vocational</w:t>
      </w:r>
      <w:r w:rsidR="0096044E" w:rsidRPr="00D57C56">
        <w:rPr>
          <w:rFonts w:cs="Arial"/>
          <w:szCs w:val="20"/>
          <w:lang w:val="sr-Latn-RS"/>
        </w:rPr>
        <w:t xml:space="preserve"> school</w:t>
      </w:r>
      <w:r w:rsidR="00CC06F3" w:rsidRPr="00D57C56">
        <w:rPr>
          <w:rFonts w:cs="Arial"/>
          <w:szCs w:val="20"/>
        </w:rPr>
        <w:t xml:space="preserve">. </w:t>
      </w:r>
      <w:r w:rsidR="008000E8" w:rsidRPr="00D57C56">
        <w:rPr>
          <w:rFonts w:cs="Arial"/>
          <w:szCs w:val="20"/>
          <w:lang w:val="en-US"/>
        </w:rPr>
        <w:t xml:space="preserve">Observed </w:t>
      </w:r>
      <w:r w:rsidR="00921EB8" w:rsidRPr="00D57C56">
        <w:rPr>
          <w:rFonts w:cs="Arial"/>
          <w:szCs w:val="20"/>
          <w:lang w:val="en-US"/>
        </w:rPr>
        <w:t>based on</w:t>
      </w:r>
      <w:r w:rsidR="00385268" w:rsidRPr="00D57C56">
        <w:rPr>
          <w:rFonts w:cs="Arial"/>
          <w:szCs w:val="20"/>
          <w:lang w:val="en-US"/>
        </w:rPr>
        <w:t xml:space="preserve"> gender</w:t>
      </w:r>
      <w:r w:rsidR="00143CE7" w:rsidRPr="00D57C56">
        <w:rPr>
          <w:rFonts w:cs="Arial"/>
          <w:szCs w:val="20"/>
        </w:rPr>
        <w:t xml:space="preserve">, </w:t>
      </w:r>
      <w:r w:rsidRPr="00D57C56">
        <w:rPr>
          <w:rFonts w:cs="Arial"/>
          <w:szCs w:val="20"/>
          <w:lang w:val="en-US"/>
        </w:rPr>
        <w:t>60.8% girls</w:t>
      </w:r>
      <w:r w:rsidR="0096044E" w:rsidRPr="00D57C56">
        <w:rPr>
          <w:rFonts w:cs="Arial"/>
          <w:szCs w:val="20"/>
        </w:rPr>
        <w:t xml:space="preserve"> finished a four-year </w:t>
      </w:r>
      <w:r w:rsidR="0009739A" w:rsidRPr="00D57C56">
        <w:rPr>
          <w:rFonts w:cs="Arial"/>
          <w:szCs w:val="20"/>
          <w:lang w:val="sr-Latn-RS"/>
        </w:rPr>
        <w:t>vocational</w:t>
      </w:r>
      <w:r w:rsidR="0096044E" w:rsidRPr="00D57C56">
        <w:rPr>
          <w:rFonts w:cs="Arial"/>
          <w:szCs w:val="20"/>
        </w:rPr>
        <w:t xml:space="preserve"> school</w:t>
      </w:r>
      <w:r w:rsidR="00143CE7" w:rsidRPr="00D57C56">
        <w:rPr>
          <w:rFonts w:cs="Arial"/>
          <w:szCs w:val="20"/>
        </w:rPr>
        <w:t xml:space="preserve">, </w:t>
      </w:r>
      <w:r w:rsidR="00921EB8" w:rsidRPr="00D57C56">
        <w:rPr>
          <w:rFonts w:cs="Arial"/>
          <w:szCs w:val="20"/>
          <w:lang w:val="en-US"/>
        </w:rPr>
        <w:t>3</w:t>
      </w:r>
      <w:r w:rsidRPr="00D57C56">
        <w:rPr>
          <w:rFonts w:cs="Arial"/>
          <w:szCs w:val="20"/>
          <w:lang w:val="en-US"/>
        </w:rPr>
        <w:t>1.2</w:t>
      </w:r>
      <w:r w:rsidR="0096044E" w:rsidRPr="00D57C56">
        <w:rPr>
          <w:rFonts w:cs="Arial"/>
          <w:szCs w:val="20"/>
        </w:rPr>
        <w:t>% grammar school and only</w:t>
      </w:r>
      <w:r w:rsidR="00143CE7"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  <w:lang w:val="en-US"/>
        </w:rPr>
        <w:t>7</w:t>
      </w:r>
      <w:r w:rsidR="0096044E" w:rsidRPr="00D57C56">
        <w:rPr>
          <w:rFonts w:cs="Arial"/>
          <w:szCs w:val="20"/>
          <w:lang w:val="sr-Latn-RS"/>
        </w:rPr>
        <w:t>.</w:t>
      </w:r>
      <w:r w:rsidR="00921EB8" w:rsidRPr="00D57C56">
        <w:rPr>
          <w:rFonts w:cs="Arial"/>
          <w:szCs w:val="20"/>
          <w:lang w:val="en-US"/>
        </w:rPr>
        <w:t>9</w:t>
      </w:r>
      <w:r w:rsidR="00143CE7" w:rsidRPr="00D57C56">
        <w:rPr>
          <w:rFonts w:cs="Arial"/>
          <w:szCs w:val="20"/>
        </w:rPr>
        <w:t xml:space="preserve">% </w:t>
      </w:r>
      <w:r w:rsidR="0096044E" w:rsidRPr="00D57C56">
        <w:rPr>
          <w:rFonts w:cs="Arial"/>
          <w:szCs w:val="20"/>
          <w:lang w:val="en-US"/>
        </w:rPr>
        <w:t>a three-y</w:t>
      </w:r>
      <w:bookmarkStart w:id="0" w:name="_GoBack"/>
      <w:bookmarkEnd w:id="0"/>
      <w:r w:rsidR="0096044E" w:rsidRPr="00D57C56">
        <w:rPr>
          <w:rFonts w:cs="Arial"/>
          <w:szCs w:val="20"/>
          <w:lang w:val="en-US"/>
        </w:rPr>
        <w:t xml:space="preserve">ear </w:t>
      </w:r>
      <w:r w:rsidR="0009739A" w:rsidRPr="00D57C56">
        <w:rPr>
          <w:rFonts w:cs="Arial"/>
          <w:szCs w:val="20"/>
          <w:lang w:val="en-US"/>
        </w:rPr>
        <w:t>vocational</w:t>
      </w:r>
      <w:r w:rsidR="0096044E" w:rsidRPr="00D57C56">
        <w:rPr>
          <w:rFonts w:cs="Arial"/>
          <w:szCs w:val="20"/>
          <w:lang w:val="en-US"/>
        </w:rPr>
        <w:t xml:space="preserve"> school</w:t>
      </w:r>
      <w:r w:rsidR="00143CE7" w:rsidRPr="00D57C56">
        <w:rPr>
          <w:rFonts w:cs="Arial"/>
          <w:szCs w:val="20"/>
        </w:rPr>
        <w:t xml:space="preserve">. </w:t>
      </w:r>
      <w:r w:rsidRPr="00D57C56">
        <w:rPr>
          <w:rFonts w:cs="Arial"/>
          <w:szCs w:val="20"/>
          <w:lang w:val="en-US"/>
        </w:rPr>
        <w:t xml:space="preserve">Boys finish grammar school in somewhat less percentage than the girls </w:t>
      </w:r>
      <w:r w:rsidR="007846D0" w:rsidRPr="00D57C56">
        <w:rPr>
          <w:rFonts w:cs="Arial"/>
          <w:szCs w:val="20"/>
        </w:rPr>
        <w:t>(</w:t>
      </w:r>
      <w:proofErr w:type="gramStart"/>
      <w:r w:rsidRPr="00D57C56">
        <w:rPr>
          <w:rFonts w:cs="Arial"/>
          <w:szCs w:val="20"/>
          <w:lang w:val="en-US"/>
        </w:rPr>
        <w:t>21.4</w:t>
      </w:r>
      <w:r w:rsidR="007846D0" w:rsidRPr="00D57C56">
        <w:rPr>
          <w:rFonts w:cs="Arial"/>
          <w:szCs w:val="20"/>
        </w:rPr>
        <w:t>%)</w:t>
      </w:r>
      <w:proofErr w:type="gramEnd"/>
      <w:r w:rsidR="00CC06F3" w:rsidRPr="00D57C56">
        <w:rPr>
          <w:rFonts w:cs="Arial"/>
          <w:szCs w:val="20"/>
        </w:rPr>
        <w:t>,</w:t>
      </w:r>
      <w:r w:rsidR="0096044E" w:rsidRPr="00D57C56">
        <w:rPr>
          <w:rFonts w:cs="Arial"/>
          <w:szCs w:val="20"/>
        </w:rPr>
        <w:t xml:space="preserve"> but in </w:t>
      </w:r>
      <w:r w:rsidR="00385268" w:rsidRPr="00D57C56">
        <w:rPr>
          <w:rFonts w:cs="Arial"/>
          <w:szCs w:val="20"/>
          <w:lang w:val="en-US"/>
        </w:rPr>
        <w:t xml:space="preserve">a </w:t>
      </w:r>
      <w:r w:rsidR="0096044E" w:rsidRPr="00D57C56">
        <w:rPr>
          <w:rFonts w:cs="Arial"/>
          <w:szCs w:val="20"/>
        </w:rPr>
        <w:t>much</w:t>
      </w:r>
      <w:r w:rsidR="0009739A" w:rsidRPr="00D57C56">
        <w:rPr>
          <w:rFonts w:cs="Arial"/>
          <w:szCs w:val="20"/>
          <w:lang w:val="sr-Latn-RS"/>
        </w:rPr>
        <w:t xml:space="preserve"> higher</w:t>
      </w:r>
      <w:r w:rsidR="0096044E" w:rsidRPr="00D57C56">
        <w:rPr>
          <w:rFonts w:cs="Arial"/>
          <w:szCs w:val="20"/>
        </w:rPr>
        <w:t xml:space="preserve"> percentage</w:t>
      </w:r>
      <w:r w:rsidR="00385268" w:rsidRPr="00D57C56">
        <w:rPr>
          <w:rFonts w:cs="Arial"/>
          <w:szCs w:val="20"/>
          <w:lang w:val="en-US"/>
        </w:rPr>
        <w:t xml:space="preserve"> than the girls</w:t>
      </w:r>
      <w:r w:rsidR="007846D0" w:rsidRPr="00D57C56">
        <w:rPr>
          <w:rFonts w:cs="Arial"/>
          <w:szCs w:val="20"/>
        </w:rPr>
        <w:t xml:space="preserve"> (</w:t>
      </w:r>
      <w:r w:rsidRPr="00D57C56">
        <w:rPr>
          <w:rFonts w:cs="Arial"/>
          <w:szCs w:val="20"/>
          <w:lang w:val="en-US"/>
        </w:rPr>
        <w:t>18.7%</w:t>
      </w:r>
      <w:r w:rsidR="00385268" w:rsidRPr="00D57C56">
        <w:rPr>
          <w:rFonts w:cs="Arial"/>
          <w:szCs w:val="20"/>
        </w:rPr>
        <w:t xml:space="preserve">) they finish a three-year </w:t>
      </w:r>
      <w:r w:rsidR="0009739A" w:rsidRPr="00D57C56">
        <w:rPr>
          <w:rFonts w:cs="Arial"/>
          <w:szCs w:val="20"/>
          <w:lang w:val="sr-Latn-RS"/>
        </w:rPr>
        <w:t xml:space="preserve">vocational </w:t>
      </w:r>
      <w:r w:rsidR="00385268" w:rsidRPr="00D57C56">
        <w:rPr>
          <w:rFonts w:cs="Arial"/>
          <w:szCs w:val="20"/>
        </w:rPr>
        <w:t>school</w:t>
      </w:r>
      <w:r w:rsidR="008000E8" w:rsidRPr="00D57C56">
        <w:rPr>
          <w:rFonts w:cs="Arial"/>
          <w:szCs w:val="20"/>
          <w:lang w:val="en-US"/>
        </w:rPr>
        <w:t>,</w:t>
      </w:r>
      <w:r w:rsidR="00385268" w:rsidRPr="00D57C56">
        <w:rPr>
          <w:rFonts w:cs="Arial"/>
          <w:szCs w:val="20"/>
        </w:rPr>
        <w:t xml:space="preserve"> which leads them to the labour market directly</w:t>
      </w:r>
      <w:r w:rsidR="007846D0" w:rsidRPr="00D57C56">
        <w:rPr>
          <w:rFonts w:cs="Arial"/>
          <w:szCs w:val="20"/>
        </w:rPr>
        <w:t>.</w:t>
      </w:r>
    </w:p>
    <w:p w:rsidR="00D80C2D" w:rsidRPr="00AC64BD" w:rsidRDefault="007B21CE" w:rsidP="00282FF4">
      <w:pPr>
        <w:spacing w:before="120" w:after="120"/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5FDEE4AA" wp14:editId="1BF5A4E2">
            <wp:extent cx="6120000" cy="2880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6B88" w:rsidRPr="00D57C56" w:rsidRDefault="00385268" w:rsidP="002A5CB9">
      <w:pPr>
        <w:spacing w:before="120" w:after="120"/>
        <w:ind w:firstLine="397"/>
        <w:jc w:val="both"/>
        <w:rPr>
          <w:rFonts w:cs="Arial"/>
          <w:szCs w:val="20"/>
        </w:rPr>
      </w:pPr>
      <w:r w:rsidRPr="00D57C56">
        <w:rPr>
          <w:rFonts w:cs="Arial"/>
          <w:szCs w:val="20"/>
          <w:lang w:val="en-US"/>
        </w:rPr>
        <w:lastRenderedPageBreak/>
        <w:t>General</w:t>
      </w:r>
      <w:r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  <w:lang w:val="en-US"/>
        </w:rPr>
        <w:t>secondary</w:t>
      </w:r>
      <w:r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  <w:lang w:val="en-US"/>
        </w:rPr>
        <w:t>education</w:t>
      </w:r>
      <w:r w:rsidR="00606DB9" w:rsidRPr="00D57C56">
        <w:rPr>
          <w:rFonts w:cs="Arial"/>
          <w:szCs w:val="20"/>
        </w:rPr>
        <w:t xml:space="preserve"> – </w:t>
      </w:r>
      <w:r w:rsidRPr="00D57C56">
        <w:rPr>
          <w:rFonts w:cs="Arial"/>
          <w:szCs w:val="20"/>
        </w:rPr>
        <w:t>grammar school</w:t>
      </w:r>
      <w:r w:rsidR="00CC06F3" w:rsidRPr="00D57C56">
        <w:rPr>
          <w:rFonts w:cs="Arial"/>
          <w:szCs w:val="20"/>
        </w:rPr>
        <w:t>,</w:t>
      </w:r>
      <w:r w:rsidRPr="00D57C56">
        <w:rPr>
          <w:rFonts w:cs="Arial"/>
          <w:szCs w:val="20"/>
        </w:rPr>
        <w:t xml:space="preserve"> finished more than the quarter </w:t>
      </w:r>
      <w:r w:rsidR="00921EB8" w:rsidRPr="00D57C56">
        <w:rPr>
          <w:rFonts w:cs="Arial"/>
          <w:szCs w:val="20"/>
        </w:rPr>
        <w:t>(26.</w:t>
      </w:r>
      <w:r w:rsidR="002A5CB9" w:rsidRPr="00D57C56">
        <w:rPr>
          <w:rFonts w:cs="Arial"/>
          <w:szCs w:val="20"/>
          <w:lang w:val="en-US"/>
        </w:rPr>
        <w:t>3</w:t>
      </w:r>
      <w:r w:rsidR="00921EB8" w:rsidRPr="00D57C56">
        <w:rPr>
          <w:rFonts w:cs="Arial"/>
          <w:szCs w:val="20"/>
        </w:rPr>
        <w:t xml:space="preserve">%) </w:t>
      </w:r>
      <w:r w:rsidRPr="00D57C56">
        <w:rPr>
          <w:rFonts w:cs="Arial"/>
          <w:szCs w:val="20"/>
        </w:rPr>
        <w:t xml:space="preserve">of all students </w:t>
      </w:r>
      <w:r w:rsidRPr="00D57C56">
        <w:rPr>
          <w:rFonts w:cs="Arial"/>
          <w:szCs w:val="20"/>
          <w:lang w:val="en-US"/>
        </w:rPr>
        <w:t>who</w:t>
      </w:r>
      <w:r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  <w:lang w:val="en-US"/>
        </w:rPr>
        <w:t>completed</w:t>
      </w:r>
      <w:r w:rsidRPr="00D57C56">
        <w:rPr>
          <w:rFonts w:cs="Arial"/>
          <w:szCs w:val="20"/>
        </w:rPr>
        <w:t xml:space="preserve"> </w:t>
      </w:r>
      <w:r w:rsidR="0009739A" w:rsidRPr="00D57C56">
        <w:rPr>
          <w:rFonts w:cs="Arial"/>
          <w:szCs w:val="20"/>
          <w:lang w:val="en-US"/>
        </w:rPr>
        <w:t>upper</w:t>
      </w:r>
      <w:r w:rsidR="0009739A" w:rsidRPr="00D57C56">
        <w:rPr>
          <w:rFonts w:cs="Arial"/>
          <w:szCs w:val="20"/>
        </w:rPr>
        <w:t xml:space="preserve"> </w:t>
      </w:r>
      <w:r w:rsidR="0009739A" w:rsidRPr="00D57C56">
        <w:rPr>
          <w:rFonts w:cs="Arial"/>
          <w:szCs w:val="20"/>
          <w:lang w:val="en-US"/>
        </w:rPr>
        <w:t>secondary</w:t>
      </w:r>
      <w:r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  <w:lang w:val="en-US"/>
        </w:rPr>
        <w:t>school</w:t>
      </w:r>
      <w:r w:rsidRPr="00D57C56">
        <w:rPr>
          <w:rFonts w:cs="Arial"/>
          <w:szCs w:val="20"/>
        </w:rPr>
        <w:t xml:space="preserve"> and almost three quarters completed </w:t>
      </w:r>
      <w:r w:rsidR="0009739A" w:rsidRPr="00D57C56">
        <w:rPr>
          <w:rFonts w:cs="Arial"/>
          <w:szCs w:val="20"/>
          <w:lang w:val="sr-Latn-RS"/>
        </w:rPr>
        <w:t>vocational</w:t>
      </w:r>
      <w:r w:rsidRPr="00D57C56">
        <w:rPr>
          <w:rFonts w:cs="Arial"/>
          <w:szCs w:val="20"/>
        </w:rPr>
        <w:t xml:space="preserve"> school</w:t>
      </w:r>
      <w:r w:rsidR="000D046A" w:rsidRPr="00D57C56">
        <w:rPr>
          <w:rFonts w:cs="Arial"/>
          <w:szCs w:val="20"/>
        </w:rPr>
        <w:t>.</w:t>
      </w:r>
      <w:r w:rsidR="00E3719C"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  <w:lang w:val="en-US"/>
        </w:rPr>
        <w:t xml:space="preserve">Observed based on </w:t>
      </w:r>
      <w:r w:rsidR="00C90F0F" w:rsidRPr="00D57C56">
        <w:rPr>
          <w:rFonts w:cs="Arial"/>
          <w:szCs w:val="20"/>
          <w:lang w:val="sr-Latn-RS"/>
        </w:rPr>
        <w:t>fields of education</w:t>
      </w:r>
      <w:r w:rsidR="0054287D" w:rsidRPr="00D57C56">
        <w:rPr>
          <w:rFonts w:cs="Arial"/>
          <w:szCs w:val="20"/>
        </w:rPr>
        <w:t>,</w:t>
      </w:r>
      <w:r w:rsidR="007846D0"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</w:rPr>
        <w:t>young people usually finish</w:t>
      </w:r>
      <w:r w:rsidRPr="00D57C56">
        <w:rPr>
          <w:rFonts w:cs="Arial"/>
          <w:szCs w:val="20"/>
          <w:lang w:val="en-US"/>
        </w:rPr>
        <w:t xml:space="preserve"> educational profiles from the </w:t>
      </w:r>
      <w:r w:rsidR="00C90F0F" w:rsidRPr="00D57C56">
        <w:rPr>
          <w:rFonts w:cs="Arial"/>
          <w:szCs w:val="20"/>
          <w:lang w:val="sr-Latn-RS"/>
        </w:rPr>
        <w:t>fields of education</w:t>
      </w:r>
      <w:r w:rsidR="002A5CB9" w:rsidRPr="00D57C56">
        <w:rPr>
          <w:rFonts w:cs="Arial"/>
          <w:szCs w:val="20"/>
          <w:lang w:val="sr-Latn-RS"/>
        </w:rPr>
        <w:t xml:space="preserve"> </w:t>
      </w:r>
      <w:r w:rsidR="00CD1B89" w:rsidRPr="00D57C56">
        <w:rPr>
          <w:rFonts w:cs="Arial"/>
          <w:szCs w:val="20"/>
        </w:rPr>
        <w:t>“Еconomy, Law and Administration”</w:t>
      </w:r>
      <w:r w:rsidR="0054287D" w:rsidRPr="00D57C56">
        <w:rPr>
          <w:rFonts w:cs="Arial"/>
          <w:szCs w:val="20"/>
        </w:rPr>
        <w:t xml:space="preserve"> (</w:t>
      </w:r>
      <w:r w:rsidR="002A5CB9" w:rsidRPr="00D57C56">
        <w:rPr>
          <w:rFonts w:cs="Arial"/>
          <w:szCs w:val="20"/>
          <w:lang w:val="en-US"/>
        </w:rPr>
        <w:t>13.5</w:t>
      </w:r>
      <w:r w:rsidR="00606DB9" w:rsidRPr="00D57C56">
        <w:rPr>
          <w:rFonts w:cs="Arial"/>
          <w:szCs w:val="20"/>
        </w:rPr>
        <w:t>%),</w:t>
      </w:r>
      <w:r w:rsidR="002A5CB9" w:rsidRPr="00D57C56">
        <w:rPr>
          <w:rFonts w:cs="Arial"/>
          <w:szCs w:val="20"/>
          <w:lang w:val="en-US"/>
        </w:rPr>
        <w:t xml:space="preserve"> </w:t>
      </w:r>
      <w:r w:rsidR="002A5CB9" w:rsidRPr="00D57C56">
        <w:rPr>
          <w:rFonts w:cs="Arial"/>
          <w:szCs w:val="20"/>
        </w:rPr>
        <w:t>“Еlectrical Engineering</w:t>
      </w:r>
      <w:proofErr w:type="gramStart"/>
      <w:r w:rsidR="002A5CB9" w:rsidRPr="00D57C56">
        <w:rPr>
          <w:rFonts w:cs="Arial"/>
          <w:szCs w:val="20"/>
        </w:rPr>
        <w:t>“</w:t>
      </w:r>
      <w:r w:rsidR="002A5CB9" w:rsidRPr="00D57C56">
        <w:rPr>
          <w:rFonts w:cs="Arial"/>
          <w:szCs w:val="20"/>
          <w:lang w:val="en-US"/>
        </w:rPr>
        <w:t xml:space="preserve"> </w:t>
      </w:r>
      <w:r w:rsidR="002A5CB9" w:rsidRPr="00D57C56">
        <w:rPr>
          <w:rFonts w:cs="Arial"/>
          <w:szCs w:val="20"/>
        </w:rPr>
        <w:t>(</w:t>
      </w:r>
      <w:proofErr w:type="gramEnd"/>
      <w:r w:rsidR="002A5CB9" w:rsidRPr="00D57C56">
        <w:rPr>
          <w:rFonts w:cs="Arial"/>
          <w:szCs w:val="20"/>
          <w:lang w:val="en-US"/>
        </w:rPr>
        <w:t>10.6</w:t>
      </w:r>
      <w:r w:rsidR="002A5CB9" w:rsidRPr="00D57C56">
        <w:rPr>
          <w:rFonts w:cs="Arial"/>
          <w:szCs w:val="20"/>
        </w:rPr>
        <w:t>%)</w:t>
      </w:r>
      <w:r w:rsidR="002A5CB9" w:rsidRPr="00D57C56">
        <w:rPr>
          <w:rFonts w:cs="Arial"/>
          <w:szCs w:val="20"/>
          <w:lang w:val="en-US"/>
        </w:rPr>
        <w:t xml:space="preserve">, </w:t>
      </w:r>
      <w:r w:rsidR="002A5CB9" w:rsidRPr="00D57C56">
        <w:rPr>
          <w:rFonts w:cs="Arial"/>
          <w:szCs w:val="20"/>
        </w:rPr>
        <w:t>“</w:t>
      </w:r>
      <w:r w:rsidR="002A5CB9" w:rsidRPr="00D57C56">
        <w:rPr>
          <w:rFonts w:cs="Arial"/>
          <w:szCs w:val="20"/>
          <w:lang w:val="en-US"/>
        </w:rPr>
        <w:t>Health Care and Welfare</w:t>
      </w:r>
      <w:r w:rsidR="002A5CB9" w:rsidRPr="00D57C56">
        <w:rPr>
          <w:rFonts w:cs="Arial"/>
          <w:szCs w:val="20"/>
        </w:rPr>
        <w:t>“(</w:t>
      </w:r>
      <w:r w:rsidR="002A5CB9" w:rsidRPr="00D57C56">
        <w:rPr>
          <w:rFonts w:cs="Arial"/>
          <w:szCs w:val="20"/>
          <w:lang w:val="en-US"/>
        </w:rPr>
        <w:t>10</w:t>
      </w:r>
      <w:r w:rsidR="002A5CB9" w:rsidRPr="00D57C56">
        <w:rPr>
          <w:rFonts w:cs="Arial"/>
          <w:szCs w:val="20"/>
        </w:rPr>
        <w:t>%)</w:t>
      </w:r>
      <w:r w:rsidR="002A5CB9" w:rsidRPr="00D57C56">
        <w:rPr>
          <w:rFonts w:cs="Arial"/>
          <w:szCs w:val="20"/>
          <w:lang w:val="en-US"/>
        </w:rPr>
        <w:t xml:space="preserve">, </w:t>
      </w:r>
      <w:r w:rsidR="002A5CB9" w:rsidRPr="00D57C56">
        <w:rPr>
          <w:rFonts w:cs="Arial"/>
          <w:szCs w:val="20"/>
        </w:rPr>
        <w:t xml:space="preserve">“Мechanical </w:t>
      </w:r>
      <w:r w:rsidR="002A5CB9" w:rsidRPr="00D57C56">
        <w:rPr>
          <w:rFonts w:cs="Arial"/>
          <w:szCs w:val="20"/>
          <w:lang w:val="en-US"/>
        </w:rPr>
        <w:t>Engineering and Metal Processing</w:t>
      </w:r>
      <w:r w:rsidR="002A5CB9" w:rsidRPr="00D57C56">
        <w:rPr>
          <w:rFonts w:cs="Arial"/>
          <w:szCs w:val="20"/>
        </w:rPr>
        <w:t>“</w:t>
      </w:r>
      <w:r w:rsidR="002A5CB9" w:rsidRPr="00D57C56">
        <w:rPr>
          <w:rFonts w:cs="Arial"/>
          <w:szCs w:val="20"/>
          <w:lang w:val="en-US"/>
        </w:rPr>
        <w:t xml:space="preserve"> </w:t>
      </w:r>
      <w:r w:rsidR="002A5CB9" w:rsidRPr="00D57C56">
        <w:rPr>
          <w:rFonts w:cs="Arial"/>
          <w:szCs w:val="20"/>
        </w:rPr>
        <w:t>(</w:t>
      </w:r>
      <w:r w:rsidR="002A5CB9" w:rsidRPr="00D57C56">
        <w:rPr>
          <w:rFonts w:cs="Arial"/>
          <w:szCs w:val="20"/>
          <w:lang w:val="en-US"/>
        </w:rPr>
        <w:t>8.6</w:t>
      </w:r>
      <w:r w:rsidR="002A5CB9" w:rsidRPr="00D57C56">
        <w:rPr>
          <w:rFonts w:cs="Arial"/>
          <w:szCs w:val="20"/>
        </w:rPr>
        <w:t>%)</w:t>
      </w:r>
      <w:r w:rsidR="002A5CB9" w:rsidRPr="00D57C56">
        <w:rPr>
          <w:rFonts w:cs="Arial"/>
          <w:szCs w:val="20"/>
          <w:lang w:val="en-US"/>
        </w:rPr>
        <w:t xml:space="preserve"> and </w:t>
      </w:r>
      <w:r w:rsidR="00CD1B89" w:rsidRPr="00D57C56">
        <w:rPr>
          <w:rFonts w:cs="Arial"/>
          <w:szCs w:val="20"/>
        </w:rPr>
        <w:t xml:space="preserve">“Тrade, </w:t>
      </w:r>
      <w:r w:rsidR="00CD1B89" w:rsidRPr="00D57C56">
        <w:rPr>
          <w:rFonts w:cs="Arial"/>
          <w:szCs w:val="20"/>
          <w:lang w:val="en-US"/>
        </w:rPr>
        <w:t>Catering Industry and Tourism</w:t>
      </w:r>
      <w:r w:rsidR="00CD1B89" w:rsidRPr="00D57C56">
        <w:rPr>
          <w:rFonts w:cs="Arial"/>
          <w:szCs w:val="20"/>
        </w:rPr>
        <w:t>“</w:t>
      </w:r>
      <w:r w:rsidR="0002541E" w:rsidRPr="00D57C56">
        <w:rPr>
          <w:rFonts w:cs="Arial"/>
          <w:szCs w:val="20"/>
          <w:lang w:val="en-US"/>
        </w:rPr>
        <w:t xml:space="preserve"> </w:t>
      </w:r>
      <w:r w:rsidR="0054287D" w:rsidRPr="00D57C56">
        <w:rPr>
          <w:rFonts w:cs="Arial"/>
          <w:szCs w:val="20"/>
        </w:rPr>
        <w:t>(</w:t>
      </w:r>
      <w:r w:rsidR="002A5CB9" w:rsidRPr="00D57C56">
        <w:rPr>
          <w:rFonts w:cs="Arial"/>
          <w:szCs w:val="20"/>
          <w:lang w:val="en-US"/>
        </w:rPr>
        <w:t>8.4</w:t>
      </w:r>
      <w:r w:rsidR="00CD1B89" w:rsidRPr="00D57C56">
        <w:rPr>
          <w:rFonts w:cs="Arial"/>
          <w:szCs w:val="20"/>
        </w:rPr>
        <w:t>%)</w:t>
      </w:r>
      <w:r w:rsidR="0054287D" w:rsidRPr="00D57C56">
        <w:rPr>
          <w:rFonts w:cs="Arial"/>
          <w:szCs w:val="20"/>
        </w:rPr>
        <w:t>.</w:t>
      </w:r>
      <w:r w:rsidR="00606DB9" w:rsidRPr="00D57C56">
        <w:rPr>
          <w:rFonts w:cs="Arial"/>
          <w:szCs w:val="20"/>
        </w:rPr>
        <w:t xml:space="preserve"> </w:t>
      </w:r>
    </w:p>
    <w:p w:rsidR="000D046A" w:rsidRPr="00FE6FFD" w:rsidRDefault="00CD1B89" w:rsidP="000D046A">
      <w:pPr>
        <w:spacing w:before="120" w:after="120"/>
        <w:ind w:firstLine="397"/>
        <w:jc w:val="both"/>
        <w:rPr>
          <w:rFonts w:cs="Arial"/>
          <w:szCs w:val="20"/>
        </w:rPr>
      </w:pPr>
      <w:r w:rsidRPr="00D57C56">
        <w:rPr>
          <w:rFonts w:cs="Arial"/>
          <w:szCs w:val="20"/>
          <w:lang w:val="en-US"/>
        </w:rPr>
        <w:t>Girls</w:t>
      </w:r>
      <w:r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  <w:lang w:val="en-US"/>
        </w:rPr>
        <w:t>usually</w:t>
      </w:r>
      <w:r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  <w:lang w:val="en-US"/>
        </w:rPr>
        <w:t>finished</w:t>
      </w:r>
      <w:r w:rsidRPr="00D57C56">
        <w:rPr>
          <w:rFonts w:cs="Arial"/>
          <w:szCs w:val="20"/>
        </w:rPr>
        <w:t xml:space="preserve"> their education for </w:t>
      </w:r>
      <w:r w:rsidR="0009739A" w:rsidRPr="00D57C56">
        <w:rPr>
          <w:rFonts w:cs="Arial"/>
          <w:szCs w:val="20"/>
          <w:lang w:val="sr-Latn-RS"/>
        </w:rPr>
        <w:t>fields of education</w:t>
      </w:r>
      <w:r w:rsidR="000D046A"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</w:rPr>
        <w:t>“Еconomy, Law and Administration”</w:t>
      </w:r>
      <w:r w:rsidR="000D046A" w:rsidRPr="00D57C56">
        <w:rPr>
          <w:rFonts w:cs="Arial"/>
          <w:szCs w:val="20"/>
        </w:rPr>
        <w:t xml:space="preserve"> (</w:t>
      </w:r>
      <w:r w:rsidR="002A5CB9" w:rsidRPr="00D57C56">
        <w:rPr>
          <w:rFonts w:cs="Arial"/>
          <w:szCs w:val="20"/>
          <w:lang w:val="en-US"/>
        </w:rPr>
        <w:t>17.7%</w:t>
      </w:r>
      <w:r w:rsidR="000D046A" w:rsidRPr="00D57C56">
        <w:rPr>
          <w:rFonts w:cs="Arial"/>
          <w:szCs w:val="20"/>
        </w:rPr>
        <w:t xml:space="preserve">), </w:t>
      </w:r>
      <w:r w:rsidRPr="00D57C56">
        <w:rPr>
          <w:rFonts w:cs="Arial"/>
          <w:szCs w:val="20"/>
        </w:rPr>
        <w:t>“</w:t>
      </w:r>
      <w:r w:rsidRPr="00D57C56">
        <w:rPr>
          <w:rFonts w:cs="Arial"/>
          <w:szCs w:val="20"/>
          <w:lang w:val="en-US"/>
        </w:rPr>
        <w:t>Health</w:t>
      </w:r>
      <w:r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  <w:lang w:val="en-US"/>
        </w:rPr>
        <w:t>Care</w:t>
      </w:r>
      <w:r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  <w:lang w:val="en-US"/>
        </w:rPr>
        <w:t>and</w:t>
      </w:r>
      <w:r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  <w:lang w:val="en-US"/>
        </w:rPr>
        <w:t>Welfare</w:t>
      </w:r>
      <w:proofErr w:type="gramStart"/>
      <w:r w:rsidRPr="00D57C56">
        <w:rPr>
          <w:rFonts w:cs="Arial"/>
          <w:szCs w:val="20"/>
        </w:rPr>
        <w:t>“</w:t>
      </w:r>
      <w:r w:rsidR="00AE19B8"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</w:rPr>
        <w:t>(</w:t>
      </w:r>
      <w:proofErr w:type="gramEnd"/>
      <w:r w:rsidRPr="00D57C56">
        <w:rPr>
          <w:rFonts w:cs="Arial"/>
          <w:szCs w:val="20"/>
        </w:rPr>
        <w:t>1</w:t>
      </w:r>
      <w:r w:rsidR="0002541E" w:rsidRPr="00D57C56">
        <w:rPr>
          <w:rFonts w:cs="Arial"/>
          <w:szCs w:val="20"/>
          <w:lang w:val="en-US"/>
        </w:rPr>
        <w:t>5.</w:t>
      </w:r>
      <w:r w:rsidR="002A5CB9" w:rsidRPr="00D57C56">
        <w:rPr>
          <w:rFonts w:cs="Arial"/>
          <w:szCs w:val="20"/>
          <w:lang w:val="en-US"/>
        </w:rPr>
        <w:t>3</w:t>
      </w:r>
      <w:r w:rsidRPr="00D57C56">
        <w:rPr>
          <w:rFonts w:cs="Arial"/>
          <w:szCs w:val="20"/>
        </w:rPr>
        <w:t>%) and</w:t>
      </w:r>
      <w:r w:rsidR="000D046A"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</w:rPr>
        <w:t xml:space="preserve">“Тrade, </w:t>
      </w:r>
      <w:r w:rsidRPr="00D57C56">
        <w:rPr>
          <w:rFonts w:cs="Arial"/>
          <w:szCs w:val="20"/>
          <w:lang w:val="en-US"/>
        </w:rPr>
        <w:t>Catering</w:t>
      </w:r>
      <w:r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  <w:lang w:val="en-US"/>
        </w:rPr>
        <w:t>Industry</w:t>
      </w:r>
      <w:r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  <w:lang w:val="en-US"/>
        </w:rPr>
        <w:t>and</w:t>
      </w:r>
      <w:r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  <w:lang w:val="en-US"/>
        </w:rPr>
        <w:t>Tourism</w:t>
      </w:r>
      <w:r w:rsidRPr="00D57C56">
        <w:rPr>
          <w:rFonts w:cs="Arial"/>
          <w:szCs w:val="20"/>
        </w:rPr>
        <w:t>“</w:t>
      </w:r>
      <w:r w:rsidR="00AE19B8" w:rsidRPr="00D57C56">
        <w:rPr>
          <w:rFonts w:cs="Arial"/>
          <w:szCs w:val="20"/>
        </w:rPr>
        <w:t xml:space="preserve"> </w:t>
      </w:r>
      <w:r w:rsidR="000D046A" w:rsidRPr="00D57C56">
        <w:rPr>
          <w:rFonts w:cs="Arial"/>
          <w:szCs w:val="20"/>
        </w:rPr>
        <w:t>(</w:t>
      </w:r>
      <w:r w:rsidR="002A5CB9" w:rsidRPr="00D57C56">
        <w:rPr>
          <w:rFonts w:cs="Arial"/>
          <w:szCs w:val="20"/>
          <w:lang w:val="en-US"/>
        </w:rPr>
        <w:t>8.9</w:t>
      </w:r>
      <w:r w:rsidR="000D046A" w:rsidRPr="00D57C56">
        <w:rPr>
          <w:rFonts w:cs="Arial"/>
          <w:szCs w:val="20"/>
        </w:rPr>
        <w:t>%)</w:t>
      </w:r>
      <w:r w:rsidR="00CC06F3" w:rsidRPr="00D57C56">
        <w:rPr>
          <w:rFonts w:cs="Arial"/>
          <w:szCs w:val="20"/>
        </w:rPr>
        <w:t>,</w:t>
      </w:r>
      <w:r w:rsidR="000D046A" w:rsidRPr="00D57C56">
        <w:rPr>
          <w:rFonts w:cs="Arial"/>
          <w:szCs w:val="20"/>
        </w:rPr>
        <w:t xml:space="preserve"> </w:t>
      </w:r>
      <w:r w:rsidR="008C066D" w:rsidRPr="00D57C56">
        <w:rPr>
          <w:rFonts w:cs="Arial"/>
          <w:szCs w:val="20"/>
        </w:rPr>
        <w:t>а</w:t>
      </w:r>
      <w:proofErr w:type="spellStart"/>
      <w:r w:rsidRPr="00D57C56">
        <w:rPr>
          <w:rFonts w:cs="Arial"/>
          <w:szCs w:val="20"/>
          <w:lang w:val="en-US"/>
        </w:rPr>
        <w:t>nd</w:t>
      </w:r>
      <w:proofErr w:type="spellEnd"/>
      <w:r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  <w:lang w:val="en-US"/>
        </w:rPr>
        <w:t>boys</w:t>
      </w:r>
      <w:r w:rsidRPr="00D57C56">
        <w:rPr>
          <w:rFonts w:cs="Arial"/>
          <w:szCs w:val="20"/>
        </w:rPr>
        <w:t xml:space="preserve"> “Еlectrical Engineering“</w:t>
      </w:r>
      <w:r w:rsidR="00AE19B8" w:rsidRPr="00D57C56">
        <w:rPr>
          <w:rFonts w:cs="Arial"/>
          <w:szCs w:val="20"/>
        </w:rPr>
        <w:t xml:space="preserve"> </w:t>
      </w:r>
      <w:r w:rsidR="000D046A" w:rsidRPr="00D57C56">
        <w:rPr>
          <w:rFonts w:cs="Arial"/>
          <w:szCs w:val="20"/>
        </w:rPr>
        <w:t>(</w:t>
      </w:r>
      <w:r w:rsidR="002A5CB9" w:rsidRPr="00D57C56">
        <w:rPr>
          <w:rFonts w:cs="Arial"/>
          <w:szCs w:val="20"/>
          <w:lang w:val="en-US"/>
        </w:rPr>
        <w:t>19.5</w:t>
      </w:r>
      <w:r w:rsidR="000D046A" w:rsidRPr="00D57C56">
        <w:rPr>
          <w:rFonts w:cs="Arial"/>
          <w:szCs w:val="20"/>
        </w:rPr>
        <w:t xml:space="preserve">%), </w:t>
      </w:r>
      <w:r w:rsidRPr="00D57C56">
        <w:rPr>
          <w:rFonts w:cs="Arial"/>
          <w:szCs w:val="20"/>
        </w:rPr>
        <w:t xml:space="preserve">“Мechanical </w:t>
      </w:r>
      <w:r w:rsidRPr="00D57C56">
        <w:rPr>
          <w:rFonts w:cs="Arial"/>
          <w:szCs w:val="20"/>
          <w:lang w:val="en-US"/>
        </w:rPr>
        <w:t>Engineering</w:t>
      </w:r>
      <w:r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  <w:lang w:val="en-US"/>
        </w:rPr>
        <w:t>and</w:t>
      </w:r>
      <w:r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  <w:lang w:val="en-US"/>
        </w:rPr>
        <w:t>Metal</w:t>
      </w:r>
      <w:r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  <w:lang w:val="en-US"/>
        </w:rPr>
        <w:t>Processing</w:t>
      </w:r>
      <w:r w:rsidRPr="00D57C56">
        <w:rPr>
          <w:rFonts w:cs="Arial"/>
          <w:szCs w:val="20"/>
        </w:rPr>
        <w:t>“</w:t>
      </w:r>
      <w:r w:rsidR="00AE19B8" w:rsidRPr="00D57C56">
        <w:rPr>
          <w:rFonts w:cs="Arial"/>
          <w:szCs w:val="20"/>
        </w:rPr>
        <w:t xml:space="preserve"> </w:t>
      </w:r>
      <w:r w:rsidR="000D046A" w:rsidRPr="00D57C56">
        <w:rPr>
          <w:rFonts w:cs="Arial"/>
          <w:szCs w:val="20"/>
        </w:rPr>
        <w:t>(</w:t>
      </w:r>
      <w:r w:rsidR="002A5CB9" w:rsidRPr="00D57C56">
        <w:rPr>
          <w:rFonts w:cs="Arial"/>
          <w:szCs w:val="20"/>
          <w:lang w:val="en-US"/>
        </w:rPr>
        <w:t>14.8</w:t>
      </w:r>
      <w:r w:rsidRPr="00D57C56">
        <w:rPr>
          <w:rFonts w:cs="Arial"/>
          <w:szCs w:val="20"/>
        </w:rPr>
        <w:t>%) and</w:t>
      </w:r>
      <w:r w:rsidR="000D046A" w:rsidRPr="00D57C56">
        <w:rPr>
          <w:rFonts w:cs="Arial"/>
          <w:szCs w:val="20"/>
        </w:rPr>
        <w:t xml:space="preserve"> </w:t>
      </w:r>
      <w:r w:rsidRPr="00D57C56">
        <w:rPr>
          <w:rFonts w:cs="Arial"/>
          <w:szCs w:val="20"/>
        </w:rPr>
        <w:t>“Еconomy, Law and Administration”</w:t>
      </w:r>
      <w:r w:rsidR="000D046A" w:rsidRPr="00D57C56">
        <w:rPr>
          <w:rFonts w:cs="Arial"/>
          <w:szCs w:val="20"/>
        </w:rPr>
        <w:t xml:space="preserve"> (</w:t>
      </w:r>
      <w:r w:rsidR="002A5CB9" w:rsidRPr="00D57C56">
        <w:rPr>
          <w:rFonts w:cs="Arial"/>
          <w:szCs w:val="20"/>
          <w:lang w:val="en-US"/>
        </w:rPr>
        <w:t>9.4</w:t>
      </w:r>
      <w:r w:rsidR="000D046A" w:rsidRPr="00D57C56">
        <w:rPr>
          <w:rFonts w:cs="Arial"/>
          <w:szCs w:val="20"/>
        </w:rPr>
        <w:t>%).</w:t>
      </w:r>
    </w:p>
    <w:p w:rsidR="00282FF4" w:rsidRPr="00FE6FFD" w:rsidRDefault="00282FF4" w:rsidP="000D046A">
      <w:pPr>
        <w:spacing w:before="120" w:after="120"/>
        <w:ind w:firstLine="397"/>
        <w:jc w:val="both"/>
        <w:rPr>
          <w:rFonts w:cs="Arial"/>
          <w:szCs w:val="20"/>
        </w:rPr>
      </w:pPr>
    </w:p>
    <w:p w:rsidR="000D046A" w:rsidRPr="00AC64BD" w:rsidRDefault="007B21CE" w:rsidP="00C3026B">
      <w:pPr>
        <w:spacing w:before="120" w:after="120"/>
        <w:jc w:val="center"/>
        <w:rPr>
          <w:rFonts w:cs="Arial"/>
          <w:szCs w:val="20"/>
        </w:rPr>
      </w:pPr>
      <w:r>
        <w:rPr>
          <w:noProof/>
          <w:lang w:val="en-US"/>
        </w:rPr>
        <w:drawing>
          <wp:inline distT="0" distB="0" distL="0" distR="0" wp14:anchorId="11A0DAE3" wp14:editId="2A00DEC6">
            <wp:extent cx="6120000" cy="5220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5EA2" w:rsidRPr="00FE6FFD" w:rsidRDefault="00BB5EA2" w:rsidP="000D046A">
      <w:pPr>
        <w:spacing w:before="120" w:after="120"/>
        <w:ind w:firstLine="397"/>
        <w:jc w:val="both"/>
        <w:rPr>
          <w:rFonts w:cs="Arial"/>
          <w:szCs w:val="20"/>
        </w:rPr>
      </w:pPr>
    </w:p>
    <w:p w:rsidR="001C0C7C" w:rsidRPr="00FE6FFD" w:rsidRDefault="007E6DE0" w:rsidP="00481266">
      <w:pPr>
        <w:spacing w:before="360" w:after="180"/>
        <w:jc w:val="center"/>
        <w:rPr>
          <w:rFonts w:cs="Arial"/>
          <w:b/>
          <w:sz w:val="22"/>
          <w:szCs w:val="22"/>
          <w:lang w:val="sr-Cyrl-CS"/>
        </w:rPr>
      </w:pPr>
      <w:r w:rsidRPr="00FE6FFD">
        <w:rPr>
          <w:rFonts w:cs="Arial"/>
          <w:b/>
          <w:sz w:val="22"/>
          <w:szCs w:val="22"/>
          <w:lang w:val="sr-Cyrl-CS"/>
        </w:rPr>
        <w:t>Меthodological explanations</w:t>
      </w:r>
    </w:p>
    <w:p w:rsidR="00E3719C" w:rsidRPr="00FE6FFD" w:rsidRDefault="007E6DE0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FE6FFD">
        <w:rPr>
          <w:rFonts w:cs="Arial"/>
          <w:szCs w:val="20"/>
          <w:lang w:val="en-US"/>
        </w:rPr>
        <w:t xml:space="preserve">Data on </w:t>
      </w:r>
      <w:r w:rsidR="00C90F0F">
        <w:rPr>
          <w:rFonts w:cs="Arial"/>
          <w:szCs w:val="20"/>
          <w:lang w:val="en-US"/>
        </w:rPr>
        <w:t xml:space="preserve">upper </w:t>
      </w:r>
      <w:r w:rsidRPr="00FE6FFD">
        <w:rPr>
          <w:rFonts w:cs="Arial"/>
          <w:szCs w:val="20"/>
          <w:lang w:val="en-US"/>
        </w:rPr>
        <w:t>secondary education</w:t>
      </w:r>
      <w:r w:rsidRPr="00FE6FFD">
        <w:rPr>
          <w:rFonts w:cs="Arial"/>
          <w:szCs w:val="20"/>
        </w:rPr>
        <w:t xml:space="preserve"> are a result of regular annual </w:t>
      </w:r>
      <w:proofErr w:type="gramStart"/>
      <w:r w:rsidR="00C90F0F">
        <w:rPr>
          <w:rFonts w:cs="Arial"/>
          <w:szCs w:val="20"/>
          <w:lang w:val="sr-Latn-RS"/>
        </w:rPr>
        <w:t>survey</w:t>
      </w:r>
      <w:r w:rsidRPr="00FE6FFD">
        <w:rPr>
          <w:rFonts w:cs="Arial"/>
          <w:szCs w:val="20"/>
        </w:rPr>
        <w:t xml:space="preserve"> which</w:t>
      </w:r>
      <w:proofErr w:type="gramEnd"/>
      <w:r w:rsidRPr="00FE6FFD">
        <w:rPr>
          <w:rFonts w:cs="Arial"/>
          <w:szCs w:val="20"/>
        </w:rPr>
        <w:t xml:space="preserve"> is conducted at the end of each </w:t>
      </w:r>
      <w:r w:rsidR="00C90F0F">
        <w:rPr>
          <w:rFonts w:cs="Arial"/>
          <w:szCs w:val="20"/>
          <w:lang w:val="sr-Latn-RS"/>
        </w:rPr>
        <w:t>school</w:t>
      </w:r>
      <w:r w:rsidRPr="00FE6FFD">
        <w:rPr>
          <w:rFonts w:cs="Arial"/>
          <w:szCs w:val="20"/>
        </w:rPr>
        <w:t xml:space="preserve"> year</w:t>
      </w:r>
      <w:r w:rsidR="00CC06F3" w:rsidRPr="00FE6FFD">
        <w:rPr>
          <w:rFonts w:cs="Arial"/>
          <w:szCs w:val="20"/>
        </w:rPr>
        <w:t xml:space="preserve">. </w:t>
      </w:r>
      <w:r w:rsidRPr="00FE6FFD">
        <w:rPr>
          <w:rFonts w:cs="Arial"/>
          <w:szCs w:val="20"/>
          <w:lang w:val="en-US"/>
        </w:rPr>
        <w:t xml:space="preserve">The data are collected via </w:t>
      </w:r>
      <w:r w:rsidR="00C90F0F">
        <w:rPr>
          <w:rFonts w:cs="Arial"/>
          <w:szCs w:val="20"/>
          <w:lang w:val="en-US"/>
        </w:rPr>
        <w:t>Upper secondary education</w:t>
      </w:r>
      <w:r w:rsidRPr="00FE6FFD">
        <w:rPr>
          <w:rFonts w:cs="Arial"/>
          <w:szCs w:val="20"/>
          <w:lang w:val="en-US"/>
        </w:rPr>
        <w:t xml:space="preserve"> </w:t>
      </w:r>
      <w:r w:rsidR="00C90F0F">
        <w:rPr>
          <w:rFonts w:cs="Arial"/>
          <w:szCs w:val="20"/>
          <w:lang w:val="en-US"/>
        </w:rPr>
        <w:t>s</w:t>
      </w:r>
      <w:r w:rsidRPr="00FE6FFD">
        <w:rPr>
          <w:rFonts w:cs="Arial"/>
          <w:szCs w:val="20"/>
          <w:lang w:val="en-US"/>
        </w:rPr>
        <w:t xml:space="preserve">tatistical </w:t>
      </w:r>
      <w:r w:rsidR="00C90F0F">
        <w:rPr>
          <w:rFonts w:cs="Arial"/>
          <w:szCs w:val="20"/>
          <w:lang w:val="en-US"/>
        </w:rPr>
        <w:t>q</w:t>
      </w:r>
      <w:r w:rsidRPr="00FE6FFD">
        <w:rPr>
          <w:rFonts w:cs="Arial"/>
          <w:szCs w:val="20"/>
          <w:lang w:val="en-US"/>
        </w:rPr>
        <w:t xml:space="preserve">uestionnaire </w:t>
      </w:r>
      <w:r w:rsidRPr="00FE6FFD">
        <w:rPr>
          <w:rFonts w:cs="Arial"/>
          <w:szCs w:val="20"/>
        </w:rPr>
        <w:t>form</w:t>
      </w:r>
      <w:r w:rsidR="00E3719C" w:rsidRPr="00FE6FFD">
        <w:rPr>
          <w:rFonts w:cs="Arial"/>
          <w:szCs w:val="20"/>
        </w:rPr>
        <w:t xml:space="preserve"> </w:t>
      </w:r>
      <w:r w:rsidRPr="00FE6FFD">
        <w:rPr>
          <w:rFonts w:cs="Arial"/>
          <w:szCs w:val="20"/>
        </w:rPr>
        <w:t>(</w:t>
      </w:r>
      <w:r w:rsidR="008000E8" w:rsidRPr="00FE6FFD">
        <w:rPr>
          <w:rFonts w:cs="Arial"/>
          <w:szCs w:val="20"/>
          <w:lang w:val="sr-Latn-RS"/>
        </w:rPr>
        <w:t xml:space="preserve">ŠS/K </w:t>
      </w:r>
      <w:r w:rsidRPr="00FE6FFD">
        <w:rPr>
          <w:rFonts w:cs="Arial"/>
          <w:szCs w:val="20"/>
        </w:rPr>
        <w:t>form</w:t>
      </w:r>
      <w:r w:rsidR="00E3719C" w:rsidRPr="00FE6FFD">
        <w:rPr>
          <w:rFonts w:cs="Arial"/>
          <w:szCs w:val="20"/>
        </w:rPr>
        <w:t>)</w:t>
      </w:r>
      <w:proofErr w:type="gramStart"/>
      <w:r w:rsidR="008A0D34" w:rsidRPr="00FE6FFD">
        <w:rPr>
          <w:rFonts w:cs="Arial"/>
          <w:szCs w:val="20"/>
        </w:rPr>
        <w:t>,</w:t>
      </w:r>
      <w:proofErr w:type="gramEnd"/>
      <w:r w:rsidR="00E3719C" w:rsidRPr="00FE6FFD">
        <w:rPr>
          <w:rFonts w:cs="Arial"/>
          <w:szCs w:val="20"/>
        </w:rPr>
        <w:t xml:space="preserve"> а</w:t>
      </w:r>
      <w:r w:rsidRPr="00FE6FFD">
        <w:rPr>
          <w:rFonts w:cs="Arial"/>
          <w:szCs w:val="20"/>
          <w:lang w:val="sr-Latn-RS"/>
        </w:rPr>
        <w:t xml:space="preserve">nd the scope of the </w:t>
      </w:r>
      <w:r w:rsidR="00C90F0F">
        <w:rPr>
          <w:rFonts w:cs="Arial"/>
          <w:szCs w:val="20"/>
          <w:lang w:val="sr-Latn-RS"/>
        </w:rPr>
        <w:t>survey</w:t>
      </w:r>
      <w:r w:rsidRPr="00FE6FFD">
        <w:rPr>
          <w:rFonts w:cs="Arial"/>
          <w:szCs w:val="20"/>
          <w:lang w:val="sr-Latn-RS"/>
        </w:rPr>
        <w:t xml:space="preserve"> is complete</w:t>
      </w:r>
      <w:r w:rsidR="00E3719C" w:rsidRPr="00FE6FFD">
        <w:rPr>
          <w:rFonts w:cs="Arial"/>
          <w:szCs w:val="20"/>
        </w:rPr>
        <w:t xml:space="preserve">. </w:t>
      </w:r>
    </w:p>
    <w:p w:rsidR="00E3719C" w:rsidRPr="00FE6FFD" w:rsidRDefault="007E6DE0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FE6FFD">
        <w:rPr>
          <w:rFonts w:cs="Arial"/>
          <w:szCs w:val="20"/>
          <w:lang w:val="sr-Latn-RS"/>
        </w:rPr>
        <w:t>Secondary education are</w:t>
      </w:r>
      <w:r w:rsidRPr="00FE6FFD">
        <w:rPr>
          <w:rFonts w:cs="Arial"/>
          <w:szCs w:val="20"/>
        </w:rPr>
        <w:t xml:space="preserve"> exercised pursuant </w:t>
      </w:r>
      <w:r w:rsidR="00FB70E4" w:rsidRPr="00FE6FFD">
        <w:rPr>
          <w:rFonts w:cs="Arial"/>
          <w:szCs w:val="20"/>
          <w:lang w:val="sr-Latn-RS"/>
        </w:rPr>
        <w:t xml:space="preserve">to </w:t>
      </w:r>
      <w:r w:rsidRPr="00FE6FFD">
        <w:rPr>
          <w:rFonts w:cs="Arial"/>
          <w:szCs w:val="20"/>
        </w:rPr>
        <w:t>the goals defined by the law</w:t>
      </w:r>
      <w:r w:rsidR="00E3719C" w:rsidRPr="00FE6FFD">
        <w:rPr>
          <w:rFonts w:cs="Arial"/>
          <w:szCs w:val="20"/>
        </w:rPr>
        <w:t>.</w:t>
      </w:r>
    </w:p>
    <w:p w:rsidR="00E3719C" w:rsidRPr="00FE6FFD" w:rsidRDefault="00FF1C54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FE6FFD">
        <w:rPr>
          <w:rFonts w:cs="Arial"/>
          <w:szCs w:val="20"/>
          <w:lang w:val="en-US"/>
        </w:rPr>
        <w:t xml:space="preserve">Secondary education activity </w:t>
      </w:r>
      <w:proofErr w:type="gramStart"/>
      <w:r w:rsidRPr="00FE6FFD">
        <w:rPr>
          <w:rFonts w:cs="Arial"/>
          <w:szCs w:val="20"/>
          <w:lang w:val="en-US"/>
        </w:rPr>
        <w:t>is conducted</w:t>
      </w:r>
      <w:proofErr w:type="gramEnd"/>
      <w:r w:rsidRPr="00FE6FFD">
        <w:rPr>
          <w:rFonts w:cs="Arial"/>
          <w:szCs w:val="20"/>
          <w:lang w:val="en-US"/>
        </w:rPr>
        <w:t xml:space="preserve"> in </w:t>
      </w:r>
      <w:r w:rsidR="00C90F0F">
        <w:rPr>
          <w:rFonts w:cs="Arial"/>
          <w:szCs w:val="20"/>
          <w:lang w:val="en-US"/>
        </w:rPr>
        <w:t>upper secondary</w:t>
      </w:r>
      <w:r w:rsidRPr="00FE6FFD">
        <w:rPr>
          <w:rFonts w:cs="Arial"/>
          <w:szCs w:val="20"/>
          <w:lang w:val="en-US"/>
        </w:rPr>
        <w:t xml:space="preserve"> school</w:t>
      </w:r>
      <w:r w:rsidR="008A0D34" w:rsidRPr="00FE6FFD">
        <w:rPr>
          <w:rFonts w:cs="Arial"/>
          <w:szCs w:val="20"/>
        </w:rPr>
        <w:t>,</w:t>
      </w:r>
      <w:r w:rsidRPr="00FE6FFD">
        <w:rPr>
          <w:rFonts w:cs="Arial"/>
          <w:szCs w:val="20"/>
        </w:rPr>
        <w:t xml:space="preserve"> which can be established as a grammar school, art, </w:t>
      </w:r>
      <w:r w:rsidR="00C90F0F">
        <w:rPr>
          <w:rFonts w:cs="Arial"/>
          <w:szCs w:val="20"/>
          <w:lang w:val="sr-Latn-RS"/>
        </w:rPr>
        <w:t xml:space="preserve">vocational </w:t>
      </w:r>
      <w:r w:rsidRPr="00FE6FFD">
        <w:rPr>
          <w:rFonts w:cs="Arial"/>
          <w:szCs w:val="20"/>
        </w:rPr>
        <w:t>school or</w:t>
      </w:r>
      <w:r w:rsidRPr="00FE6FFD">
        <w:rPr>
          <w:rFonts w:cs="Arial"/>
          <w:szCs w:val="20"/>
          <w:lang w:val="sr-Latn-RS"/>
        </w:rPr>
        <w:t xml:space="preserve"> combined secondary school</w:t>
      </w:r>
      <w:r w:rsidR="00713099" w:rsidRPr="00FE6FFD">
        <w:rPr>
          <w:rFonts w:cs="Arial"/>
          <w:szCs w:val="20"/>
        </w:rPr>
        <w:t>.</w:t>
      </w:r>
      <w:r w:rsidR="00E3719C" w:rsidRPr="00FE6FFD">
        <w:rPr>
          <w:rFonts w:cs="Arial"/>
          <w:szCs w:val="20"/>
        </w:rPr>
        <w:t xml:space="preserve"> </w:t>
      </w:r>
      <w:r w:rsidRPr="00FE6FFD">
        <w:rPr>
          <w:rFonts w:cs="Arial"/>
          <w:szCs w:val="20"/>
          <w:lang w:val="sr-Latn-RS"/>
        </w:rPr>
        <w:t xml:space="preserve">School for students with </w:t>
      </w:r>
      <w:r w:rsidR="00C90F0F">
        <w:rPr>
          <w:rFonts w:cs="Arial"/>
          <w:szCs w:val="20"/>
          <w:lang w:val="sr-Latn-RS"/>
        </w:rPr>
        <w:t>disabilities</w:t>
      </w:r>
      <w:r w:rsidR="00E3719C" w:rsidRPr="00FE6FFD">
        <w:rPr>
          <w:rFonts w:cs="Arial"/>
          <w:szCs w:val="20"/>
        </w:rPr>
        <w:t xml:space="preserve"> </w:t>
      </w:r>
      <w:r w:rsidRPr="00FE6FFD">
        <w:rPr>
          <w:rFonts w:cs="Arial"/>
          <w:szCs w:val="20"/>
          <w:lang w:val="sr-Latn-RS"/>
        </w:rPr>
        <w:t xml:space="preserve">conducts education and </w:t>
      </w:r>
      <w:r w:rsidR="00F43D40" w:rsidRPr="00FE6FFD">
        <w:rPr>
          <w:rFonts w:cs="Arial"/>
          <w:szCs w:val="20"/>
          <w:lang w:val="sr-Latn-RS"/>
        </w:rPr>
        <w:t>care</w:t>
      </w:r>
      <w:r w:rsidRPr="00FE6FFD">
        <w:rPr>
          <w:rFonts w:cs="Arial"/>
          <w:szCs w:val="20"/>
          <w:lang w:val="sr-Latn-RS"/>
        </w:rPr>
        <w:t xml:space="preserve"> for the appropriate occupations of students</w:t>
      </w:r>
      <w:r w:rsidR="00C90F0F">
        <w:rPr>
          <w:rFonts w:cs="Arial"/>
          <w:szCs w:val="20"/>
          <w:lang w:val="sr-Latn-RS"/>
        </w:rPr>
        <w:t>,</w:t>
      </w:r>
      <w:r w:rsidRPr="00FE6FFD">
        <w:rPr>
          <w:rFonts w:cs="Arial"/>
          <w:szCs w:val="20"/>
          <w:lang w:val="sr-Latn-RS"/>
        </w:rPr>
        <w:t xml:space="preserve"> attending this school</w:t>
      </w:r>
      <w:r w:rsidRPr="00FE6FFD">
        <w:rPr>
          <w:rFonts w:cs="Arial"/>
          <w:szCs w:val="20"/>
        </w:rPr>
        <w:t xml:space="preserve"> based on the opinion of</w:t>
      </w:r>
      <w:r w:rsidRPr="00FE6FFD">
        <w:rPr>
          <w:rFonts w:cs="Arial"/>
          <w:szCs w:val="20"/>
          <w:lang w:val="sr-Latn-RS"/>
        </w:rPr>
        <w:t xml:space="preserve"> interdepartmental commission for assessment of additional educational, health and social support to students</w:t>
      </w:r>
      <w:r w:rsidRPr="00FE6FFD">
        <w:rPr>
          <w:rFonts w:cs="Arial"/>
          <w:szCs w:val="20"/>
        </w:rPr>
        <w:t xml:space="preserve">, with </w:t>
      </w:r>
      <w:r w:rsidRPr="00FE6FFD">
        <w:rPr>
          <w:rFonts w:cs="Arial"/>
          <w:szCs w:val="20"/>
          <w:lang w:val="sr-Latn-RS"/>
        </w:rPr>
        <w:t>parental consent</w:t>
      </w:r>
      <w:r w:rsidR="00E3719C" w:rsidRPr="00FE6FFD">
        <w:rPr>
          <w:rFonts w:cs="Arial"/>
          <w:szCs w:val="20"/>
        </w:rPr>
        <w:t>.</w:t>
      </w:r>
    </w:p>
    <w:p w:rsidR="00B651FF" w:rsidRDefault="00B651FF">
      <w:pPr>
        <w:rPr>
          <w:rFonts w:cs="Arial"/>
          <w:szCs w:val="20"/>
          <w:lang w:val="sr-Latn-RS"/>
        </w:rPr>
      </w:pPr>
      <w:r>
        <w:rPr>
          <w:rFonts w:cs="Arial"/>
          <w:szCs w:val="20"/>
          <w:lang w:val="sr-Latn-RS"/>
        </w:rPr>
        <w:br w:type="page"/>
      </w:r>
    </w:p>
    <w:p w:rsidR="00E3719C" w:rsidRPr="00FE6FFD" w:rsidRDefault="00137AD6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FE6FFD">
        <w:rPr>
          <w:rFonts w:cs="Arial"/>
          <w:szCs w:val="20"/>
          <w:lang w:val="sr-Latn-RS"/>
        </w:rPr>
        <w:lastRenderedPageBreak/>
        <w:t>The</w:t>
      </w:r>
      <w:r w:rsidR="00FF1C54" w:rsidRPr="00FE6FFD">
        <w:rPr>
          <w:rFonts w:cs="Arial"/>
          <w:szCs w:val="20"/>
          <w:lang w:val="sr-Latn-RS"/>
        </w:rPr>
        <w:t xml:space="preserve"> term</w:t>
      </w:r>
      <w:r w:rsidR="00E3719C" w:rsidRPr="00FE6FFD">
        <w:rPr>
          <w:rFonts w:cs="Arial"/>
          <w:szCs w:val="20"/>
        </w:rPr>
        <w:t xml:space="preserve"> </w:t>
      </w:r>
      <w:r w:rsidR="00FF1C54" w:rsidRPr="00FE6FFD">
        <w:rPr>
          <w:rFonts w:cs="Arial"/>
          <w:szCs w:val="20"/>
        </w:rPr>
        <w:t>“student</w:t>
      </w:r>
      <w:r w:rsidR="008A0D34" w:rsidRPr="00FE6FFD">
        <w:rPr>
          <w:rFonts w:cs="Arial"/>
          <w:szCs w:val="20"/>
        </w:rPr>
        <w:t>“</w:t>
      </w:r>
      <w:r w:rsidR="00FF1C54" w:rsidRPr="00FE6FFD">
        <w:rPr>
          <w:rFonts w:cs="Arial"/>
          <w:szCs w:val="20"/>
        </w:rPr>
        <w:t xml:space="preserve"> implies a regular student</w:t>
      </w:r>
      <w:r w:rsidRPr="00FE6FFD">
        <w:rPr>
          <w:rFonts w:cs="Arial"/>
          <w:szCs w:val="20"/>
        </w:rPr>
        <w:t xml:space="preserve">. </w:t>
      </w:r>
      <w:r w:rsidRPr="00FE6FFD">
        <w:rPr>
          <w:rFonts w:cs="Arial"/>
          <w:szCs w:val="20"/>
          <w:lang w:val="sr-Latn-RS"/>
        </w:rPr>
        <w:t>A regular student is person enrolled in school with the purpose of attending classes</w:t>
      </w:r>
      <w:r w:rsidR="00E3719C" w:rsidRPr="00FE6FFD">
        <w:rPr>
          <w:rFonts w:cs="Arial"/>
          <w:szCs w:val="20"/>
        </w:rPr>
        <w:t>.</w:t>
      </w:r>
    </w:p>
    <w:p w:rsidR="00E3719C" w:rsidRPr="00FE6FFD" w:rsidRDefault="00137AD6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FE6FFD">
        <w:rPr>
          <w:rFonts w:cs="Arial"/>
          <w:szCs w:val="20"/>
          <w:lang w:val="sr-Latn-RS"/>
        </w:rPr>
        <w:t>Secondary education is realized under work areas</w:t>
      </w:r>
      <w:r w:rsidR="00E3719C" w:rsidRPr="00FE6FFD">
        <w:rPr>
          <w:rFonts w:cs="Arial"/>
          <w:szCs w:val="20"/>
        </w:rPr>
        <w:t xml:space="preserve"> а</w:t>
      </w:r>
      <w:r w:rsidRPr="00FE6FFD">
        <w:rPr>
          <w:rFonts w:cs="Arial"/>
          <w:szCs w:val="20"/>
          <w:lang w:val="sr-Latn-RS"/>
        </w:rPr>
        <w:t xml:space="preserve">nd according to the appropriate </w:t>
      </w:r>
      <w:r w:rsidR="00C90F0F">
        <w:rPr>
          <w:rFonts w:cs="Arial"/>
          <w:szCs w:val="20"/>
          <w:lang w:val="sr-Latn-RS"/>
        </w:rPr>
        <w:t>fields of education</w:t>
      </w:r>
      <w:r w:rsidRPr="00FE6FFD">
        <w:rPr>
          <w:rFonts w:cs="Arial"/>
          <w:szCs w:val="20"/>
          <w:lang w:val="sr-Latn-RS"/>
        </w:rPr>
        <w:t xml:space="preserve"> </w:t>
      </w:r>
      <w:r w:rsidR="008000E8" w:rsidRPr="00FE6FFD">
        <w:rPr>
          <w:rFonts w:cs="Arial"/>
          <w:szCs w:val="20"/>
          <w:lang w:val="sr-Latn-RS"/>
        </w:rPr>
        <w:t>within them</w:t>
      </w:r>
      <w:r w:rsidR="00E3719C" w:rsidRPr="00FE6FFD">
        <w:rPr>
          <w:rFonts w:cs="Arial"/>
          <w:szCs w:val="20"/>
        </w:rPr>
        <w:t>.</w:t>
      </w:r>
    </w:p>
    <w:p w:rsidR="00E3719C" w:rsidRPr="00FE6FFD" w:rsidRDefault="00137AD6" w:rsidP="00E3719C">
      <w:pPr>
        <w:spacing w:before="120" w:after="120"/>
        <w:ind w:firstLine="397"/>
        <w:jc w:val="both"/>
        <w:rPr>
          <w:rFonts w:cs="Arial"/>
          <w:szCs w:val="20"/>
        </w:rPr>
      </w:pPr>
      <w:r w:rsidRPr="00FE6FFD">
        <w:rPr>
          <w:rFonts w:cs="Arial"/>
          <w:szCs w:val="20"/>
          <w:lang w:val="sr-Latn-RS"/>
        </w:rPr>
        <w:t>Data shown in this release refer to the level of education</w:t>
      </w:r>
      <w:r w:rsidRPr="00FE6FFD">
        <w:rPr>
          <w:rFonts w:cs="Arial"/>
          <w:szCs w:val="20"/>
        </w:rPr>
        <w:t xml:space="preserve"> ISCED3 based on</w:t>
      </w:r>
      <w:r w:rsidR="009C4466" w:rsidRPr="00FE6FFD">
        <w:rPr>
          <w:rStyle w:val="algo-summary"/>
          <w:i/>
        </w:rPr>
        <w:t xml:space="preserve">The International Standard Classification of Education </w:t>
      </w:r>
      <w:r w:rsidR="009C4466" w:rsidRPr="00FE6FFD">
        <w:rPr>
          <w:rStyle w:val="algo-summary"/>
          <w:rFonts w:cs="Arial"/>
          <w:i/>
        </w:rPr>
        <w:t>–</w:t>
      </w:r>
      <w:r w:rsidR="009C4466" w:rsidRPr="00FE6FFD">
        <w:rPr>
          <w:rStyle w:val="algo-summary"/>
          <w:i/>
        </w:rPr>
        <w:t xml:space="preserve"> </w:t>
      </w:r>
      <w:r w:rsidR="00E3719C" w:rsidRPr="00FE6FFD">
        <w:rPr>
          <w:rFonts w:cs="Arial"/>
          <w:i/>
          <w:szCs w:val="20"/>
        </w:rPr>
        <w:t>ISCED2011</w:t>
      </w:r>
      <w:r w:rsidR="00E3719C" w:rsidRPr="00FE6FFD">
        <w:rPr>
          <w:rFonts w:cs="Arial"/>
          <w:szCs w:val="20"/>
        </w:rPr>
        <w:t>.</w:t>
      </w:r>
    </w:p>
    <w:p w:rsidR="00E3719C" w:rsidRPr="00FE6FFD" w:rsidRDefault="00137AD6" w:rsidP="00E3719C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szCs w:val="20"/>
        </w:rPr>
      </w:pPr>
      <w:r w:rsidRPr="00FE6FFD">
        <w:rPr>
          <w:rFonts w:cs="Arial"/>
          <w:szCs w:val="20"/>
          <w:lang w:val="sr-Latn-RS"/>
        </w:rPr>
        <w:t>Since 1999 the Statistical Office of the Republic of Serbia does not dispose of certain data for AP Kosovo and Metohija</w:t>
      </w:r>
      <w:r w:rsidR="00E3719C" w:rsidRPr="00FE6FFD">
        <w:rPr>
          <w:rFonts w:cs="Arial"/>
          <w:szCs w:val="20"/>
        </w:rPr>
        <w:t xml:space="preserve">, </w:t>
      </w:r>
      <w:r w:rsidRPr="00FE6FFD">
        <w:rPr>
          <w:rFonts w:cs="Arial"/>
          <w:szCs w:val="20"/>
          <w:lang w:val="sr-Latn-RS"/>
        </w:rPr>
        <w:t>therefore they are not included in the scope of data for the Republic of Serbia</w:t>
      </w:r>
      <w:r w:rsidR="00E3719C" w:rsidRPr="00FE6FFD">
        <w:rPr>
          <w:rFonts w:cs="Arial"/>
          <w:szCs w:val="20"/>
        </w:rPr>
        <w:t xml:space="preserve"> (</w:t>
      </w:r>
      <w:r w:rsidRPr="00FE6FFD">
        <w:rPr>
          <w:rFonts w:cs="Arial"/>
          <w:szCs w:val="20"/>
          <w:lang w:val="sr-Latn-RS"/>
        </w:rPr>
        <w:t>in total</w:t>
      </w:r>
      <w:r w:rsidR="00E3719C" w:rsidRPr="00FE6FFD">
        <w:rPr>
          <w:rFonts w:cs="Arial"/>
          <w:szCs w:val="20"/>
        </w:rPr>
        <w:t>).</w:t>
      </w:r>
    </w:p>
    <w:p w:rsidR="008B1F76" w:rsidRPr="00FE6FFD" w:rsidRDefault="008B1F76" w:rsidP="00F71D42">
      <w:pPr>
        <w:spacing w:before="120"/>
        <w:ind w:firstLine="397"/>
        <w:rPr>
          <w:rFonts w:cs="Arial"/>
          <w:sz w:val="18"/>
          <w:szCs w:val="18"/>
          <w:lang w:val="en-U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C744B7" w:rsidRPr="00147DEF" w:rsidTr="003D470F">
        <w:tc>
          <w:tcPr>
            <w:tcW w:w="9379" w:type="dxa"/>
            <w:shd w:val="clear" w:color="auto" w:fill="auto"/>
          </w:tcPr>
          <w:p w:rsidR="00C744B7" w:rsidRPr="00147DEF" w:rsidRDefault="00C744B7" w:rsidP="003D470F">
            <w:pPr>
              <w:spacing w:before="120"/>
              <w:jc w:val="center"/>
              <w:rPr>
                <w:rFonts w:cs="Arial"/>
                <w:iCs/>
                <w:sz w:val="18"/>
                <w:szCs w:val="18"/>
              </w:rPr>
            </w:pPr>
            <w:r w:rsidRPr="00147DEF">
              <w:rPr>
                <w:rFonts w:cs="Arial"/>
                <w:iCs/>
                <w:sz w:val="18"/>
                <w:szCs w:val="18"/>
              </w:rPr>
              <w:t xml:space="preserve">Contact: </w:t>
            </w:r>
            <w:r w:rsidRPr="00147DEF">
              <w:rPr>
                <w:rFonts w:cs="Arial"/>
                <w:iCs/>
                <w:color w:val="0000FF"/>
                <w:sz w:val="18"/>
                <w:szCs w:val="18"/>
              </w:rPr>
              <w:t>nadezda.bogdanovic@stat.gov.rs,</w:t>
            </w:r>
            <w:r w:rsidRPr="00147DEF">
              <w:rPr>
                <w:rFonts w:cs="Arial"/>
                <w:iCs/>
                <w:sz w:val="18"/>
                <w:szCs w:val="18"/>
              </w:rPr>
              <w:t xml:space="preserve"> Phone: 011 2412-922, ext. 285</w:t>
            </w:r>
          </w:p>
          <w:p w:rsidR="00C744B7" w:rsidRPr="00147DEF" w:rsidRDefault="00C744B7" w:rsidP="003D470F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147DEF">
              <w:rPr>
                <w:rFonts w:cs="Arial"/>
                <w:iCs/>
                <w:sz w:val="18"/>
                <w:szCs w:val="18"/>
              </w:rPr>
              <w:t>Published and printed by: Statistical Office of the Republic of Serbia, 11 050 Belgrade, Milana Rakica 5</w:t>
            </w:r>
          </w:p>
          <w:p w:rsidR="00C744B7" w:rsidRPr="00147DEF" w:rsidRDefault="00C744B7" w:rsidP="003D470F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147DEF">
              <w:rPr>
                <w:rFonts w:cs="Arial"/>
                <w:iCs/>
                <w:sz w:val="18"/>
                <w:szCs w:val="18"/>
              </w:rPr>
              <w:t xml:space="preserve">Phone: +381 11 2412922 </w:t>
            </w:r>
            <w:r w:rsidRPr="00147DEF">
              <w:rPr>
                <w:rFonts w:cs="Arial"/>
                <w:sz w:val="18"/>
                <w:szCs w:val="18"/>
              </w:rPr>
              <w:t>(telephone exchange) •</w:t>
            </w:r>
            <w:r w:rsidRPr="00147DEF">
              <w:rPr>
                <w:rFonts w:cs="Arial"/>
                <w:iCs/>
                <w:sz w:val="18"/>
                <w:szCs w:val="18"/>
              </w:rPr>
              <w:t xml:space="preserve"> Fax: +381 11 2411260 </w:t>
            </w:r>
            <w:r w:rsidRPr="00147DEF">
              <w:rPr>
                <w:rFonts w:cs="Arial"/>
                <w:sz w:val="18"/>
                <w:szCs w:val="18"/>
              </w:rPr>
              <w:t>•</w:t>
            </w:r>
            <w:r w:rsidRPr="00147DEF">
              <w:rPr>
                <w:rFonts w:cs="Arial"/>
                <w:iCs/>
                <w:sz w:val="18"/>
                <w:szCs w:val="18"/>
              </w:rPr>
              <w:t xml:space="preserve"> www.stat.gov.rs</w:t>
            </w:r>
          </w:p>
          <w:p w:rsidR="00C744B7" w:rsidRPr="00147DEF" w:rsidRDefault="00C744B7" w:rsidP="003D470F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147DEF">
              <w:rPr>
                <w:rFonts w:cs="Arial"/>
                <w:iCs/>
                <w:sz w:val="18"/>
                <w:szCs w:val="18"/>
              </w:rPr>
              <w:t>Responsible: Dr Miladin Kovačević, Director</w:t>
            </w:r>
          </w:p>
          <w:p w:rsidR="00C744B7" w:rsidRPr="00147DEF" w:rsidRDefault="00C744B7" w:rsidP="003D470F">
            <w:pPr>
              <w:jc w:val="center"/>
              <w:rPr>
                <w:i/>
                <w:iCs/>
              </w:rPr>
            </w:pPr>
            <w:r w:rsidRPr="00147DEF">
              <w:rPr>
                <w:rFonts w:cs="Arial"/>
                <w:sz w:val="18"/>
                <w:szCs w:val="18"/>
              </w:rPr>
              <w:t>Circulation</w:t>
            </w:r>
            <w:r w:rsidRPr="00147DEF">
              <w:rPr>
                <w:rFonts w:cs="Arial"/>
                <w:iCs/>
                <w:sz w:val="18"/>
                <w:szCs w:val="18"/>
              </w:rPr>
              <w:t xml:space="preserve">: 20 ● Periodicity: </w:t>
            </w:r>
            <w:r w:rsidRPr="006304D8">
              <w:rPr>
                <w:rFonts w:cs="Arial"/>
                <w:sz w:val="18"/>
                <w:szCs w:val="18"/>
              </w:rPr>
              <w:t xml:space="preserve"> annual</w:t>
            </w:r>
          </w:p>
        </w:tc>
      </w:tr>
    </w:tbl>
    <w:p w:rsidR="009324E6" w:rsidRPr="00FE6FFD" w:rsidRDefault="009324E6" w:rsidP="0046281B">
      <w:pPr>
        <w:rPr>
          <w:sz w:val="2"/>
          <w:szCs w:val="2"/>
          <w:lang w:val="sr-Cyrl-CS"/>
        </w:rPr>
      </w:pPr>
    </w:p>
    <w:sectPr w:rsidR="009324E6" w:rsidRPr="00FE6FFD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80" w:rsidRDefault="00CB0880">
      <w:r>
        <w:separator/>
      </w:r>
    </w:p>
  </w:endnote>
  <w:endnote w:type="continuationSeparator" w:id="0">
    <w:p w:rsidR="00CB0880" w:rsidRDefault="00CB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3C7F" w:rsidRPr="00E307F1" w:rsidTr="001219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453C7F" w:rsidRPr="00BB5EA2" w:rsidRDefault="00453C7F" w:rsidP="00121983">
          <w:pPr>
            <w:spacing w:before="120"/>
            <w:rPr>
              <w:iCs/>
              <w:sz w:val="16"/>
              <w:szCs w:val="16"/>
            </w:rPr>
          </w:pPr>
          <w:r w:rsidRPr="00BB5EA2">
            <w:rPr>
              <w:iCs/>
              <w:sz w:val="16"/>
              <w:szCs w:val="16"/>
            </w:rPr>
            <w:fldChar w:fldCharType="begin"/>
          </w:r>
          <w:r w:rsidRPr="00BB5EA2">
            <w:rPr>
              <w:iCs/>
              <w:sz w:val="16"/>
              <w:szCs w:val="16"/>
            </w:rPr>
            <w:instrText xml:space="preserve"> PAGE </w:instrText>
          </w:r>
          <w:r w:rsidRPr="00BB5EA2">
            <w:rPr>
              <w:iCs/>
              <w:sz w:val="16"/>
              <w:szCs w:val="16"/>
            </w:rPr>
            <w:fldChar w:fldCharType="separate"/>
          </w:r>
          <w:r w:rsidR="003B53E8">
            <w:rPr>
              <w:iCs/>
              <w:noProof/>
              <w:sz w:val="16"/>
              <w:szCs w:val="16"/>
            </w:rPr>
            <w:t>2</w:t>
          </w:r>
          <w:r w:rsidRPr="00BB5EA2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D874E5" w:rsidRPr="00921172" w:rsidRDefault="00FE6FFD" w:rsidP="00AC64BD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>
            <w:rPr>
              <w:bCs/>
              <w:sz w:val="16"/>
              <w:szCs w:val="16"/>
              <w:lang w:val="sr-Latn-RS"/>
            </w:rPr>
            <w:t>SERB</w:t>
          </w:r>
          <w:r w:rsidR="00282FF4">
            <w:rPr>
              <w:bCs/>
              <w:sz w:val="16"/>
              <w:szCs w:val="16"/>
            </w:rPr>
            <w:t>1</w:t>
          </w:r>
          <w:r w:rsidR="00921172">
            <w:rPr>
              <w:bCs/>
              <w:sz w:val="16"/>
              <w:szCs w:val="16"/>
              <w:lang w:val="sr-Latn-RS"/>
            </w:rPr>
            <w:t>59</w:t>
          </w:r>
          <w:r w:rsidR="00453C7F" w:rsidRPr="004B08A1">
            <w:rPr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  <w:lang w:val="sr-Latn-RS"/>
            </w:rPr>
            <w:t>DD</w:t>
          </w:r>
          <w:r w:rsidR="00A24A95" w:rsidRPr="004B08A1">
            <w:rPr>
              <w:bCs/>
              <w:sz w:val="16"/>
              <w:szCs w:val="16"/>
            </w:rPr>
            <w:t>5</w:t>
          </w:r>
          <w:r w:rsidR="00282FF4">
            <w:rPr>
              <w:bCs/>
              <w:sz w:val="16"/>
              <w:szCs w:val="16"/>
            </w:rPr>
            <w:t>1</w:t>
          </w:r>
          <w:r w:rsidR="00453C7F" w:rsidRPr="004B08A1">
            <w:rPr>
              <w:bCs/>
              <w:sz w:val="16"/>
              <w:szCs w:val="16"/>
            </w:rPr>
            <w:t xml:space="preserve"> </w:t>
          </w:r>
          <w:r w:rsidR="00AC64BD">
            <w:rPr>
              <w:bCs/>
              <w:sz w:val="16"/>
              <w:szCs w:val="16"/>
              <w:lang w:val="sr-Latn-RS"/>
            </w:rPr>
            <w:t>290620</w:t>
          </w:r>
        </w:p>
      </w:tc>
    </w:tr>
  </w:tbl>
  <w:p w:rsidR="00453C7F" w:rsidRPr="005C58EB" w:rsidRDefault="00453C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3C7F" w:rsidTr="001219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453C7F" w:rsidRPr="00921172" w:rsidRDefault="00FE6FFD" w:rsidP="00AC64BD">
          <w:pPr>
            <w:spacing w:before="120"/>
            <w:rPr>
              <w:i/>
              <w:iCs/>
              <w:sz w:val="16"/>
              <w:szCs w:val="16"/>
              <w:lang w:val="sr-Latn-RS"/>
            </w:rPr>
          </w:pPr>
          <w:r>
            <w:rPr>
              <w:bCs/>
              <w:sz w:val="16"/>
              <w:szCs w:val="16"/>
              <w:lang w:val="sr-Latn-RS"/>
            </w:rPr>
            <w:t>SERB</w:t>
          </w:r>
          <w:r w:rsidR="00282FF4">
            <w:rPr>
              <w:bCs/>
              <w:sz w:val="16"/>
              <w:szCs w:val="16"/>
            </w:rPr>
            <w:t>1</w:t>
          </w:r>
          <w:r w:rsidR="00921172">
            <w:rPr>
              <w:bCs/>
              <w:sz w:val="16"/>
              <w:szCs w:val="16"/>
              <w:lang w:val="sr-Latn-RS"/>
            </w:rPr>
            <w:t>59</w:t>
          </w:r>
          <w:r w:rsidR="00BB5EA2" w:rsidRPr="004B08A1">
            <w:rPr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  <w:lang w:val="sr-Latn-RS"/>
            </w:rPr>
            <w:t>DD51</w:t>
          </w:r>
          <w:r w:rsidR="00BB5EA2" w:rsidRPr="004B08A1">
            <w:rPr>
              <w:bCs/>
              <w:sz w:val="16"/>
              <w:szCs w:val="16"/>
            </w:rPr>
            <w:t xml:space="preserve"> </w:t>
          </w:r>
          <w:r w:rsidR="00AC64BD">
            <w:rPr>
              <w:bCs/>
              <w:sz w:val="16"/>
              <w:szCs w:val="16"/>
              <w:lang w:val="sr-Latn-RS"/>
            </w:rPr>
            <w:t>290620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453C7F" w:rsidRPr="00BB5EA2" w:rsidRDefault="00453C7F" w:rsidP="00121983">
          <w:pPr>
            <w:spacing w:before="120"/>
            <w:jc w:val="right"/>
            <w:rPr>
              <w:bCs/>
              <w:sz w:val="16"/>
              <w:szCs w:val="16"/>
            </w:rPr>
          </w:pPr>
          <w:r w:rsidRPr="00BB5EA2">
            <w:rPr>
              <w:bCs/>
              <w:sz w:val="16"/>
              <w:szCs w:val="16"/>
            </w:rPr>
            <w:fldChar w:fldCharType="begin"/>
          </w:r>
          <w:r w:rsidRPr="00BB5EA2">
            <w:rPr>
              <w:bCs/>
              <w:sz w:val="16"/>
              <w:szCs w:val="16"/>
            </w:rPr>
            <w:instrText xml:space="preserve"> PAGE </w:instrText>
          </w:r>
          <w:r w:rsidRPr="00BB5EA2">
            <w:rPr>
              <w:bCs/>
              <w:sz w:val="16"/>
              <w:szCs w:val="16"/>
            </w:rPr>
            <w:fldChar w:fldCharType="separate"/>
          </w:r>
          <w:r w:rsidR="003B53E8">
            <w:rPr>
              <w:bCs/>
              <w:noProof/>
              <w:sz w:val="16"/>
              <w:szCs w:val="16"/>
            </w:rPr>
            <w:t>3</w:t>
          </w:r>
          <w:r w:rsidRPr="00BB5EA2">
            <w:rPr>
              <w:bCs/>
              <w:sz w:val="16"/>
              <w:szCs w:val="16"/>
            </w:rPr>
            <w:fldChar w:fldCharType="end"/>
          </w:r>
        </w:p>
      </w:tc>
    </w:tr>
  </w:tbl>
  <w:p w:rsidR="00453C7F" w:rsidRPr="005C58EB" w:rsidRDefault="00453C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80" w:rsidRDefault="00CB0880">
      <w:r>
        <w:separator/>
      </w:r>
    </w:p>
  </w:footnote>
  <w:footnote w:type="continuationSeparator" w:id="0">
    <w:p w:rsidR="00CB0880" w:rsidRDefault="00CB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A62BC7"/>
    <w:multiLevelType w:val="hybridMultilevel"/>
    <w:tmpl w:val="C0D8D374"/>
    <w:lvl w:ilvl="0" w:tplc="F47A87B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345BCC"/>
    <w:multiLevelType w:val="hybridMultilevel"/>
    <w:tmpl w:val="CB0AD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3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6303AB2"/>
    <w:multiLevelType w:val="hybridMultilevel"/>
    <w:tmpl w:val="E81E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5"/>
  </w:num>
  <w:num w:numId="13">
    <w:abstractNumId w:val="8"/>
  </w:num>
  <w:num w:numId="14">
    <w:abstractNumId w:val="30"/>
  </w:num>
  <w:num w:numId="15">
    <w:abstractNumId w:val="27"/>
  </w:num>
  <w:num w:numId="16">
    <w:abstractNumId w:val="13"/>
  </w:num>
  <w:num w:numId="17">
    <w:abstractNumId w:val="14"/>
  </w:num>
  <w:num w:numId="18">
    <w:abstractNumId w:val="33"/>
  </w:num>
  <w:num w:numId="19">
    <w:abstractNumId w:val="24"/>
  </w:num>
  <w:num w:numId="20">
    <w:abstractNumId w:val="21"/>
  </w:num>
  <w:num w:numId="21">
    <w:abstractNumId w:val="32"/>
  </w:num>
  <w:num w:numId="22">
    <w:abstractNumId w:val="26"/>
  </w:num>
  <w:num w:numId="23">
    <w:abstractNumId w:val="23"/>
  </w:num>
  <w:num w:numId="24">
    <w:abstractNumId w:val="17"/>
  </w:num>
  <w:num w:numId="25">
    <w:abstractNumId w:val="16"/>
  </w:num>
  <w:num w:numId="26">
    <w:abstractNumId w:val="19"/>
  </w:num>
  <w:num w:numId="27">
    <w:abstractNumId w:val="31"/>
  </w:num>
  <w:num w:numId="28">
    <w:abstractNumId w:val="12"/>
  </w:num>
  <w:num w:numId="29">
    <w:abstractNumId w:val="28"/>
  </w:num>
  <w:num w:numId="30">
    <w:abstractNumId w:val="22"/>
  </w:num>
  <w:num w:numId="31">
    <w:abstractNumId w:val="20"/>
  </w:num>
  <w:num w:numId="32">
    <w:abstractNumId w:val="10"/>
  </w:num>
  <w:num w:numId="33">
    <w:abstractNumId w:val="11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0930"/>
    <w:rsid w:val="00004300"/>
    <w:rsid w:val="000043B3"/>
    <w:rsid w:val="000049E7"/>
    <w:rsid w:val="00005F26"/>
    <w:rsid w:val="00006E81"/>
    <w:rsid w:val="00007147"/>
    <w:rsid w:val="0001483F"/>
    <w:rsid w:val="00014EB0"/>
    <w:rsid w:val="0001555B"/>
    <w:rsid w:val="00015CAF"/>
    <w:rsid w:val="00016092"/>
    <w:rsid w:val="000163BB"/>
    <w:rsid w:val="00016B1A"/>
    <w:rsid w:val="00017FF4"/>
    <w:rsid w:val="000219E7"/>
    <w:rsid w:val="00021C9B"/>
    <w:rsid w:val="0002541E"/>
    <w:rsid w:val="000267FD"/>
    <w:rsid w:val="00030BF1"/>
    <w:rsid w:val="00030C8E"/>
    <w:rsid w:val="00033823"/>
    <w:rsid w:val="0004257C"/>
    <w:rsid w:val="000426E3"/>
    <w:rsid w:val="00043FDF"/>
    <w:rsid w:val="00044911"/>
    <w:rsid w:val="00045233"/>
    <w:rsid w:val="0004716C"/>
    <w:rsid w:val="00053023"/>
    <w:rsid w:val="000539A6"/>
    <w:rsid w:val="000577D3"/>
    <w:rsid w:val="000619D9"/>
    <w:rsid w:val="00062C6A"/>
    <w:rsid w:val="00064080"/>
    <w:rsid w:val="00066257"/>
    <w:rsid w:val="00067794"/>
    <w:rsid w:val="00067CE4"/>
    <w:rsid w:val="0007058D"/>
    <w:rsid w:val="00070E3F"/>
    <w:rsid w:val="00072B03"/>
    <w:rsid w:val="00073EE4"/>
    <w:rsid w:val="00076268"/>
    <w:rsid w:val="00077A36"/>
    <w:rsid w:val="00081FB5"/>
    <w:rsid w:val="00081FF9"/>
    <w:rsid w:val="000867E0"/>
    <w:rsid w:val="0008759A"/>
    <w:rsid w:val="0009739A"/>
    <w:rsid w:val="000A0451"/>
    <w:rsid w:val="000A262A"/>
    <w:rsid w:val="000A29EC"/>
    <w:rsid w:val="000A37B0"/>
    <w:rsid w:val="000A3AF9"/>
    <w:rsid w:val="000A6D96"/>
    <w:rsid w:val="000B3454"/>
    <w:rsid w:val="000C04B3"/>
    <w:rsid w:val="000C1AD8"/>
    <w:rsid w:val="000C1B97"/>
    <w:rsid w:val="000C5009"/>
    <w:rsid w:val="000C686F"/>
    <w:rsid w:val="000C688C"/>
    <w:rsid w:val="000C78DA"/>
    <w:rsid w:val="000D046A"/>
    <w:rsid w:val="000D1593"/>
    <w:rsid w:val="000D46B9"/>
    <w:rsid w:val="000D4726"/>
    <w:rsid w:val="000E0B04"/>
    <w:rsid w:val="000E2C28"/>
    <w:rsid w:val="000E574A"/>
    <w:rsid w:val="000E777C"/>
    <w:rsid w:val="000F223D"/>
    <w:rsid w:val="000F3ABD"/>
    <w:rsid w:val="00102B85"/>
    <w:rsid w:val="00102E04"/>
    <w:rsid w:val="001034CA"/>
    <w:rsid w:val="001057A8"/>
    <w:rsid w:val="00105ACC"/>
    <w:rsid w:val="00107419"/>
    <w:rsid w:val="00107488"/>
    <w:rsid w:val="00107E75"/>
    <w:rsid w:val="00110976"/>
    <w:rsid w:val="00110E56"/>
    <w:rsid w:val="00111C72"/>
    <w:rsid w:val="001121DC"/>
    <w:rsid w:val="00113AE1"/>
    <w:rsid w:val="00113F8E"/>
    <w:rsid w:val="0011463B"/>
    <w:rsid w:val="00120DC5"/>
    <w:rsid w:val="00121983"/>
    <w:rsid w:val="001244EF"/>
    <w:rsid w:val="001245F5"/>
    <w:rsid w:val="001258DE"/>
    <w:rsid w:val="0012795C"/>
    <w:rsid w:val="00127FD6"/>
    <w:rsid w:val="00130FF0"/>
    <w:rsid w:val="00131624"/>
    <w:rsid w:val="0013640B"/>
    <w:rsid w:val="00137AD6"/>
    <w:rsid w:val="0014018B"/>
    <w:rsid w:val="0014298B"/>
    <w:rsid w:val="00143CE7"/>
    <w:rsid w:val="0014468F"/>
    <w:rsid w:val="00145330"/>
    <w:rsid w:val="001476C6"/>
    <w:rsid w:val="001520F0"/>
    <w:rsid w:val="00155AD3"/>
    <w:rsid w:val="00156424"/>
    <w:rsid w:val="001564FB"/>
    <w:rsid w:val="0016150D"/>
    <w:rsid w:val="00161C21"/>
    <w:rsid w:val="001652EB"/>
    <w:rsid w:val="00165B24"/>
    <w:rsid w:val="001730F7"/>
    <w:rsid w:val="0017347C"/>
    <w:rsid w:val="00173AFF"/>
    <w:rsid w:val="00174E1D"/>
    <w:rsid w:val="00180B45"/>
    <w:rsid w:val="001826EB"/>
    <w:rsid w:val="00182884"/>
    <w:rsid w:val="001845B0"/>
    <w:rsid w:val="00190C0E"/>
    <w:rsid w:val="0019513C"/>
    <w:rsid w:val="001954F0"/>
    <w:rsid w:val="00195AB7"/>
    <w:rsid w:val="001A1285"/>
    <w:rsid w:val="001B2229"/>
    <w:rsid w:val="001B2961"/>
    <w:rsid w:val="001B39B6"/>
    <w:rsid w:val="001B3E89"/>
    <w:rsid w:val="001B3EC7"/>
    <w:rsid w:val="001B4454"/>
    <w:rsid w:val="001B7479"/>
    <w:rsid w:val="001C0C7C"/>
    <w:rsid w:val="001C153D"/>
    <w:rsid w:val="001C3839"/>
    <w:rsid w:val="001C6545"/>
    <w:rsid w:val="001D1EB0"/>
    <w:rsid w:val="001D5850"/>
    <w:rsid w:val="001E0113"/>
    <w:rsid w:val="001E21B5"/>
    <w:rsid w:val="001E43EA"/>
    <w:rsid w:val="001E4EB7"/>
    <w:rsid w:val="001E6BA7"/>
    <w:rsid w:val="001E7F7D"/>
    <w:rsid w:val="001F187B"/>
    <w:rsid w:val="0020324B"/>
    <w:rsid w:val="00203A5B"/>
    <w:rsid w:val="00205215"/>
    <w:rsid w:val="0021173C"/>
    <w:rsid w:val="002128D5"/>
    <w:rsid w:val="00213602"/>
    <w:rsid w:val="00213A6E"/>
    <w:rsid w:val="00215B00"/>
    <w:rsid w:val="0021742E"/>
    <w:rsid w:val="002204E9"/>
    <w:rsid w:val="00223D6E"/>
    <w:rsid w:val="00225696"/>
    <w:rsid w:val="00226D36"/>
    <w:rsid w:val="00230BDB"/>
    <w:rsid w:val="00230C8C"/>
    <w:rsid w:val="00232E3E"/>
    <w:rsid w:val="002338F2"/>
    <w:rsid w:val="00233C03"/>
    <w:rsid w:val="0023470F"/>
    <w:rsid w:val="00234B63"/>
    <w:rsid w:val="00234BB3"/>
    <w:rsid w:val="0023563E"/>
    <w:rsid w:val="00236CAE"/>
    <w:rsid w:val="00240865"/>
    <w:rsid w:val="00243568"/>
    <w:rsid w:val="00244C9C"/>
    <w:rsid w:val="0024664D"/>
    <w:rsid w:val="002466E8"/>
    <w:rsid w:val="002516DA"/>
    <w:rsid w:val="00252B06"/>
    <w:rsid w:val="00254697"/>
    <w:rsid w:val="00256ADA"/>
    <w:rsid w:val="00256E99"/>
    <w:rsid w:val="002577D1"/>
    <w:rsid w:val="002609CA"/>
    <w:rsid w:val="002610E9"/>
    <w:rsid w:val="002631A4"/>
    <w:rsid w:val="00263275"/>
    <w:rsid w:val="00266953"/>
    <w:rsid w:val="00273D64"/>
    <w:rsid w:val="00274427"/>
    <w:rsid w:val="00276A1E"/>
    <w:rsid w:val="002810E0"/>
    <w:rsid w:val="002819F3"/>
    <w:rsid w:val="00282FF4"/>
    <w:rsid w:val="00290E74"/>
    <w:rsid w:val="002949CF"/>
    <w:rsid w:val="002A0125"/>
    <w:rsid w:val="002A136B"/>
    <w:rsid w:val="002A5CB9"/>
    <w:rsid w:val="002B2709"/>
    <w:rsid w:val="002B4877"/>
    <w:rsid w:val="002B4F5E"/>
    <w:rsid w:val="002B5976"/>
    <w:rsid w:val="002B5D71"/>
    <w:rsid w:val="002B6B9F"/>
    <w:rsid w:val="002C18B2"/>
    <w:rsid w:val="002C472F"/>
    <w:rsid w:val="002C5688"/>
    <w:rsid w:val="002C589B"/>
    <w:rsid w:val="002D3755"/>
    <w:rsid w:val="002D3783"/>
    <w:rsid w:val="002D4CF6"/>
    <w:rsid w:val="002D5B14"/>
    <w:rsid w:val="002E3044"/>
    <w:rsid w:val="002E4E70"/>
    <w:rsid w:val="002E593D"/>
    <w:rsid w:val="002E7A1A"/>
    <w:rsid w:val="002E7B26"/>
    <w:rsid w:val="002F216E"/>
    <w:rsid w:val="002F2785"/>
    <w:rsid w:val="002F379F"/>
    <w:rsid w:val="002F3C31"/>
    <w:rsid w:val="002F428E"/>
    <w:rsid w:val="002F56F8"/>
    <w:rsid w:val="00301B03"/>
    <w:rsid w:val="00301C9C"/>
    <w:rsid w:val="00305631"/>
    <w:rsid w:val="00305CBF"/>
    <w:rsid w:val="00306589"/>
    <w:rsid w:val="00311DCD"/>
    <w:rsid w:val="00313B03"/>
    <w:rsid w:val="00316360"/>
    <w:rsid w:val="00321706"/>
    <w:rsid w:val="003234D7"/>
    <w:rsid w:val="003247DE"/>
    <w:rsid w:val="00326EEE"/>
    <w:rsid w:val="00326FAB"/>
    <w:rsid w:val="00327C8A"/>
    <w:rsid w:val="003304EB"/>
    <w:rsid w:val="0033061A"/>
    <w:rsid w:val="00332543"/>
    <w:rsid w:val="00333DE4"/>
    <w:rsid w:val="0033618E"/>
    <w:rsid w:val="00336BEF"/>
    <w:rsid w:val="00344EE2"/>
    <w:rsid w:val="003472A6"/>
    <w:rsid w:val="0035192F"/>
    <w:rsid w:val="00355148"/>
    <w:rsid w:val="00355A61"/>
    <w:rsid w:val="00356B0E"/>
    <w:rsid w:val="00356FBA"/>
    <w:rsid w:val="00366EFE"/>
    <w:rsid w:val="00375752"/>
    <w:rsid w:val="00377E0F"/>
    <w:rsid w:val="003809C1"/>
    <w:rsid w:val="00382B2F"/>
    <w:rsid w:val="0038503F"/>
    <w:rsid w:val="00385268"/>
    <w:rsid w:val="0038596D"/>
    <w:rsid w:val="00386A14"/>
    <w:rsid w:val="00391095"/>
    <w:rsid w:val="00392BA4"/>
    <w:rsid w:val="003931BB"/>
    <w:rsid w:val="0039472D"/>
    <w:rsid w:val="00396036"/>
    <w:rsid w:val="003A2620"/>
    <w:rsid w:val="003A2F46"/>
    <w:rsid w:val="003A58D3"/>
    <w:rsid w:val="003B0524"/>
    <w:rsid w:val="003B18BD"/>
    <w:rsid w:val="003B2527"/>
    <w:rsid w:val="003B364E"/>
    <w:rsid w:val="003B53E8"/>
    <w:rsid w:val="003B6CD5"/>
    <w:rsid w:val="003C0458"/>
    <w:rsid w:val="003C3DBD"/>
    <w:rsid w:val="003C42A1"/>
    <w:rsid w:val="003C42E8"/>
    <w:rsid w:val="003C4653"/>
    <w:rsid w:val="003C6B7E"/>
    <w:rsid w:val="003D45F9"/>
    <w:rsid w:val="003D4B6B"/>
    <w:rsid w:val="003E06F2"/>
    <w:rsid w:val="003E1928"/>
    <w:rsid w:val="003E3C34"/>
    <w:rsid w:val="003E3F4C"/>
    <w:rsid w:val="003E42B3"/>
    <w:rsid w:val="003E5807"/>
    <w:rsid w:val="003E6600"/>
    <w:rsid w:val="003E67AB"/>
    <w:rsid w:val="003E6E3B"/>
    <w:rsid w:val="003F14CC"/>
    <w:rsid w:val="003F703C"/>
    <w:rsid w:val="003F7055"/>
    <w:rsid w:val="00400067"/>
    <w:rsid w:val="004007BD"/>
    <w:rsid w:val="004013BD"/>
    <w:rsid w:val="0040218E"/>
    <w:rsid w:val="0040272C"/>
    <w:rsid w:val="00404530"/>
    <w:rsid w:val="00411A47"/>
    <w:rsid w:val="00412319"/>
    <w:rsid w:val="0041497A"/>
    <w:rsid w:val="0041739D"/>
    <w:rsid w:val="0042204F"/>
    <w:rsid w:val="004263AF"/>
    <w:rsid w:val="00432F75"/>
    <w:rsid w:val="00435ABE"/>
    <w:rsid w:val="0043618D"/>
    <w:rsid w:val="00436EFB"/>
    <w:rsid w:val="00441292"/>
    <w:rsid w:val="0044139C"/>
    <w:rsid w:val="00442E5A"/>
    <w:rsid w:val="0044377E"/>
    <w:rsid w:val="0044647D"/>
    <w:rsid w:val="004479E5"/>
    <w:rsid w:val="00452B29"/>
    <w:rsid w:val="00453C7F"/>
    <w:rsid w:val="00456D83"/>
    <w:rsid w:val="00457175"/>
    <w:rsid w:val="004576BF"/>
    <w:rsid w:val="0046281B"/>
    <w:rsid w:val="00463D4A"/>
    <w:rsid w:val="00463EB4"/>
    <w:rsid w:val="004652A4"/>
    <w:rsid w:val="00467296"/>
    <w:rsid w:val="0047335A"/>
    <w:rsid w:val="00474B3B"/>
    <w:rsid w:val="0048002C"/>
    <w:rsid w:val="00480165"/>
    <w:rsid w:val="00481266"/>
    <w:rsid w:val="004872A5"/>
    <w:rsid w:val="004931DB"/>
    <w:rsid w:val="0049366C"/>
    <w:rsid w:val="004946DA"/>
    <w:rsid w:val="004958A5"/>
    <w:rsid w:val="004A11D9"/>
    <w:rsid w:val="004A1477"/>
    <w:rsid w:val="004A1954"/>
    <w:rsid w:val="004A4561"/>
    <w:rsid w:val="004A5CA7"/>
    <w:rsid w:val="004A638A"/>
    <w:rsid w:val="004A67B1"/>
    <w:rsid w:val="004B08A1"/>
    <w:rsid w:val="004B2023"/>
    <w:rsid w:val="004B3866"/>
    <w:rsid w:val="004B4D2D"/>
    <w:rsid w:val="004B54DF"/>
    <w:rsid w:val="004B552E"/>
    <w:rsid w:val="004B5F8E"/>
    <w:rsid w:val="004B6BBC"/>
    <w:rsid w:val="004B7B4F"/>
    <w:rsid w:val="004B7F01"/>
    <w:rsid w:val="004C11E2"/>
    <w:rsid w:val="004C18F8"/>
    <w:rsid w:val="004C21B2"/>
    <w:rsid w:val="004C3793"/>
    <w:rsid w:val="004C527F"/>
    <w:rsid w:val="004D0607"/>
    <w:rsid w:val="004D182D"/>
    <w:rsid w:val="004D2DBA"/>
    <w:rsid w:val="004D401D"/>
    <w:rsid w:val="004D4930"/>
    <w:rsid w:val="004D6BAD"/>
    <w:rsid w:val="004E0AE7"/>
    <w:rsid w:val="004E17DF"/>
    <w:rsid w:val="004E266D"/>
    <w:rsid w:val="004E3924"/>
    <w:rsid w:val="004E4384"/>
    <w:rsid w:val="004E5ADD"/>
    <w:rsid w:val="004E744D"/>
    <w:rsid w:val="004F21F3"/>
    <w:rsid w:val="004F2B62"/>
    <w:rsid w:val="004F310F"/>
    <w:rsid w:val="004F4876"/>
    <w:rsid w:val="004F4A78"/>
    <w:rsid w:val="004F54B8"/>
    <w:rsid w:val="004F5729"/>
    <w:rsid w:val="004F62B6"/>
    <w:rsid w:val="004F6B54"/>
    <w:rsid w:val="004F6E12"/>
    <w:rsid w:val="00502BD3"/>
    <w:rsid w:val="00506026"/>
    <w:rsid w:val="005062DF"/>
    <w:rsid w:val="0050793F"/>
    <w:rsid w:val="00510964"/>
    <w:rsid w:val="00512625"/>
    <w:rsid w:val="00512969"/>
    <w:rsid w:val="0051577A"/>
    <w:rsid w:val="005169A6"/>
    <w:rsid w:val="00521AE2"/>
    <w:rsid w:val="0052332D"/>
    <w:rsid w:val="005271E4"/>
    <w:rsid w:val="005274F5"/>
    <w:rsid w:val="005301CD"/>
    <w:rsid w:val="0053352E"/>
    <w:rsid w:val="005335B1"/>
    <w:rsid w:val="00533AAA"/>
    <w:rsid w:val="005361F9"/>
    <w:rsid w:val="00541130"/>
    <w:rsid w:val="0054287D"/>
    <w:rsid w:val="00544D5F"/>
    <w:rsid w:val="005452E1"/>
    <w:rsid w:val="00545BC6"/>
    <w:rsid w:val="0054669F"/>
    <w:rsid w:val="0055116B"/>
    <w:rsid w:val="00556B12"/>
    <w:rsid w:val="00560418"/>
    <w:rsid w:val="005605E2"/>
    <w:rsid w:val="00561598"/>
    <w:rsid w:val="00561CCF"/>
    <w:rsid w:val="00563118"/>
    <w:rsid w:val="00563A34"/>
    <w:rsid w:val="00564996"/>
    <w:rsid w:val="00565919"/>
    <w:rsid w:val="005666E4"/>
    <w:rsid w:val="00571BAF"/>
    <w:rsid w:val="00573BE6"/>
    <w:rsid w:val="00574802"/>
    <w:rsid w:val="00580A64"/>
    <w:rsid w:val="00581411"/>
    <w:rsid w:val="00581CBD"/>
    <w:rsid w:val="00582739"/>
    <w:rsid w:val="00582EA5"/>
    <w:rsid w:val="00583A73"/>
    <w:rsid w:val="00591F3B"/>
    <w:rsid w:val="005943A0"/>
    <w:rsid w:val="00596A18"/>
    <w:rsid w:val="00596F4C"/>
    <w:rsid w:val="005A0BE0"/>
    <w:rsid w:val="005A2FA4"/>
    <w:rsid w:val="005B0413"/>
    <w:rsid w:val="005B5AFC"/>
    <w:rsid w:val="005B6A77"/>
    <w:rsid w:val="005B70D3"/>
    <w:rsid w:val="005B7DFD"/>
    <w:rsid w:val="005C10E4"/>
    <w:rsid w:val="005C2B07"/>
    <w:rsid w:val="005C2D7F"/>
    <w:rsid w:val="005C4034"/>
    <w:rsid w:val="005C58EB"/>
    <w:rsid w:val="005C71C3"/>
    <w:rsid w:val="005C7659"/>
    <w:rsid w:val="005D16C2"/>
    <w:rsid w:val="005D1893"/>
    <w:rsid w:val="005D3E45"/>
    <w:rsid w:val="005D67DB"/>
    <w:rsid w:val="005E241D"/>
    <w:rsid w:val="005E274A"/>
    <w:rsid w:val="005E3DE6"/>
    <w:rsid w:val="005E6D44"/>
    <w:rsid w:val="005E7BFF"/>
    <w:rsid w:val="005F02DD"/>
    <w:rsid w:val="005F1AC5"/>
    <w:rsid w:val="005F28C1"/>
    <w:rsid w:val="005F37EB"/>
    <w:rsid w:val="005F408E"/>
    <w:rsid w:val="005F62A6"/>
    <w:rsid w:val="005F63F3"/>
    <w:rsid w:val="005F7FA3"/>
    <w:rsid w:val="0060162F"/>
    <w:rsid w:val="006026DA"/>
    <w:rsid w:val="00603EBB"/>
    <w:rsid w:val="00606DB9"/>
    <w:rsid w:val="006105C6"/>
    <w:rsid w:val="0061177E"/>
    <w:rsid w:val="00611CF0"/>
    <w:rsid w:val="00620714"/>
    <w:rsid w:val="00620A70"/>
    <w:rsid w:val="00623283"/>
    <w:rsid w:val="006258F8"/>
    <w:rsid w:val="00626DB8"/>
    <w:rsid w:val="00627541"/>
    <w:rsid w:val="00627E99"/>
    <w:rsid w:val="00630A0F"/>
    <w:rsid w:val="00634ED1"/>
    <w:rsid w:val="006351F0"/>
    <w:rsid w:val="00637A51"/>
    <w:rsid w:val="00641420"/>
    <w:rsid w:val="00641C1F"/>
    <w:rsid w:val="00642383"/>
    <w:rsid w:val="006423FC"/>
    <w:rsid w:val="0065234A"/>
    <w:rsid w:val="00657302"/>
    <w:rsid w:val="00666005"/>
    <w:rsid w:val="0067119B"/>
    <w:rsid w:val="0067192E"/>
    <w:rsid w:val="00675D41"/>
    <w:rsid w:val="00677A51"/>
    <w:rsid w:val="006823C3"/>
    <w:rsid w:val="00686DED"/>
    <w:rsid w:val="00692DC1"/>
    <w:rsid w:val="00696BAA"/>
    <w:rsid w:val="006A2A25"/>
    <w:rsid w:val="006A3853"/>
    <w:rsid w:val="006A52E4"/>
    <w:rsid w:val="006A53BA"/>
    <w:rsid w:val="006A6AE8"/>
    <w:rsid w:val="006A7E8E"/>
    <w:rsid w:val="006B13B5"/>
    <w:rsid w:val="006B3992"/>
    <w:rsid w:val="006B3BDE"/>
    <w:rsid w:val="006B4DB8"/>
    <w:rsid w:val="006B7338"/>
    <w:rsid w:val="006B7517"/>
    <w:rsid w:val="006C078D"/>
    <w:rsid w:val="006C0CB0"/>
    <w:rsid w:val="006C6A44"/>
    <w:rsid w:val="006C70DB"/>
    <w:rsid w:val="006C7250"/>
    <w:rsid w:val="006C7723"/>
    <w:rsid w:val="006D0CAA"/>
    <w:rsid w:val="006D4ED8"/>
    <w:rsid w:val="006E05AC"/>
    <w:rsid w:val="006E1333"/>
    <w:rsid w:val="006E559B"/>
    <w:rsid w:val="006E627C"/>
    <w:rsid w:val="006E7AF4"/>
    <w:rsid w:val="006F0626"/>
    <w:rsid w:val="006F2173"/>
    <w:rsid w:val="006F22F3"/>
    <w:rsid w:val="006F24E9"/>
    <w:rsid w:val="006F35D2"/>
    <w:rsid w:val="006F5C0F"/>
    <w:rsid w:val="006F608C"/>
    <w:rsid w:val="00700B0B"/>
    <w:rsid w:val="007011F2"/>
    <w:rsid w:val="00702307"/>
    <w:rsid w:val="007038AA"/>
    <w:rsid w:val="00704CFF"/>
    <w:rsid w:val="00706103"/>
    <w:rsid w:val="00706B34"/>
    <w:rsid w:val="00707487"/>
    <w:rsid w:val="0071018C"/>
    <w:rsid w:val="00712159"/>
    <w:rsid w:val="00713099"/>
    <w:rsid w:val="007204BD"/>
    <w:rsid w:val="00722AF8"/>
    <w:rsid w:val="0072435B"/>
    <w:rsid w:val="0073113A"/>
    <w:rsid w:val="007322D6"/>
    <w:rsid w:val="00733B39"/>
    <w:rsid w:val="0073422F"/>
    <w:rsid w:val="00737F62"/>
    <w:rsid w:val="00741077"/>
    <w:rsid w:val="00744489"/>
    <w:rsid w:val="00746966"/>
    <w:rsid w:val="00750E3E"/>
    <w:rsid w:val="00750E8A"/>
    <w:rsid w:val="007531F1"/>
    <w:rsid w:val="00762480"/>
    <w:rsid w:val="00762723"/>
    <w:rsid w:val="00763C2B"/>
    <w:rsid w:val="0076456A"/>
    <w:rsid w:val="00766000"/>
    <w:rsid w:val="007726AD"/>
    <w:rsid w:val="007748B0"/>
    <w:rsid w:val="0077626A"/>
    <w:rsid w:val="0077628B"/>
    <w:rsid w:val="00780774"/>
    <w:rsid w:val="007832DB"/>
    <w:rsid w:val="007846D0"/>
    <w:rsid w:val="00784B32"/>
    <w:rsid w:val="0078503C"/>
    <w:rsid w:val="00785E52"/>
    <w:rsid w:val="0078713D"/>
    <w:rsid w:val="00790174"/>
    <w:rsid w:val="00794B54"/>
    <w:rsid w:val="007A190F"/>
    <w:rsid w:val="007A2ACB"/>
    <w:rsid w:val="007A2CAD"/>
    <w:rsid w:val="007A551E"/>
    <w:rsid w:val="007A61F0"/>
    <w:rsid w:val="007B0D83"/>
    <w:rsid w:val="007B21CE"/>
    <w:rsid w:val="007B4DA6"/>
    <w:rsid w:val="007C1EA8"/>
    <w:rsid w:val="007C2AE2"/>
    <w:rsid w:val="007C2B6B"/>
    <w:rsid w:val="007C2F91"/>
    <w:rsid w:val="007C6B88"/>
    <w:rsid w:val="007C782F"/>
    <w:rsid w:val="007D1810"/>
    <w:rsid w:val="007D1AFF"/>
    <w:rsid w:val="007D41B7"/>
    <w:rsid w:val="007D4AF9"/>
    <w:rsid w:val="007D5833"/>
    <w:rsid w:val="007D6100"/>
    <w:rsid w:val="007D757B"/>
    <w:rsid w:val="007D7C48"/>
    <w:rsid w:val="007E2BD1"/>
    <w:rsid w:val="007E3FD2"/>
    <w:rsid w:val="007E4376"/>
    <w:rsid w:val="007E6DE0"/>
    <w:rsid w:val="007E6E68"/>
    <w:rsid w:val="007F0B50"/>
    <w:rsid w:val="007F1EB5"/>
    <w:rsid w:val="007F4495"/>
    <w:rsid w:val="007F4BED"/>
    <w:rsid w:val="007F5C11"/>
    <w:rsid w:val="007F63EA"/>
    <w:rsid w:val="007F7590"/>
    <w:rsid w:val="008000E8"/>
    <w:rsid w:val="00800622"/>
    <w:rsid w:val="00800F62"/>
    <w:rsid w:val="008167FC"/>
    <w:rsid w:val="008168AB"/>
    <w:rsid w:val="008174D7"/>
    <w:rsid w:val="0082022E"/>
    <w:rsid w:val="00822AE7"/>
    <w:rsid w:val="00822FF7"/>
    <w:rsid w:val="0082499A"/>
    <w:rsid w:val="00826350"/>
    <w:rsid w:val="00826A31"/>
    <w:rsid w:val="00826FCC"/>
    <w:rsid w:val="008323A0"/>
    <w:rsid w:val="00833928"/>
    <w:rsid w:val="008340E5"/>
    <w:rsid w:val="00841292"/>
    <w:rsid w:val="00846BE3"/>
    <w:rsid w:val="00847EDD"/>
    <w:rsid w:val="00851FBE"/>
    <w:rsid w:val="008523E9"/>
    <w:rsid w:val="00854193"/>
    <w:rsid w:val="00862E3C"/>
    <w:rsid w:val="00864A2E"/>
    <w:rsid w:val="00865950"/>
    <w:rsid w:val="008669CB"/>
    <w:rsid w:val="00867063"/>
    <w:rsid w:val="00870CB1"/>
    <w:rsid w:val="00872673"/>
    <w:rsid w:val="00874931"/>
    <w:rsid w:val="008757C4"/>
    <w:rsid w:val="0087679A"/>
    <w:rsid w:val="00876A77"/>
    <w:rsid w:val="00876E67"/>
    <w:rsid w:val="00877D0B"/>
    <w:rsid w:val="00883BE0"/>
    <w:rsid w:val="00884945"/>
    <w:rsid w:val="00884EDB"/>
    <w:rsid w:val="00885181"/>
    <w:rsid w:val="00885254"/>
    <w:rsid w:val="00892087"/>
    <w:rsid w:val="008946E5"/>
    <w:rsid w:val="008948E0"/>
    <w:rsid w:val="008A0D34"/>
    <w:rsid w:val="008A1AD5"/>
    <w:rsid w:val="008A24C5"/>
    <w:rsid w:val="008A57BC"/>
    <w:rsid w:val="008B1E0E"/>
    <w:rsid w:val="008B1F76"/>
    <w:rsid w:val="008B2204"/>
    <w:rsid w:val="008B38B4"/>
    <w:rsid w:val="008B7FA0"/>
    <w:rsid w:val="008C066D"/>
    <w:rsid w:val="008C1A3D"/>
    <w:rsid w:val="008C3B72"/>
    <w:rsid w:val="008C3DF7"/>
    <w:rsid w:val="008C44B8"/>
    <w:rsid w:val="008C568E"/>
    <w:rsid w:val="008D2391"/>
    <w:rsid w:val="008D2A53"/>
    <w:rsid w:val="008D2C6D"/>
    <w:rsid w:val="008E0041"/>
    <w:rsid w:val="008E4E6E"/>
    <w:rsid w:val="008E6658"/>
    <w:rsid w:val="008E7C8A"/>
    <w:rsid w:val="008F41B1"/>
    <w:rsid w:val="00900A55"/>
    <w:rsid w:val="00901CDC"/>
    <w:rsid w:val="00901DE2"/>
    <w:rsid w:val="00902365"/>
    <w:rsid w:val="00902EBF"/>
    <w:rsid w:val="00904BEC"/>
    <w:rsid w:val="009059DA"/>
    <w:rsid w:val="0091095C"/>
    <w:rsid w:val="00921172"/>
    <w:rsid w:val="00921EB8"/>
    <w:rsid w:val="00926EFD"/>
    <w:rsid w:val="00930C23"/>
    <w:rsid w:val="009324E6"/>
    <w:rsid w:val="00933357"/>
    <w:rsid w:val="00933BE4"/>
    <w:rsid w:val="00934765"/>
    <w:rsid w:val="00935F76"/>
    <w:rsid w:val="00937434"/>
    <w:rsid w:val="00940DEA"/>
    <w:rsid w:val="00945D7A"/>
    <w:rsid w:val="009517A7"/>
    <w:rsid w:val="00953B72"/>
    <w:rsid w:val="00956986"/>
    <w:rsid w:val="00956C49"/>
    <w:rsid w:val="0096044E"/>
    <w:rsid w:val="009625D1"/>
    <w:rsid w:val="009645B3"/>
    <w:rsid w:val="009671ED"/>
    <w:rsid w:val="00967DDA"/>
    <w:rsid w:val="00970967"/>
    <w:rsid w:val="00974A22"/>
    <w:rsid w:val="009754B4"/>
    <w:rsid w:val="00981EAA"/>
    <w:rsid w:val="00982FC2"/>
    <w:rsid w:val="00983123"/>
    <w:rsid w:val="00991B80"/>
    <w:rsid w:val="0099220A"/>
    <w:rsid w:val="00993972"/>
    <w:rsid w:val="00996365"/>
    <w:rsid w:val="00997461"/>
    <w:rsid w:val="009A0259"/>
    <w:rsid w:val="009A300F"/>
    <w:rsid w:val="009A306E"/>
    <w:rsid w:val="009A6C78"/>
    <w:rsid w:val="009B4B39"/>
    <w:rsid w:val="009B4C18"/>
    <w:rsid w:val="009B75ED"/>
    <w:rsid w:val="009C0DD8"/>
    <w:rsid w:val="009C1D18"/>
    <w:rsid w:val="009C2D35"/>
    <w:rsid w:val="009C2E9C"/>
    <w:rsid w:val="009C4466"/>
    <w:rsid w:val="009D28E8"/>
    <w:rsid w:val="009D2D20"/>
    <w:rsid w:val="009D64A2"/>
    <w:rsid w:val="009D78D2"/>
    <w:rsid w:val="009E0200"/>
    <w:rsid w:val="009E35C5"/>
    <w:rsid w:val="009E47DF"/>
    <w:rsid w:val="009E4CF4"/>
    <w:rsid w:val="009E6CE2"/>
    <w:rsid w:val="009F3500"/>
    <w:rsid w:val="009F5B08"/>
    <w:rsid w:val="009F70D5"/>
    <w:rsid w:val="00A01C8B"/>
    <w:rsid w:val="00A026A9"/>
    <w:rsid w:val="00A04003"/>
    <w:rsid w:val="00A0546E"/>
    <w:rsid w:val="00A05F20"/>
    <w:rsid w:val="00A10B37"/>
    <w:rsid w:val="00A1165E"/>
    <w:rsid w:val="00A16076"/>
    <w:rsid w:val="00A1690E"/>
    <w:rsid w:val="00A20D67"/>
    <w:rsid w:val="00A24A95"/>
    <w:rsid w:val="00A373A4"/>
    <w:rsid w:val="00A40D1D"/>
    <w:rsid w:val="00A4231E"/>
    <w:rsid w:val="00A46980"/>
    <w:rsid w:val="00A512AB"/>
    <w:rsid w:val="00A5212F"/>
    <w:rsid w:val="00A54D54"/>
    <w:rsid w:val="00A55FC8"/>
    <w:rsid w:val="00A56D40"/>
    <w:rsid w:val="00A61745"/>
    <w:rsid w:val="00A62452"/>
    <w:rsid w:val="00A64476"/>
    <w:rsid w:val="00A6552A"/>
    <w:rsid w:val="00A65F5B"/>
    <w:rsid w:val="00A67135"/>
    <w:rsid w:val="00A67994"/>
    <w:rsid w:val="00A73832"/>
    <w:rsid w:val="00A7556A"/>
    <w:rsid w:val="00A81334"/>
    <w:rsid w:val="00A84F98"/>
    <w:rsid w:val="00A855CC"/>
    <w:rsid w:val="00A85DAF"/>
    <w:rsid w:val="00A8634D"/>
    <w:rsid w:val="00A86356"/>
    <w:rsid w:val="00A86542"/>
    <w:rsid w:val="00A9056E"/>
    <w:rsid w:val="00A927ED"/>
    <w:rsid w:val="00A96C34"/>
    <w:rsid w:val="00AA0030"/>
    <w:rsid w:val="00AA0257"/>
    <w:rsid w:val="00AA044C"/>
    <w:rsid w:val="00AA3A10"/>
    <w:rsid w:val="00AA4AEB"/>
    <w:rsid w:val="00AB00C3"/>
    <w:rsid w:val="00AB2489"/>
    <w:rsid w:val="00AB2C63"/>
    <w:rsid w:val="00AB44BD"/>
    <w:rsid w:val="00AC18E5"/>
    <w:rsid w:val="00AC43D9"/>
    <w:rsid w:val="00AC64BD"/>
    <w:rsid w:val="00AC7826"/>
    <w:rsid w:val="00AD2E5F"/>
    <w:rsid w:val="00AD5DE1"/>
    <w:rsid w:val="00AD7DB6"/>
    <w:rsid w:val="00AE0F0C"/>
    <w:rsid w:val="00AE19B8"/>
    <w:rsid w:val="00AE1DCE"/>
    <w:rsid w:val="00AE42A3"/>
    <w:rsid w:val="00AE448A"/>
    <w:rsid w:val="00AE57F9"/>
    <w:rsid w:val="00AF1BF7"/>
    <w:rsid w:val="00AF222A"/>
    <w:rsid w:val="00AF30B7"/>
    <w:rsid w:val="00AF65FF"/>
    <w:rsid w:val="00B0025F"/>
    <w:rsid w:val="00B00BF7"/>
    <w:rsid w:val="00B101A3"/>
    <w:rsid w:val="00B10C19"/>
    <w:rsid w:val="00B13833"/>
    <w:rsid w:val="00B16DAF"/>
    <w:rsid w:val="00B20512"/>
    <w:rsid w:val="00B2200A"/>
    <w:rsid w:val="00B23317"/>
    <w:rsid w:val="00B23AAE"/>
    <w:rsid w:val="00B23ADC"/>
    <w:rsid w:val="00B24562"/>
    <w:rsid w:val="00B25E9E"/>
    <w:rsid w:val="00B32C91"/>
    <w:rsid w:val="00B332CB"/>
    <w:rsid w:val="00B34BB8"/>
    <w:rsid w:val="00B35A26"/>
    <w:rsid w:val="00B35F46"/>
    <w:rsid w:val="00B36B5E"/>
    <w:rsid w:val="00B4235F"/>
    <w:rsid w:val="00B42962"/>
    <w:rsid w:val="00B42F9B"/>
    <w:rsid w:val="00B45A94"/>
    <w:rsid w:val="00B53086"/>
    <w:rsid w:val="00B5515B"/>
    <w:rsid w:val="00B56E65"/>
    <w:rsid w:val="00B56F60"/>
    <w:rsid w:val="00B60C1D"/>
    <w:rsid w:val="00B626D9"/>
    <w:rsid w:val="00B64573"/>
    <w:rsid w:val="00B64C2D"/>
    <w:rsid w:val="00B651FF"/>
    <w:rsid w:val="00B6598D"/>
    <w:rsid w:val="00B661C9"/>
    <w:rsid w:val="00B6696C"/>
    <w:rsid w:val="00B66ED5"/>
    <w:rsid w:val="00B71F78"/>
    <w:rsid w:val="00B7619A"/>
    <w:rsid w:val="00B76C18"/>
    <w:rsid w:val="00B81A1D"/>
    <w:rsid w:val="00B87D60"/>
    <w:rsid w:val="00B91BCC"/>
    <w:rsid w:val="00B967F5"/>
    <w:rsid w:val="00BA1168"/>
    <w:rsid w:val="00BA2A4A"/>
    <w:rsid w:val="00BA3D3B"/>
    <w:rsid w:val="00BA44C6"/>
    <w:rsid w:val="00BB14EA"/>
    <w:rsid w:val="00BB2DB5"/>
    <w:rsid w:val="00BB5EA2"/>
    <w:rsid w:val="00BB7EFE"/>
    <w:rsid w:val="00BC0246"/>
    <w:rsid w:val="00BC1D5B"/>
    <w:rsid w:val="00BC565B"/>
    <w:rsid w:val="00BC5F23"/>
    <w:rsid w:val="00BD0656"/>
    <w:rsid w:val="00BD271C"/>
    <w:rsid w:val="00BD27E1"/>
    <w:rsid w:val="00BD45B4"/>
    <w:rsid w:val="00BE0489"/>
    <w:rsid w:val="00BE2BB2"/>
    <w:rsid w:val="00BE3FC3"/>
    <w:rsid w:val="00BE6E4F"/>
    <w:rsid w:val="00BF1699"/>
    <w:rsid w:val="00BF16E0"/>
    <w:rsid w:val="00BF2449"/>
    <w:rsid w:val="00BF599F"/>
    <w:rsid w:val="00BF64DA"/>
    <w:rsid w:val="00BF71F6"/>
    <w:rsid w:val="00C02F33"/>
    <w:rsid w:val="00C1050A"/>
    <w:rsid w:val="00C11AD5"/>
    <w:rsid w:val="00C139D7"/>
    <w:rsid w:val="00C13D19"/>
    <w:rsid w:val="00C149A4"/>
    <w:rsid w:val="00C15307"/>
    <w:rsid w:val="00C1673A"/>
    <w:rsid w:val="00C2084C"/>
    <w:rsid w:val="00C2098A"/>
    <w:rsid w:val="00C20B19"/>
    <w:rsid w:val="00C2185E"/>
    <w:rsid w:val="00C21CAD"/>
    <w:rsid w:val="00C24A78"/>
    <w:rsid w:val="00C276A7"/>
    <w:rsid w:val="00C27EF4"/>
    <w:rsid w:val="00C3026B"/>
    <w:rsid w:val="00C322FC"/>
    <w:rsid w:val="00C32340"/>
    <w:rsid w:val="00C33BA8"/>
    <w:rsid w:val="00C37F67"/>
    <w:rsid w:val="00C401C1"/>
    <w:rsid w:val="00C42BE9"/>
    <w:rsid w:val="00C43C8D"/>
    <w:rsid w:val="00C469B7"/>
    <w:rsid w:val="00C50F1F"/>
    <w:rsid w:val="00C5156D"/>
    <w:rsid w:val="00C5495B"/>
    <w:rsid w:val="00C54F12"/>
    <w:rsid w:val="00C60156"/>
    <w:rsid w:val="00C611D0"/>
    <w:rsid w:val="00C62E55"/>
    <w:rsid w:val="00C636E7"/>
    <w:rsid w:val="00C6531A"/>
    <w:rsid w:val="00C70B72"/>
    <w:rsid w:val="00C7135B"/>
    <w:rsid w:val="00C73114"/>
    <w:rsid w:val="00C7328A"/>
    <w:rsid w:val="00C743E7"/>
    <w:rsid w:val="00C744B7"/>
    <w:rsid w:val="00C7489D"/>
    <w:rsid w:val="00C7524D"/>
    <w:rsid w:val="00C818DE"/>
    <w:rsid w:val="00C82D08"/>
    <w:rsid w:val="00C840D6"/>
    <w:rsid w:val="00C84CE4"/>
    <w:rsid w:val="00C87125"/>
    <w:rsid w:val="00C90F0F"/>
    <w:rsid w:val="00C91660"/>
    <w:rsid w:val="00C94B0F"/>
    <w:rsid w:val="00C9704D"/>
    <w:rsid w:val="00CA0C3D"/>
    <w:rsid w:val="00CA16B2"/>
    <w:rsid w:val="00CA399D"/>
    <w:rsid w:val="00CA3C63"/>
    <w:rsid w:val="00CB0880"/>
    <w:rsid w:val="00CB15EB"/>
    <w:rsid w:val="00CB41E3"/>
    <w:rsid w:val="00CB64C8"/>
    <w:rsid w:val="00CB6CC9"/>
    <w:rsid w:val="00CB7571"/>
    <w:rsid w:val="00CB76CC"/>
    <w:rsid w:val="00CC06F3"/>
    <w:rsid w:val="00CC0917"/>
    <w:rsid w:val="00CC11DE"/>
    <w:rsid w:val="00CC12DE"/>
    <w:rsid w:val="00CC1BCB"/>
    <w:rsid w:val="00CC2991"/>
    <w:rsid w:val="00CC3D64"/>
    <w:rsid w:val="00CC50D3"/>
    <w:rsid w:val="00CD0070"/>
    <w:rsid w:val="00CD1B89"/>
    <w:rsid w:val="00CD292E"/>
    <w:rsid w:val="00CD40C9"/>
    <w:rsid w:val="00CD4651"/>
    <w:rsid w:val="00CD6370"/>
    <w:rsid w:val="00CD6DB8"/>
    <w:rsid w:val="00CE0D4F"/>
    <w:rsid w:val="00CE71D1"/>
    <w:rsid w:val="00CE787D"/>
    <w:rsid w:val="00CF20F9"/>
    <w:rsid w:val="00CF492E"/>
    <w:rsid w:val="00CF74C4"/>
    <w:rsid w:val="00CF7B81"/>
    <w:rsid w:val="00CF7E53"/>
    <w:rsid w:val="00D01305"/>
    <w:rsid w:val="00D02A56"/>
    <w:rsid w:val="00D04C9D"/>
    <w:rsid w:val="00D05B75"/>
    <w:rsid w:val="00D075D6"/>
    <w:rsid w:val="00D07991"/>
    <w:rsid w:val="00D13AB3"/>
    <w:rsid w:val="00D14329"/>
    <w:rsid w:val="00D14B1F"/>
    <w:rsid w:val="00D15453"/>
    <w:rsid w:val="00D15EDB"/>
    <w:rsid w:val="00D205F3"/>
    <w:rsid w:val="00D243E2"/>
    <w:rsid w:val="00D244D8"/>
    <w:rsid w:val="00D24518"/>
    <w:rsid w:val="00D25A5F"/>
    <w:rsid w:val="00D30300"/>
    <w:rsid w:val="00D32CB1"/>
    <w:rsid w:val="00D42776"/>
    <w:rsid w:val="00D44043"/>
    <w:rsid w:val="00D52EE5"/>
    <w:rsid w:val="00D52F1D"/>
    <w:rsid w:val="00D53C99"/>
    <w:rsid w:val="00D54C4E"/>
    <w:rsid w:val="00D55983"/>
    <w:rsid w:val="00D55B84"/>
    <w:rsid w:val="00D56843"/>
    <w:rsid w:val="00D5713A"/>
    <w:rsid w:val="00D57AFA"/>
    <w:rsid w:val="00D57C56"/>
    <w:rsid w:val="00D624AD"/>
    <w:rsid w:val="00D6388B"/>
    <w:rsid w:val="00D65867"/>
    <w:rsid w:val="00D6692A"/>
    <w:rsid w:val="00D66EB9"/>
    <w:rsid w:val="00D70879"/>
    <w:rsid w:val="00D70F3C"/>
    <w:rsid w:val="00D80C2D"/>
    <w:rsid w:val="00D81C68"/>
    <w:rsid w:val="00D874E5"/>
    <w:rsid w:val="00D87E82"/>
    <w:rsid w:val="00D90FA8"/>
    <w:rsid w:val="00D91C1B"/>
    <w:rsid w:val="00D924C4"/>
    <w:rsid w:val="00DA14AE"/>
    <w:rsid w:val="00DA516C"/>
    <w:rsid w:val="00DB146F"/>
    <w:rsid w:val="00DB2C8B"/>
    <w:rsid w:val="00DB4FC5"/>
    <w:rsid w:val="00DC216B"/>
    <w:rsid w:val="00DC2E6A"/>
    <w:rsid w:val="00DC339C"/>
    <w:rsid w:val="00DC45E3"/>
    <w:rsid w:val="00DC4BE0"/>
    <w:rsid w:val="00DC74B9"/>
    <w:rsid w:val="00DD2344"/>
    <w:rsid w:val="00DD294F"/>
    <w:rsid w:val="00DD342C"/>
    <w:rsid w:val="00DE19BE"/>
    <w:rsid w:val="00DE3328"/>
    <w:rsid w:val="00DE432C"/>
    <w:rsid w:val="00DE4C70"/>
    <w:rsid w:val="00DE539A"/>
    <w:rsid w:val="00DE63F2"/>
    <w:rsid w:val="00DE69AD"/>
    <w:rsid w:val="00DE7685"/>
    <w:rsid w:val="00DF038B"/>
    <w:rsid w:val="00DF0B0A"/>
    <w:rsid w:val="00DF12FD"/>
    <w:rsid w:val="00DF4AD5"/>
    <w:rsid w:val="00DF4F34"/>
    <w:rsid w:val="00DF66E8"/>
    <w:rsid w:val="00DF6801"/>
    <w:rsid w:val="00E025E0"/>
    <w:rsid w:val="00E0367D"/>
    <w:rsid w:val="00E0480A"/>
    <w:rsid w:val="00E11D29"/>
    <w:rsid w:val="00E14A19"/>
    <w:rsid w:val="00E16E8E"/>
    <w:rsid w:val="00E2021A"/>
    <w:rsid w:val="00E20A45"/>
    <w:rsid w:val="00E220A9"/>
    <w:rsid w:val="00E24794"/>
    <w:rsid w:val="00E24BFF"/>
    <w:rsid w:val="00E2514D"/>
    <w:rsid w:val="00E30487"/>
    <w:rsid w:val="00E307F1"/>
    <w:rsid w:val="00E346F7"/>
    <w:rsid w:val="00E35CEF"/>
    <w:rsid w:val="00E3719C"/>
    <w:rsid w:val="00E3767F"/>
    <w:rsid w:val="00E50AC3"/>
    <w:rsid w:val="00E51590"/>
    <w:rsid w:val="00E55859"/>
    <w:rsid w:val="00E562E1"/>
    <w:rsid w:val="00E56A82"/>
    <w:rsid w:val="00E56DEB"/>
    <w:rsid w:val="00E571C1"/>
    <w:rsid w:val="00E610E9"/>
    <w:rsid w:val="00E61310"/>
    <w:rsid w:val="00E654C9"/>
    <w:rsid w:val="00E6603E"/>
    <w:rsid w:val="00E665D5"/>
    <w:rsid w:val="00E66BC9"/>
    <w:rsid w:val="00E70E1F"/>
    <w:rsid w:val="00E714D6"/>
    <w:rsid w:val="00E721BB"/>
    <w:rsid w:val="00E73A43"/>
    <w:rsid w:val="00E74F17"/>
    <w:rsid w:val="00E75B3B"/>
    <w:rsid w:val="00E800C0"/>
    <w:rsid w:val="00E8786D"/>
    <w:rsid w:val="00E913EB"/>
    <w:rsid w:val="00E920F3"/>
    <w:rsid w:val="00E929F8"/>
    <w:rsid w:val="00E94091"/>
    <w:rsid w:val="00E943BF"/>
    <w:rsid w:val="00E94E78"/>
    <w:rsid w:val="00E95029"/>
    <w:rsid w:val="00E9659A"/>
    <w:rsid w:val="00E966B7"/>
    <w:rsid w:val="00E97577"/>
    <w:rsid w:val="00EA1B14"/>
    <w:rsid w:val="00EA1EC2"/>
    <w:rsid w:val="00EA31EA"/>
    <w:rsid w:val="00EA57AC"/>
    <w:rsid w:val="00EB09A0"/>
    <w:rsid w:val="00EB0B76"/>
    <w:rsid w:val="00EB4624"/>
    <w:rsid w:val="00EB5A31"/>
    <w:rsid w:val="00EC3B55"/>
    <w:rsid w:val="00EC4746"/>
    <w:rsid w:val="00EC4EC0"/>
    <w:rsid w:val="00EC4F79"/>
    <w:rsid w:val="00ED1391"/>
    <w:rsid w:val="00ED2957"/>
    <w:rsid w:val="00ED4B0E"/>
    <w:rsid w:val="00ED5598"/>
    <w:rsid w:val="00ED5883"/>
    <w:rsid w:val="00ED68B8"/>
    <w:rsid w:val="00ED69EF"/>
    <w:rsid w:val="00EE635E"/>
    <w:rsid w:val="00EE73C9"/>
    <w:rsid w:val="00EE7866"/>
    <w:rsid w:val="00EF3E24"/>
    <w:rsid w:val="00EF6BD3"/>
    <w:rsid w:val="00EF6DDF"/>
    <w:rsid w:val="00F02FC1"/>
    <w:rsid w:val="00F035BA"/>
    <w:rsid w:val="00F04407"/>
    <w:rsid w:val="00F05C92"/>
    <w:rsid w:val="00F071D9"/>
    <w:rsid w:val="00F11545"/>
    <w:rsid w:val="00F12C96"/>
    <w:rsid w:val="00F13CDA"/>
    <w:rsid w:val="00F14EB7"/>
    <w:rsid w:val="00F1727B"/>
    <w:rsid w:val="00F227A5"/>
    <w:rsid w:val="00F2416D"/>
    <w:rsid w:val="00F2449E"/>
    <w:rsid w:val="00F31834"/>
    <w:rsid w:val="00F3245A"/>
    <w:rsid w:val="00F333F2"/>
    <w:rsid w:val="00F33678"/>
    <w:rsid w:val="00F33C06"/>
    <w:rsid w:val="00F35488"/>
    <w:rsid w:val="00F37569"/>
    <w:rsid w:val="00F37BA2"/>
    <w:rsid w:val="00F37E24"/>
    <w:rsid w:val="00F43D40"/>
    <w:rsid w:val="00F4468F"/>
    <w:rsid w:val="00F50635"/>
    <w:rsid w:val="00F513EA"/>
    <w:rsid w:val="00F53B93"/>
    <w:rsid w:val="00F5484E"/>
    <w:rsid w:val="00F54FD1"/>
    <w:rsid w:val="00F554F4"/>
    <w:rsid w:val="00F579F1"/>
    <w:rsid w:val="00F6173C"/>
    <w:rsid w:val="00F62272"/>
    <w:rsid w:val="00F64B1E"/>
    <w:rsid w:val="00F6668C"/>
    <w:rsid w:val="00F66F11"/>
    <w:rsid w:val="00F71D42"/>
    <w:rsid w:val="00F71F3F"/>
    <w:rsid w:val="00F7663C"/>
    <w:rsid w:val="00F77F3F"/>
    <w:rsid w:val="00F801A0"/>
    <w:rsid w:val="00F81215"/>
    <w:rsid w:val="00F8223F"/>
    <w:rsid w:val="00F827B5"/>
    <w:rsid w:val="00F85F92"/>
    <w:rsid w:val="00F86959"/>
    <w:rsid w:val="00F942F9"/>
    <w:rsid w:val="00F94D8C"/>
    <w:rsid w:val="00F95B06"/>
    <w:rsid w:val="00FA1E7E"/>
    <w:rsid w:val="00FA749C"/>
    <w:rsid w:val="00FA77AD"/>
    <w:rsid w:val="00FB180D"/>
    <w:rsid w:val="00FB332C"/>
    <w:rsid w:val="00FB4126"/>
    <w:rsid w:val="00FB70E4"/>
    <w:rsid w:val="00FC021A"/>
    <w:rsid w:val="00FC1314"/>
    <w:rsid w:val="00FC1B3A"/>
    <w:rsid w:val="00FC1B48"/>
    <w:rsid w:val="00FC3261"/>
    <w:rsid w:val="00FC3EF0"/>
    <w:rsid w:val="00FC5063"/>
    <w:rsid w:val="00FC6C8E"/>
    <w:rsid w:val="00FD2BF2"/>
    <w:rsid w:val="00FD31A8"/>
    <w:rsid w:val="00FD5D08"/>
    <w:rsid w:val="00FD7927"/>
    <w:rsid w:val="00FD7C39"/>
    <w:rsid w:val="00FE17DA"/>
    <w:rsid w:val="00FE20DE"/>
    <w:rsid w:val="00FE6D55"/>
    <w:rsid w:val="00FE6FFD"/>
    <w:rsid w:val="00FF11D5"/>
    <w:rsid w:val="00FF1C54"/>
    <w:rsid w:val="00FF3BEC"/>
    <w:rsid w:val="00FF545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92044FE-16F7-41C4-8C7C-E6A32659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3719C"/>
    <w:pPr>
      <w:ind w:left="720"/>
      <w:contextualSpacing/>
    </w:pPr>
  </w:style>
  <w:style w:type="character" w:customStyle="1" w:styleId="algo-summary">
    <w:name w:val="algo-summary"/>
    <w:basedOn w:val="DefaultParagraphFont"/>
    <w:rsid w:val="009C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RZS\Saopstenja\Obrazovanje\2020\DD-51\Saop&#353;tenje%20_%20SSK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RZS\Saopstenja\Obrazovanje\2020\DD-51\Saop&#353;tenje%20_%20SSK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/>
              <a:t>Chart 1. Students who finished regular upper secondary school based on the type of program and gender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Sheet1!$R$23</c:f>
              <c:strCache>
                <c:ptCount val="1"/>
                <c:pt idx="0">
                  <c:v> Total</c:v>
                </c:pt>
              </c:strCache>
            </c:strRef>
          </c:tx>
          <c:spPr>
            <a:solidFill>
              <a:srgbClr val="2F415B"/>
            </a:solidFill>
            <a:ln>
              <a:noFill/>
            </a:ln>
            <a:effectLst/>
          </c:spPr>
          <c:invertIfNegative val="0"/>
          <c:cat>
            <c:strRef>
              <c:f>Sheet1!$S$22:$U$22</c:f>
              <c:strCache>
                <c:ptCount val="3"/>
                <c:pt idx="0">
                  <c:v> Grammar school </c:v>
                </c:pt>
                <c:pt idx="1">
                  <c:v> A four-year vocational school</c:v>
                </c:pt>
                <c:pt idx="2">
                  <c:v> A three-year vocational school</c:v>
                </c:pt>
              </c:strCache>
            </c:strRef>
          </c:cat>
          <c:val>
            <c:numRef>
              <c:f>Sheet1!$S$23:$U$23</c:f>
              <c:numCache>
                <c:formatCode>General</c:formatCode>
                <c:ptCount val="3"/>
                <c:pt idx="0">
                  <c:v>16010</c:v>
                </c:pt>
                <c:pt idx="1">
                  <c:v>36716</c:v>
                </c:pt>
                <c:pt idx="2">
                  <c:v>8145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46-4163-86E5-E8DD6ED3C858}"/>
            </c:ext>
          </c:extLst>
        </c:ser>
        <c:ser>
          <c:idx val="1"/>
          <c:order val="1"/>
          <c:tx>
            <c:strRef>
              <c:f>Sheet1!$R$24</c:f>
              <c:strCache>
                <c:ptCount val="1"/>
                <c:pt idx="0">
                  <c:v> Girls</c:v>
                </c:pt>
              </c:strCache>
            </c:strRef>
          </c:tx>
          <c:spPr>
            <a:solidFill>
              <a:srgbClr val="F0E2C9"/>
            </a:solidFill>
            <a:ln>
              <a:noFill/>
            </a:ln>
            <a:effectLst/>
          </c:spPr>
          <c:invertIfNegative val="0"/>
          <c:cat>
            <c:strRef>
              <c:f>Sheet1!$S$22:$U$22</c:f>
              <c:strCache>
                <c:ptCount val="3"/>
                <c:pt idx="0">
                  <c:v> Grammar school </c:v>
                </c:pt>
                <c:pt idx="1">
                  <c:v> A four-year vocational school</c:v>
                </c:pt>
                <c:pt idx="2">
                  <c:v> A three-year vocational school</c:v>
                </c:pt>
              </c:strCache>
            </c:strRef>
          </c:cat>
          <c:val>
            <c:numRef>
              <c:f>Sheet1!$S$24:$U$24</c:f>
              <c:numCache>
                <c:formatCode>General</c:formatCode>
                <c:ptCount val="3"/>
                <c:pt idx="0">
                  <c:v>9407</c:v>
                </c:pt>
                <c:pt idx="1">
                  <c:v>18353</c:v>
                </c:pt>
                <c:pt idx="2">
                  <c:v>2394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46-4163-86E5-E8DD6ED3C858}"/>
            </c:ext>
          </c:extLst>
        </c:ser>
        <c:ser>
          <c:idx val="2"/>
          <c:order val="2"/>
          <c:tx>
            <c:strRef>
              <c:f>Sheet1!$R$25</c:f>
              <c:strCache>
                <c:ptCount val="1"/>
                <c:pt idx="0">
                  <c:v> Boys</c:v>
                </c:pt>
              </c:strCache>
            </c:strRef>
          </c:tx>
          <c:spPr>
            <a:solidFill>
              <a:srgbClr val="81A1C8"/>
            </a:solidFill>
            <a:ln>
              <a:noFill/>
            </a:ln>
            <a:effectLst/>
          </c:spPr>
          <c:invertIfNegative val="0"/>
          <c:cat>
            <c:strRef>
              <c:f>Sheet1!$S$22:$U$22</c:f>
              <c:strCache>
                <c:ptCount val="3"/>
                <c:pt idx="0">
                  <c:v> Grammar school </c:v>
                </c:pt>
                <c:pt idx="1">
                  <c:v> A four-year vocational school</c:v>
                </c:pt>
                <c:pt idx="2">
                  <c:v> A three-year vocational school</c:v>
                </c:pt>
              </c:strCache>
            </c:strRef>
          </c:cat>
          <c:val>
            <c:numRef>
              <c:f>Sheet1!$S$25:$U$25</c:f>
              <c:numCache>
                <c:formatCode>General</c:formatCode>
                <c:ptCount val="3"/>
                <c:pt idx="0">
                  <c:v>6603</c:v>
                </c:pt>
                <c:pt idx="1">
                  <c:v>18363</c:v>
                </c:pt>
                <c:pt idx="2">
                  <c:v>5751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46-4163-86E5-E8DD6ED3C8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4550831"/>
        <c:axId val="1734564143"/>
      </c:barChart>
      <c:catAx>
        <c:axId val="17345508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4564143"/>
        <c:crosses val="autoZero"/>
        <c:auto val="1"/>
        <c:lblAlgn val="ctr"/>
        <c:lblOffset val="100"/>
        <c:noMultiLvlLbl val="0"/>
      </c:catAx>
      <c:valAx>
        <c:axId val="17345641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45508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1" i="0" baseline="0">
                <a:effectLst/>
              </a:rPr>
              <a:t>Chart 2. Students who finished </a:t>
            </a:r>
            <a:r>
              <a:rPr lang="sr-Latn-RS" sz="1100" b="1" i="0" baseline="0">
                <a:effectLst/>
              </a:rPr>
              <a:t>upper secondary </a:t>
            </a:r>
            <a:r>
              <a:rPr lang="en-US" sz="1100" b="1" i="0" baseline="0">
                <a:effectLst/>
              </a:rPr>
              <a:t>school based on the </a:t>
            </a:r>
            <a:r>
              <a:rPr lang="sr-Latn-RS" sz="1100" b="1" i="0" baseline="0">
                <a:effectLst/>
              </a:rPr>
              <a:t>fields of education and</a:t>
            </a:r>
            <a:r>
              <a:rPr lang="sr-Latn-RS" sz="1100" b="0" i="0" baseline="0">
                <a:effectLst/>
              </a:rPr>
              <a:t> </a:t>
            </a:r>
            <a:r>
              <a:rPr lang="en-US" sz="1100" b="1" i="0" baseline="0">
                <a:effectLst/>
              </a:rPr>
              <a:t>gender</a:t>
            </a:r>
            <a:endParaRPr lang="en-US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Sheet1!$R$38</c:f>
              <c:strCache>
                <c:ptCount val="1"/>
                <c:pt idx="0">
                  <c:v> Total</c:v>
                </c:pt>
              </c:strCache>
            </c:strRef>
          </c:tx>
          <c:spPr>
            <a:solidFill>
              <a:srgbClr val="2F415B"/>
            </a:solidFill>
            <a:ln>
              <a:noFill/>
            </a:ln>
            <a:effectLst/>
          </c:spPr>
          <c:invertIfNegative val="0"/>
          <c:cat>
            <c:strRef>
              <c:f>Sheet1!$Q$39:$Q$55</c:f>
              <c:strCache>
                <c:ptCount val="17"/>
                <c:pt idx="0">
                  <c:v>Military schools</c:v>
                </c:pt>
                <c:pt idx="1">
                  <c:v>Other (personal services)</c:v>
                </c:pt>
                <c:pt idx="2">
                  <c:v>Health and social welfare</c:v>
                </c:pt>
                <c:pt idx="3">
                  <c:v>Culture, arts and public information</c:v>
                </c:pt>
                <c:pt idx="4">
                  <c:v>Hydrometeorology</c:v>
                </c:pt>
                <c:pt idx="5">
                  <c:v>Economics, law and administration</c:v>
                </c:pt>
                <c:pt idx="6">
                  <c:v>Trade, catering and tourism</c:v>
                </c:pt>
                <c:pt idx="7">
                  <c:v>Transport</c:v>
                </c:pt>
                <c:pt idx="8">
                  <c:v>Geodesy and construction</c:v>
                </c:pt>
                <c:pt idx="9">
                  <c:v>Textiles and leather industry </c:v>
                </c:pt>
                <c:pt idx="10">
                  <c:v>Chemistry, non-metal work and printing</c:v>
                </c:pt>
                <c:pt idx="11">
                  <c:v>Electrical engineering</c:v>
                </c:pt>
                <c:pt idx="12">
                  <c:v>Machinery and metal processing</c:v>
                </c:pt>
                <c:pt idx="13">
                  <c:v>Geology, mining  and metallurgy</c:v>
                </c:pt>
                <c:pt idx="14">
                  <c:v>Forestry and wood processing</c:v>
                </c:pt>
                <c:pt idx="15">
                  <c:v>Agriculture, food processing</c:v>
                </c:pt>
                <c:pt idx="16">
                  <c:v>High school</c:v>
                </c:pt>
              </c:strCache>
            </c:strRef>
          </c:cat>
          <c:val>
            <c:numRef>
              <c:f>Sheet1!$R$39:$R$55</c:f>
              <c:numCache>
                <c:formatCode>General</c:formatCode>
                <c:ptCount val="17"/>
                <c:pt idx="0">
                  <c:v>102</c:v>
                </c:pt>
                <c:pt idx="1">
                  <c:v>898</c:v>
                </c:pt>
                <c:pt idx="2">
                  <c:v>6095</c:v>
                </c:pt>
                <c:pt idx="3">
                  <c:v>1240</c:v>
                </c:pt>
                <c:pt idx="4">
                  <c:v>51</c:v>
                </c:pt>
                <c:pt idx="5">
                  <c:v>8224</c:v>
                </c:pt>
                <c:pt idx="6">
                  <c:v>5140</c:v>
                </c:pt>
                <c:pt idx="7">
                  <c:v>3040</c:v>
                </c:pt>
                <c:pt idx="8">
                  <c:v>1236</c:v>
                </c:pt>
                <c:pt idx="9">
                  <c:v>667</c:v>
                </c:pt>
                <c:pt idx="10">
                  <c:v>2205</c:v>
                </c:pt>
                <c:pt idx="11">
                  <c:v>6489</c:v>
                </c:pt>
                <c:pt idx="12">
                  <c:v>5267</c:v>
                </c:pt>
                <c:pt idx="13">
                  <c:v>252</c:v>
                </c:pt>
                <c:pt idx="14">
                  <c:v>647</c:v>
                </c:pt>
                <c:pt idx="15">
                  <c:v>3415</c:v>
                </c:pt>
                <c:pt idx="16">
                  <c:v>16010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D4-4B6C-BE1F-D82C27843349}"/>
            </c:ext>
          </c:extLst>
        </c:ser>
        <c:ser>
          <c:idx val="1"/>
          <c:order val="1"/>
          <c:tx>
            <c:strRef>
              <c:f>Sheet1!$S$38</c:f>
              <c:strCache>
                <c:ptCount val="1"/>
                <c:pt idx="0">
                  <c:v> Girls</c:v>
                </c:pt>
              </c:strCache>
            </c:strRef>
          </c:tx>
          <c:spPr>
            <a:solidFill>
              <a:srgbClr val="F0E2C9"/>
            </a:solidFill>
            <a:ln>
              <a:noFill/>
            </a:ln>
            <a:effectLst/>
          </c:spPr>
          <c:invertIfNegative val="0"/>
          <c:cat>
            <c:strRef>
              <c:f>Sheet1!$Q$39:$Q$55</c:f>
              <c:strCache>
                <c:ptCount val="17"/>
                <c:pt idx="0">
                  <c:v>Military schools</c:v>
                </c:pt>
                <c:pt idx="1">
                  <c:v>Other (personal services)</c:v>
                </c:pt>
                <c:pt idx="2">
                  <c:v>Health and social welfare</c:v>
                </c:pt>
                <c:pt idx="3">
                  <c:v>Culture, arts and public information</c:v>
                </c:pt>
                <c:pt idx="4">
                  <c:v>Hydrometeorology</c:v>
                </c:pt>
                <c:pt idx="5">
                  <c:v>Economics, law and administration</c:v>
                </c:pt>
                <c:pt idx="6">
                  <c:v>Trade, catering and tourism</c:v>
                </c:pt>
                <c:pt idx="7">
                  <c:v>Transport</c:v>
                </c:pt>
                <c:pt idx="8">
                  <c:v>Geodesy and construction</c:v>
                </c:pt>
                <c:pt idx="9">
                  <c:v>Textiles and leather industry </c:v>
                </c:pt>
                <c:pt idx="10">
                  <c:v>Chemistry, non-metal work and printing</c:v>
                </c:pt>
                <c:pt idx="11">
                  <c:v>Electrical engineering</c:v>
                </c:pt>
                <c:pt idx="12">
                  <c:v>Machinery and metal processing</c:v>
                </c:pt>
                <c:pt idx="13">
                  <c:v>Geology, mining  and metallurgy</c:v>
                </c:pt>
                <c:pt idx="14">
                  <c:v>Forestry and wood processing</c:v>
                </c:pt>
                <c:pt idx="15">
                  <c:v>Agriculture, food processing</c:v>
                </c:pt>
                <c:pt idx="16">
                  <c:v>High school</c:v>
                </c:pt>
              </c:strCache>
            </c:strRef>
          </c:cat>
          <c:val>
            <c:numRef>
              <c:f>Sheet1!$S$39:$S$55</c:f>
              <c:numCache>
                <c:formatCode>General</c:formatCode>
                <c:ptCount val="17"/>
                <c:pt idx="0">
                  <c:v>22</c:v>
                </c:pt>
                <c:pt idx="1">
                  <c:v>732</c:v>
                </c:pt>
                <c:pt idx="2">
                  <c:v>4619</c:v>
                </c:pt>
                <c:pt idx="3">
                  <c:v>832</c:v>
                </c:pt>
                <c:pt idx="4">
                  <c:v>34</c:v>
                </c:pt>
                <c:pt idx="5">
                  <c:v>5338</c:v>
                </c:pt>
                <c:pt idx="6">
                  <c:v>2690</c:v>
                </c:pt>
                <c:pt idx="7">
                  <c:v>968</c:v>
                </c:pt>
                <c:pt idx="8">
                  <c:v>430</c:v>
                </c:pt>
                <c:pt idx="9">
                  <c:v>558</c:v>
                </c:pt>
                <c:pt idx="10">
                  <c:v>1495</c:v>
                </c:pt>
                <c:pt idx="11">
                  <c:v>491</c:v>
                </c:pt>
                <c:pt idx="12">
                  <c:v>719</c:v>
                </c:pt>
                <c:pt idx="13">
                  <c:v>88</c:v>
                </c:pt>
                <c:pt idx="14">
                  <c:v>198</c:v>
                </c:pt>
                <c:pt idx="15">
                  <c:v>1560</c:v>
                </c:pt>
                <c:pt idx="16">
                  <c:v>9407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D4-4B6C-BE1F-D82C27843349}"/>
            </c:ext>
          </c:extLst>
        </c:ser>
        <c:ser>
          <c:idx val="2"/>
          <c:order val="2"/>
          <c:tx>
            <c:strRef>
              <c:f>Sheet1!$T$38</c:f>
              <c:strCache>
                <c:ptCount val="1"/>
                <c:pt idx="0">
                  <c:v> Boys</c:v>
                </c:pt>
              </c:strCache>
            </c:strRef>
          </c:tx>
          <c:spPr>
            <a:solidFill>
              <a:srgbClr val="81A1C8"/>
            </a:solidFill>
            <a:ln>
              <a:noFill/>
            </a:ln>
            <a:effectLst/>
          </c:spPr>
          <c:invertIfNegative val="0"/>
          <c:cat>
            <c:strRef>
              <c:f>Sheet1!$Q$39:$Q$55</c:f>
              <c:strCache>
                <c:ptCount val="17"/>
                <c:pt idx="0">
                  <c:v>Military schools</c:v>
                </c:pt>
                <c:pt idx="1">
                  <c:v>Other (personal services)</c:v>
                </c:pt>
                <c:pt idx="2">
                  <c:v>Health and social welfare</c:v>
                </c:pt>
                <c:pt idx="3">
                  <c:v>Culture, arts and public information</c:v>
                </c:pt>
                <c:pt idx="4">
                  <c:v>Hydrometeorology</c:v>
                </c:pt>
                <c:pt idx="5">
                  <c:v>Economics, law and administration</c:v>
                </c:pt>
                <c:pt idx="6">
                  <c:v>Trade, catering and tourism</c:v>
                </c:pt>
                <c:pt idx="7">
                  <c:v>Transport</c:v>
                </c:pt>
                <c:pt idx="8">
                  <c:v>Geodesy and construction</c:v>
                </c:pt>
                <c:pt idx="9">
                  <c:v>Textiles and leather industry </c:v>
                </c:pt>
                <c:pt idx="10">
                  <c:v>Chemistry, non-metal work and printing</c:v>
                </c:pt>
                <c:pt idx="11">
                  <c:v>Electrical engineering</c:v>
                </c:pt>
                <c:pt idx="12">
                  <c:v>Machinery and metal processing</c:v>
                </c:pt>
                <c:pt idx="13">
                  <c:v>Geology, mining  and metallurgy</c:v>
                </c:pt>
                <c:pt idx="14">
                  <c:v>Forestry and wood processing</c:v>
                </c:pt>
                <c:pt idx="15">
                  <c:v>Agriculture, food processing</c:v>
                </c:pt>
                <c:pt idx="16">
                  <c:v>High school</c:v>
                </c:pt>
              </c:strCache>
            </c:strRef>
          </c:cat>
          <c:val>
            <c:numRef>
              <c:f>Sheet1!$T$39:$T$55</c:f>
              <c:numCache>
                <c:formatCode>General</c:formatCode>
                <c:ptCount val="17"/>
                <c:pt idx="0">
                  <c:v>80</c:v>
                </c:pt>
                <c:pt idx="1">
                  <c:v>166</c:v>
                </c:pt>
                <c:pt idx="2">
                  <c:v>1476</c:v>
                </c:pt>
                <c:pt idx="3">
                  <c:v>408</c:v>
                </c:pt>
                <c:pt idx="4">
                  <c:v>17</c:v>
                </c:pt>
                <c:pt idx="5">
                  <c:v>2886</c:v>
                </c:pt>
                <c:pt idx="6">
                  <c:v>2450</c:v>
                </c:pt>
                <c:pt idx="7">
                  <c:v>2072</c:v>
                </c:pt>
                <c:pt idx="8">
                  <c:v>806</c:v>
                </c:pt>
                <c:pt idx="9">
                  <c:v>109</c:v>
                </c:pt>
                <c:pt idx="10">
                  <c:v>710</c:v>
                </c:pt>
                <c:pt idx="11">
                  <c:v>5998</c:v>
                </c:pt>
                <c:pt idx="12">
                  <c:v>4548</c:v>
                </c:pt>
                <c:pt idx="13">
                  <c:v>164</c:v>
                </c:pt>
                <c:pt idx="14">
                  <c:v>449</c:v>
                </c:pt>
                <c:pt idx="15">
                  <c:v>1855</c:v>
                </c:pt>
                <c:pt idx="16">
                  <c:v>6603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D4-4B6C-BE1F-D82C278433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971663103"/>
        <c:axId val="1971660191"/>
      </c:barChart>
      <c:catAx>
        <c:axId val="19716631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1660191"/>
        <c:crosses val="autoZero"/>
        <c:auto val="1"/>
        <c:lblAlgn val="ctr"/>
        <c:lblOffset val="100"/>
        <c:noMultiLvlLbl val="0"/>
      </c:catAx>
      <c:valAx>
        <c:axId val="19716601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16631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E5A37-5644-4C95-9BA1-2CC28D59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663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4596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23</cp:revision>
  <cp:lastPrinted>2018-06-27T04:52:00Z</cp:lastPrinted>
  <dcterms:created xsi:type="dcterms:W3CDTF">2018-06-27T06:32:00Z</dcterms:created>
  <dcterms:modified xsi:type="dcterms:W3CDTF">2020-06-26T09:40:00Z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