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081B9D" w:rsidRPr="00067C9B" w14:paraId="41D55EE4" w14:textId="77777777" w:rsidTr="00D90B8E">
        <w:trPr>
          <w:cantSplit/>
          <w:trHeight w:val="631"/>
          <w:jc w:val="center"/>
        </w:trPr>
        <w:tc>
          <w:tcPr>
            <w:tcW w:w="812" w:type="pct"/>
            <w:tcBorders>
              <w:top w:val="single" w:sz="12" w:space="0" w:color="808080"/>
              <w:left w:val="nil"/>
              <w:bottom w:val="nil"/>
            </w:tcBorders>
            <w:vAlign w:val="center"/>
          </w:tcPr>
          <w:p w14:paraId="63DE9EEC" w14:textId="77777777" w:rsidR="00081B9D" w:rsidRPr="00067C9B" w:rsidRDefault="00081B9D" w:rsidP="00D90B8E">
            <w:pPr>
              <w:rPr>
                <w:color w:val="808080"/>
                <w:lang w:val="sr-Latn-RS"/>
              </w:rPr>
            </w:pPr>
            <w:r w:rsidRPr="00067C9B">
              <w:rPr>
                <w:noProof/>
              </w:rPr>
              <w:drawing>
                <wp:anchor distT="0" distB="0" distL="114300" distR="114300" simplePos="0" relativeHeight="251656704" behindDoc="0" locked="0" layoutInCell="1" allowOverlap="1" wp14:anchorId="4BB365A6" wp14:editId="3C4F7542">
                  <wp:simplePos x="0" y="0"/>
                  <wp:positionH relativeFrom="character">
                    <wp:posOffset>0</wp:posOffset>
                  </wp:positionH>
                  <wp:positionV relativeFrom="line">
                    <wp:posOffset>0</wp:posOffset>
                  </wp:positionV>
                  <wp:extent cx="904875" cy="2190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219075"/>
                          </a:xfrm>
                          <a:prstGeom prst="rect">
                            <a:avLst/>
                          </a:prstGeom>
                          <a:noFill/>
                        </pic:spPr>
                      </pic:pic>
                    </a:graphicData>
                  </a:graphic>
                </wp:anchor>
              </w:drawing>
            </w:r>
            <w:r w:rsidRPr="00067C9B">
              <w:rPr>
                <w:noProof/>
                <w:color w:val="808080"/>
              </w:rPr>
              <w:drawing>
                <wp:inline distT="0" distB="0" distL="0" distR="0" wp14:anchorId="4F524AA7" wp14:editId="2306D52B">
                  <wp:extent cx="8667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99873" b="99873"/>
                          <a:stretch>
                            <a:fillRect/>
                          </a:stretch>
                        </pic:blipFill>
                        <pic:spPr bwMode="auto">
                          <a:xfrm>
                            <a:off x="0" y="0"/>
                            <a:ext cx="866775" cy="1809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14:paraId="6E83A404" w14:textId="77777777" w:rsidR="00081B9D" w:rsidRPr="00067C9B" w:rsidRDefault="00081B9D" w:rsidP="00D90B8E">
            <w:pPr>
              <w:rPr>
                <w:lang w:val="sr-Latn-RS"/>
              </w:rPr>
            </w:pPr>
            <w:r w:rsidRPr="00067C9B">
              <w:rPr>
                <w:lang w:val="sr-Latn-RS"/>
              </w:rPr>
              <w:t>Statistical Office of the Republic of Serbia</w:t>
            </w:r>
          </w:p>
        </w:tc>
        <w:tc>
          <w:tcPr>
            <w:tcW w:w="0" w:type="auto"/>
            <w:tcBorders>
              <w:top w:val="single" w:sz="12" w:space="0" w:color="808080"/>
              <w:bottom w:val="nil"/>
              <w:right w:val="nil"/>
            </w:tcBorders>
            <w:vAlign w:val="center"/>
          </w:tcPr>
          <w:p w14:paraId="4B3816F4" w14:textId="77777777" w:rsidR="00081B9D" w:rsidRPr="00067C9B" w:rsidRDefault="00081B9D" w:rsidP="00D90B8E">
            <w:pPr>
              <w:jc w:val="right"/>
              <w:rPr>
                <w:b/>
                <w:bCs/>
                <w:color w:val="808080"/>
                <w:lang w:val="sr-Latn-RS"/>
              </w:rPr>
            </w:pPr>
            <w:r w:rsidRPr="00067C9B">
              <w:rPr>
                <w:lang w:val="sr-Latn-RS"/>
              </w:rPr>
              <w:t>ISSN 0353-9555</w:t>
            </w:r>
          </w:p>
        </w:tc>
      </w:tr>
      <w:tr w:rsidR="00081B9D" w:rsidRPr="00067C9B" w14:paraId="1431440D" w14:textId="77777777" w:rsidTr="00D90B8E">
        <w:trPr>
          <w:cantSplit/>
          <w:trHeight w:val="836"/>
          <w:jc w:val="center"/>
        </w:trPr>
        <w:tc>
          <w:tcPr>
            <w:tcW w:w="0" w:type="auto"/>
            <w:gridSpan w:val="2"/>
            <w:tcBorders>
              <w:top w:val="nil"/>
              <w:left w:val="nil"/>
              <w:right w:val="nil"/>
            </w:tcBorders>
            <w:vAlign w:val="center"/>
          </w:tcPr>
          <w:p w14:paraId="31A618E9" w14:textId="77777777" w:rsidR="00081B9D" w:rsidRPr="00067C9B" w:rsidRDefault="00081B9D" w:rsidP="00D90B8E">
            <w:pPr>
              <w:rPr>
                <w:b/>
                <w:bCs/>
                <w:color w:val="808080"/>
                <w:sz w:val="48"/>
                <w:szCs w:val="48"/>
                <w:lang w:val="sr-Latn-RS"/>
              </w:rPr>
            </w:pPr>
            <w:r w:rsidRPr="00067C9B">
              <w:rPr>
                <w:b/>
                <w:bCs/>
                <w:color w:val="808080"/>
                <w:sz w:val="48"/>
                <w:szCs w:val="48"/>
                <w:lang w:val="sr-Latn-RS"/>
              </w:rPr>
              <w:t>STATISTICAL RELEASE</w:t>
            </w:r>
          </w:p>
        </w:tc>
        <w:tc>
          <w:tcPr>
            <w:tcW w:w="0" w:type="auto"/>
            <w:tcBorders>
              <w:top w:val="nil"/>
              <w:left w:val="nil"/>
              <w:right w:val="nil"/>
            </w:tcBorders>
            <w:vAlign w:val="center"/>
          </w:tcPr>
          <w:p w14:paraId="4C167271" w14:textId="213F00A9" w:rsidR="00081B9D" w:rsidRPr="00067C9B" w:rsidRDefault="00081B9D" w:rsidP="00081B9D">
            <w:pPr>
              <w:jc w:val="right"/>
              <w:rPr>
                <w:b/>
                <w:bCs/>
                <w:color w:val="808080"/>
                <w:sz w:val="12"/>
                <w:szCs w:val="12"/>
                <w:lang w:val="sr-Latn-RS"/>
              </w:rPr>
            </w:pPr>
            <w:r w:rsidRPr="00067C9B">
              <w:rPr>
                <w:b/>
                <w:bCs/>
                <w:noProof/>
                <w:color w:val="808080"/>
                <w:sz w:val="48"/>
                <w:szCs w:val="48"/>
                <w:lang w:val="sr-Latn-RS"/>
              </w:rPr>
              <w:t>IR</w:t>
            </w:r>
            <w:r>
              <w:rPr>
                <w:b/>
                <w:bCs/>
                <w:noProof/>
                <w:color w:val="808080"/>
                <w:sz w:val="48"/>
                <w:szCs w:val="48"/>
                <w:lang w:val="sr-Latn-RS"/>
              </w:rPr>
              <w:t>2</w:t>
            </w:r>
            <w:r w:rsidRPr="00067C9B">
              <w:rPr>
                <w:b/>
                <w:bCs/>
                <w:noProof/>
                <w:color w:val="808080"/>
                <w:sz w:val="48"/>
                <w:szCs w:val="48"/>
                <w:lang w:val="sr-Latn-RS"/>
              </w:rPr>
              <w:t>0</w:t>
            </w:r>
          </w:p>
        </w:tc>
      </w:tr>
      <w:tr w:rsidR="00081B9D" w:rsidRPr="00067C9B" w14:paraId="4015187D" w14:textId="77777777" w:rsidTr="00D90B8E">
        <w:trPr>
          <w:cantSplit/>
          <w:trHeight w:hRule="exact" w:val="279"/>
          <w:jc w:val="center"/>
        </w:trPr>
        <w:tc>
          <w:tcPr>
            <w:tcW w:w="0" w:type="auto"/>
            <w:gridSpan w:val="2"/>
            <w:tcBorders>
              <w:top w:val="nil"/>
              <w:left w:val="nil"/>
              <w:bottom w:val="nil"/>
              <w:right w:val="nil"/>
            </w:tcBorders>
            <w:vAlign w:val="center"/>
          </w:tcPr>
          <w:p w14:paraId="410C68E2" w14:textId="1183F91D" w:rsidR="00081B9D" w:rsidRPr="00067C9B" w:rsidRDefault="00081B9D" w:rsidP="004D2ED9">
            <w:pPr>
              <w:rPr>
                <w:lang w:val="sr-Latn-RS"/>
              </w:rPr>
            </w:pPr>
            <w:r w:rsidRPr="00067C9B">
              <w:rPr>
                <w:lang w:val="sr-Latn-RS"/>
              </w:rPr>
              <w:t xml:space="preserve">Number </w:t>
            </w:r>
            <w:r w:rsidR="004D2ED9">
              <w:rPr>
                <w:lang w:val="sr-Latn-RS"/>
              </w:rPr>
              <w:t>149 • Year LX</w:t>
            </w:r>
            <w:r w:rsidRPr="00067C9B">
              <w:rPr>
                <w:lang w:val="sr-Latn-RS"/>
              </w:rPr>
              <w:t>X, 2</w:t>
            </w:r>
            <w:r w:rsidR="004D2ED9">
              <w:rPr>
                <w:lang w:val="sr-Latn-RS"/>
              </w:rPr>
              <w:t>9</w:t>
            </w:r>
            <w:r w:rsidR="00C36AB9">
              <w:rPr>
                <w:lang w:val="sr-Latn-RS"/>
              </w:rPr>
              <w:t>/</w:t>
            </w:r>
            <w:r w:rsidRPr="00067C9B">
              <w:rPr>
                <w:lang w:val="sr-Latn-RS"/>
              </w:rPr>
              <w:t>06</w:t>
            </w:r>
            <w:r w:rsidR="00C36AB9">
              <w:rPr>
                <w:lang w:val="sr-Latn-RS"/>
              </w:rPr>
              <w:t>/</w:t>
            </w:r>
            <w:r w:rsidRPr="00067C9B">
              <w:rPr>
                <w:lang w:val="sr-Latn-RS"/>
              </w:rPr>
              <w:t>20</w:t>
            </w:r>
            <w:r w:rsidR="004D2ED9">
              <w:rPr>
                <w:lang w:val="sr-Latn-RS"/>
              </w:rPr>
              <w:t>20</w:t>
            </w:r>
          </w:p>
        </w:tc>
        <w:tc>
          <w:tcPr>
            <w:tcW w:w="0" w:type="auto"/>
            <w:tcBorders>
              <w:left w:val="nil"/>
              <w:bottom w:val="nil"/>
              <w:right w:val="nil"/>
            </w:tcBorders>
            <w:vAlign w:val="center"/>
          </w:tcPr>
          <w:p w14:paraId="14208EDB" w14:textId="77777777" w:rsidR="00081B9D" w:rsidRPr="00067C9B" w:rsidRDefault="00081B9D" w:rsidP="00D90B8E">
            <w:pPr>
              <w:jc w:val="right"/>
              <w:rPr>
                <w:b/>
                <w:bCs/>
                <w:color w:val="808080"/>
                <w:sz w:val="48"/>
                <w:szCs w:val="48"/>
                <w:lang w:val="sr-Latn-RS"/>
              </w:rPr>
            </w:pPr>
          </w:p>
        </w:tc>
      </w:tr>
      <w:tr w:rsidR="00081B9D" w:rsidRPr="00067C9B" w14:paraId="57FE23E1" w14:textId="77777777" w:rsidTr="00D90B8E">
        <w:trPr>
          <w:cantSplit/>
          <w:trHeight w:val="411"/>
          <w:jc w:val="center"/>
        </w:trPr>
        <w:tc>
          <w:tcPr>
            <w:tcW w:w="0" w:type="auto"/>
            <w:gridSpan w:val="2"/>
            <w:tcBorders>
              <w:top w:val="nil"/>
              <w:left w:val="nil"/>
              <w:bottom w:val="single" w:sz="12" w:space="0" w:color="808080"/>
              <w:right w:val="nil"/>
            </w:tcBorders>
            <w:vAlign w:val="center"/>
          </w:tcPr>
          <w:p w14:paraId="04593E58" w14:textId="77777777" w:rsidR="00081B9D" w:rsidRPr="00067C9B" w:rsidRDefault="00081B9D" w:rsidP="00D90B8E">
            <w:pPr>
              <w:rPr>
                <w:b/>
                <w:bCs/>
                <w:sz w:val="24"/>
                <w:lang w:val="sr-Latn-RS"/>
              </w:rPr>
            </w:pPr>
            <w:r w:rsidRPr="00067C9B">
              <w:rPr>
                <w:rStyle w:val="hps"/>
                <w:rFonts w:cs="Arial"/>
                <w:b/>
                <w:bCs/>
                <w:color w:val="222222"/>
                <w:sz w:val="24"/>
                <w:lang w:val="sr-Latn-RS"/>
              </w:rPr>
              <w:t>Statistics of science, technology and innovation</w:t>
            </w:r>
          </w:p>
        </w:tc>
        <w:tc>
          <w:tcPr>
            <w:tcW w:w="0" w:type="auto"/>
            <w:tcBorders>
              <w:top w:val="nil"/>
              <w:left w:val="nil"/>
              <w:bottom w:val="single" w:sz="12" w:space="0" w:color="808080"/>
              <w:right w:val="nil"/>
            </w:tcBorders>
            <w:vAlign w:val="center"/>
          </w:tcPr>
          <w:p w14:paraId="6EB95BA8" w14:textId="49E97063" w:rsidR="00081B9D" w:rsidRPr="00067C9B" w:rsidRDefault="00081B9D" w:rsidP="004D2ED9">
            <w:pPr>
              <w:jc w:val="right"/>
              <w:rPr>
                <w:b/>
                <w:bCs/>
                <w:lang w:val="sr-Latn-RS"/>
              </w:rPr>
            </w:pPr>
            <w:r w:rsidRPr="00067C9B">
              <w:rPr>
                <w:lang w:val="sr-Latn-RS"/>
              </w:rPr>
              <w:t>SRB1</w:t>
            </w:r>
            <w:r w:rsidR="004D2ED9">
              <w:rPr>
                <w:lang w:val="sr-Latn-RS"/>
              </w:rPr>
              <w:t>49</w:t>
            </w:r>
            <w:r w:rsidRPr="00067C9B">
              <w:rPr>
                <w:lang w:val="sr-Latn-RS"/>
              </w:rPr>
              <w:t xml:space="preserve"> IR10 </w:t>
            </w:r>
            <w:r w:rsidR="00C36AB9">
              <w:rPr>
                <w:lang w:val="sr-Latn-RS"/>
              </w:rPr>
              <w:t>2</w:t>
            </w:r>
            <w:r w:rsidR="004D2ED9">
              <w:rPr>
                <w:lang w:val="sr-Latn-RS"/>
              </w:rPr>
              <w:t>90620</w:t>
            </w:r>
          </w:p>
        </w:tc>
      </w:tr>
    </w:tbl>
    <w:p w14:paraId="0956844F" w14:textId="77777777" w:rsidR="00176028" w:rsidRPr="00AA7C7F" w:rsidRDefault="00176028" w:rsidP="00545825">
      <w:pPr>
        <w:pStyle w:val="Caption"/>
        <w:rPr>
          <w:lang w:val="sr-Latn-RS"/>
        </w:rPr>
      </w:pPr>
    </w:p>
    <w:p w14:paraId="4A576721" w14:textId="77777777" w:rsidR="00C52A0C" w:rsidRDefault="00C52A0C" w:rsidP="00665E5A">
      <w:pPr>
        <w:pStyle w:val="Naslovsaopstenja"/>
        <w:outlineLvl w:val="9"/>
        <w:rPr>
          <w:lang w:val="sr-Latn-RS"/>
        </w:rPr>
      </w:pPr>
    </w:p>
    <w:p w14:paraId="5CCA9520" w14:textId="38B1C090" w:rsidR="00665E5A" w:rsidRPr="00AA7C7F" w:rsidRDefault="00665E5A" w:rsidP="00665E5A">
      <w:pPr>
        <w:pStyle w:val="Naslovsaopstenja"/>
        <w:outlineLvl w:val="9"/>
        <w:rPr>
          <w:lang w:val="sr-Latn-RS"/>
        </w:rPr>
      </w:pPr>
      <w:r w:rsidRPr="00AA7C7F">
        <w:rPr>
          <w:lang w:val="sr-Latn-RS"/>
        </w:rPr>
        <w:t>Human resources in science and technology in 201</w:t>
      </w:r>
      <w:r w:rsidR="00C2721A">
        <w:rPr>
          <w:lang w:val="sr-Latn-RS"/>
        </w:rPr>
        <w:t>9</w:t>
      </w:r>
    </w:p>
    <w:p w14:paraId="237FC481" w14:textId="7A896AED" w:rsidR="00266953" w:rsidRPr="00AA7C7F" w:rsidRDefault="00056BFC" w:rsidP="008D166A">
      <w:pPr>
        <w:pStyle w:val="Podnaslovsopstenja"/>
        <w:tabs>
          <w:tab w:val="center" w:pos="5102"/>
          <w:tab w:val="left" w:pos="7780"/>
        </w:tabs>
        <w:spacing w:before="240" w:after="480"/>
        <w:ind w:right="-57"/>
        <w:rPr>
          <w:rFonts w:cs="Arial"/>
          <w:lang w:val="sr-Latn-RS"/>
        </w:rPr>
      </w:pPr>
      <w:r w:rsidRPr="00AA7C7F">
        <w:rPr>
          <w:rFonts w:cs="Arial"/>
          <w:lang w:val="sr-Latn-RS"/>
        </w:rPr>
        <w:t xml:space="preserve">− </w:t>
      </w:r>
      <w:r w:rsidR="00665E5A" w:rsidRPr="00AA7C7F">
        <w:rPr>
          <w:rFonts w:cs="Arial"/>
          <w:lang w:val="sr-Latn-RS"/>
        </w:rPr>
        <w:t>Research and development</w:t>
      </w:r>
      <w:r w:rsidRPr="00AA7C7F">
        <w:rPr>
          <w:rFonts w:cs="Arial"/>
          <w:lang w:val="sr-Latn-RS"/>
        </w:rPr>
        <w:t xml:space="preserve"> </w:t>
      </w:r>
      <w:r w:rsidR="00323F7E" w:rsidRPr="00AA7C7F">
        <w:rPr>
          <w:rFonts w:cs="Arial"/>
          <w:lang w:val="sr-Latn-RS"/>
        </w:rPr>
        <w:t>−</w:t>
      </w:r>
    </w:p>
    <w:p w14:paraId="29D5B895" w14:textId="6F9523B8" w:rsidR="00C2721A" w:rsidRDefault="00C2721A" w:rsidP="00C2721A">
      <w:pPr>
        <w:spacing w:before="120" w:after="120"/>
        <w:ind w:firstLine="397"/>
        <w:jc w:val="both"/>
        <w:rPr>
          <w:rFonts w:cs="Arial"/>
          <w:szCs w:val="20"/>
          <w:lang w:val="sr-Cyrl-RS"/>
        </w:rPr>
      </w:pPr>
    </w:p>
    <w:p w14:paraId="6628B134" w14:textId="2F8F2757" w:rsidR="00665E5A" w:rsidRPr="00D263A7" w:rsidRDefault="00665E5A" w:rsidP="00C2721A">
      <w:pPr>
        <w:spacing w:before="120" w:after="120"/>
        <w:ind w:firstLine="397"/>
        <w:jc w:val="both"/>
        <w:rPr>
          <w:rFonts w:cs="Arial"/>
          <w:szCs w:val="20"/>
          <w:highlight w:val="yellow"/>
          <w:lang w:val="sr-Latn-RS"/>
        </w:rPr>
      </w:pPr>
      <w:bookmarkStart w:id="0" w:name="_GoBack"/>
      <w:bookmarkEnd w:id="0"/>
      <w:r w:rsidRPr="00AA7C7F">
        <w:rPr>
          <w:lang w:val="sr-Latn-RS"/>
        </w:rPr>
        <w:t>Human resources in science and technology comprise persons aged 15-74 or having completed tertiary education or are employed in the fields of science and technology as professionals, engineers, associate professionals or technicians. The results of the Labour Force Survey (LFS) in 201</w:t>
      </w:r>
      <w:r w:rsidR="004D2ED9">
        <w:rPr>
          <w:lang w:val="sr-Latn-RS"/>
        </w:rPr>
        <w:t>9</w:t>
      </w:r>
      <w:r w:rsidRPr="00AA7C7F">
        <w:rPr>
          <w:lang w:val="sr-Latn-RS"/>
        </w:rPr>
        <w:t xml:space="preserve"> indicate that there were 9</w:t>
      </w:r>
      <w:r w:rsidR="004D2ED9">
        <w:rPr>
          <w:lang w:val="sr-Latn-RS"/>
        </w:rPr>
        <w:t>91</w:t>
      </w:r>
      <w:r w:rsidR="0086126A">
        <w:rPr>
          <w:lang w:val="sr-Latn-RS"/>
        </w:rPr>
        <w:t> </w:t>
      </w:r>
      <w:r w:rsidRPr="00AA7C7F">
        <w:rPr>
          <w:lang w:val="sr-Latn-RS"/>
        </w:rPr>
        <w:t>1</w:t>
      </w:r>
      <w:r w:rsidR="00C2721A">
        <w:rPr>
          <w:lang w:val="sr-Latn-RS"/>
        </w:rPr>
        <w:t>18</w:t>
      </w:r>
      <w:r w:rsidRPr="00AA7C7F">
        <w:rPr>
          <w:lang w:val="sr-Latn-RS"/>
        </w:rPr>
        <w:t xml:space="preserve"> of </w:t>
      </w:r>
      <w:r w:rsidRPr="00D263A7">
        <w:rPr>
          <w:lang w:val="sr-Latn-RS"/>
        </w:rPr>
        <w:t>those persons in the Republic of Serbia, of which 53% were women.</w:t>
      </w:r>
      <w:r w:rsidRPr="00D263A7">
        <w:rPr>
          <w:rFonts w:cs="Arial"/>
          <w:szCs w:val="20"/>
          <w:lang w:val="sr-Latn-RS"/>
        </w:rPr>
        <w:t xml:space="preserve"> </w:t>
      </w:r>
    </w:p>
    <w:p w14:paraId="59A1828E" w14:textId="2E27CCCA" w:rsidR="00665E5A" w:rsidRDefault="00665E5A" w:rsidP="00665E5A">
      <w:pPr>
        <w:spacing w:before="120" w:after="120"/>
        <w:ind w:firstLine="397"/>
        <w:jc w:val="both"/>
        <w:rPr>
          <w:rFonts w:cs="Arial"/>
          <w:szCs w:val="20"/>
          <w:lang w:val="sr-Latn-RS"/>
        </w:rPr>
      </w:pPr>
      <w:r w:rsidRPr="0047263F">
        <w:rPr>
          <w:rFonts w:cs="Arial"/>
          <w:szCs w:val="20"/>
          <w:lang w:val="sr-Latn-RS"/>
        </w:rPr>
        <w:t>In 201</w:t>
      </w:r>
      <w:r w:rsidR="00C2721A">
        <w:rPr>
          <w:rFonts w:cs="Arial"/>
          <w:szCs w:val="20"/>
          <w:lang w:val="sr-Latn-RS"/>
        </w:rPr>
        <w:t>9</w:t>
      </w:r>
      <w:r w:rsidRPr="0047263F">
        <w:rPr>
          <w:rFonts w:cs="Arial"/>
          <w:szCs w:val="20"/>
          <w:lang w:val="sr-Latn-RS"/>
        </w:rPr>
        <w:t>, the core of human resources in science and technology was made of persons who met both conditions (completed tertiary education and work in the fields of science and technology in the mentioned occupations) and who totaled 49</w:t>
      </w:r>
      <w:r w:rsidR="004D2ED9">
        <w:rPr>
          <w:rFonts w:cs="Arial"/>
          <w:szCs w:val="20"/>
          <w:lang w:val="sr-Latn-RS"/>
        </w:rPr>
        <w:t>7</w:t>
      </w:r>
      <w:r w:rsidRPr="0047263F">
        <w:rPr>
          <w:rFonts w:cs="Arial"/>
          <w:szCs w:val="20"/>
          <w:lang w:val="sr-Latn-RS"/>
        </w:rPr>
        <w:t xml:space="preserve"> </w:t>
      </w:r>
      <w:r w:rsidR="004D2ED9">
        <w:rPr>
          <w:rFonts w:cs="Arial"/>
          <w:szCs w:val="20"/>
          <w:lang w:val="sr-Latn-RS"/>
        </w:rPr>
        <w:t>089</w:t>
      </w:r>
      <w:r w:rsidRPr="0047263F">
        <w:rPr>
          <w:rFonts w:cs="Arial"/>
          <w:szCs w:val="20"/>
          <w:lang w:val="sr-Latn-RS"/>
        </w:rPr>
        <w:t xml:space="preserve">, of which </w:t>
      </w:r>
      <w:r w:rsidR="00C2721A">
        <w:rPr>
          <w:rFonts w:cs="Arial"/>
          <w:szCs w:val="20"/>
          <w:lang w:val="sr-Latn-RS"/>
        </w:rPr>
        <w:t>58</w:t>
      </w:r>
      <w:r w:rsidRPr="0047263F">
        <w:rPr>
          <w:rFonts w:cs="Arial"/>
          <w:szCs w:val="20"/>
          <w:lang w:val="sr-Latn-RS"/>
        </w:rPr>
        <w:t>% women.</w:t>
      </w:r>
    </w:p>
    <w:p w14:paraId="4A685FA4" w14:textId="491F674D" w:rsidR="00A74D6D" w:rsidRPr="00AA7C7F" w:rsidRDefault="00665E5A" w:rsidP="00665E5A">
      <w:pPr>
        <w:spacing w:before="600" w:after="120" w:line="264" w:lineRule="auto"/>
        <w:ind w:left="794" w:hanging="794"/>
        <w:rPr>
          <w:rFonts w:cs="Arial"/>
          <w:b/>
          <w:sz w:val="18"/>
          <w:szCs w:val="18"/>
          <w:lang w:val="sr-Latn-RS"/>
        </w:rPr>
      </w:pPr>
      <w:r w:rsidRPr="00AA7C7F">
        <w:rPr>
          <w:rFonts w:cs="Arial"/>
          <w:b/>
          <w:sz w:val="18"/>
          <w:szCs w:val="18"/>
          <w:lang w:val="sr-Latn-RS"/>
        </w:rPr>
        <w:t>Chart</w:t>
      </w:r>
      <w:r w:rsidR="00A74D6D" w:rsidRPr="00AA7C7F">
        <w:rPr>
          <w:rFonts w:cs="Arial"/>
          <w:b/>
          <w:sz w:val="18"/>
          <w:szCs w:val="18"/>
          <w:lang w:val="sr-Latn-RS"/>
        </w:rPr>
        <w:t xml:space="preserve"> </w:t>
      </w:r>
      <w:r w:rsidR="00176028" w:rsidRPr="00AA7C7F">
        <w:rPr>
          <w:rFonts w:cs="Arial"/>
          <w:b/>
          <w:sz w:val="18"/>
          <w:szCs w:val="18"/>
          <w:lang w:val="sr-Latn-RS"/>
        </w:rPr>
        <w:t>1</w:t>
      </w:r>
      <w:r w:rsidR="00A74D6D" w:rsidRPr="00AA7C7F">
        <w:rPr>
          <w:rFonts w:cs="Arial"/>
          <w:b/>
          <w:sz w:val="18"/>
          <w:szCs w:val="18"/>
          <w:lang w:val="sr-Latn-RS"/>
        </w:rPr>
        <w:t xml:space="preserve">.  </w:t>
      </w:r>
      <w:r w:rsidR="004D2ED9" w:rsidRPr="004D2ED9">
        <w:rPr>
          <w:rFonts w:cs="Arial"/>
          <w:b/>
          <w:sz w:val="18"/>
          <w:szCs w:val="18"/>
          <w:lang w:val="sr-Latn-RS"/>
        </w:rPr>
        <w:t>Persons aged 15-74 employed in the field of science and technology according to age groups and levels of higher education, %</w:t>
      </w:r>
    </w:p>
    <w:p w14:paraId="5C5E63D6" w14:textId="112BF37C" w:rsidR="00C84A0B" w:rsidRDefault="00F66AFC" w:rsidP="00F66AFC">
      <w:pPr>
        <w:spacing w:before="120" w:after="120"/>
        <w:jc w:val="center"/>
        <w:rPr>
          <w:rFonts w:cs="Arial"/>
          <w:color w:val="000000"/>
          <w:szCs w:val="20"/>
          <w:lang w:val="sr-Latn-RS"/>
        </w:rPr>
      </w:pPr>
      <w:r>
        <w:rPr>
          <w:noProof/>
        </w:rPr>
        <w:drawing>
          <wp:inline distT="0" distB="0" distL="0" distR="0" wp14:anchorId="5E28A4CD" wp14:editId="5847349F">
            <wp:extent cx="5547458" cy="28130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B58227" w14:textId="0A821541" w:rsidR="00FF0412" w:rsidRPr="00FF0412" w:rsidRDefault="00FF0412" w:rsidP="00C2721A">
      <w:pPr>
        <w:spacing w:before="120" w:after="120"/>
        <w:ind w:firstLine="397"/>
        <w:jc w:val="both"/>
        <w:rPr>
          <w:rFonts w:cs="Arial"/>
          <w:color w:val="000000"/>
          <w:szCs w:val="20"/>
          <w:lang w:val="sr-Latn-RS"/>
        </w:rPr>
      </w:pPr>
      <w:r w:rsidRPr="00FF0412">
        <w:rPr>
          <w:rFonts w:cs="Arial"/>
          <w:color w:val="000000"/>
          <w:szCs w:val="20"/>
          <w:lang w:val="sr-Latn-RS"/>
        </w:rPr>
        <w:t>In the core of human resources, most pe</w:t>
      </w:r>
      <w:r>
        <w:rPr>
          <w:rFonts w:cs="Arial"/>
          <w:color w:val="000000"/>
          <w:szCs w:val="20"/>
          <w:lang w:val="sr-Latn-RS"/>
        </w:rPr>
        <w:t>rsons</w:t>
      </w:r>
      <w:r w:rsidRPr="00FF0412">
        <w:rPr>
          <w:rFonts w:cs="Arial"/>
          <w:color w:val="000000"/>
          <w:szCs w:val="20"/>
          <w:lang w:val="sr-Latn-RS"/>
        </w:rPr>
        <w:t xml:space="preserve"> have completed the first level of higher education (ISCED level 6) - 60.8%. Among them, the largest share is the youngest age group (15-24) - as much as 82.0%.</w:t>
      </w:r>
    </w:p>
    <w:p w14:paraId="74C048A0" w14:textId="304EF0F4" w:rsidR="004D2ED9" w:rsidRDefault="00FF0412" w:rsidP="00FF0412">
      <w:pPr>
        <w:spacing w:before="120" w:after="120"/>
        <w:ind w:firstLine="397"/>
        <w:jc w:val="both"/>
        <w:rPr>
          <w:rFonts w:cs="Arial"/>
          <w:color w:val="000000"/>
          <w:szCs w:val="20"/>
          <w:lang w:val="sr-Latn-RS"/>
        </w:rPr>
      </w:pPr>
      <w:r w:rsidRPr="00FF0412">
        <w:rPr>
          <w:rFonts w:cs="Arial"/>
          <w:color w:val="000000"/>
          <w:szCs w:val="20"/>
          <w:lang w:val="sr-Latn-RS"/>
        </w:rPr>
        <w:t>There were 761,416 persons under the age of 25 who met only the first condition, that is, they had completed higher education and were employed, of which 55% were women.</w:t>
      </w:r>
    </w:p>
    <w:p w14:paraId="013BEB00" w14:textId="3B761443" w:rsidR="00665E5A" w:rsidRPr="00AA7C7F" w:rsidRDefault="00665E5A" w:rsidP="00DF0FCB">
      <w:pPr>
        <w:spacing w:before="120" w:after="120"/>
        <w:ind w:firstLine="397"/>
        <w:jc w:val="both"/>
        <w:rPr>
          <w:rFonts w:cs="Arial"/>
          <w:color w:val="000000"/>
          <w:szCs w:val="20"/>
          <w:lang w:val="sr-Latn-RS"/>
        </w:rPr>
      </w:pPr>
      <w:r w:rsidRPr="00AA7C7F">
        <w:rPr>
          <w:rFonts w:cs="Arial"/>
          <w:color w:val="000000"/>
          <w:szCs w:val="20"/>
          <w:lang w:val="sr-Latn-RS"/>
        </w:rPr>
        <w:t xml:space="preserve">Out of the population aged from 15 to 74 with completed tertiary education, </w:t>
      </w:r>
      <w:r w:rsidR="00C52A0C">
        <w:rPr>
          <w:rFonts w:cs="Arial"/>
          <w:color w:val="000000"/>
          <w:szCs w:val="20"/>
          <w:lang w:val="sr-Latn-RS"/>
        </w:rPr>
        <w:t>70</w:t>
      </w:r>
      <w:r w:rsidRPr="00AA7C7F">
        <w:rPr>
          <w:rFonts w:cs="Arial"/>
          <w:color w:val="000000"/>
          <w:szCs w:val="20"/>
          <w:lang w:val="sr-Latn-RS"/>
        </w:rPr>
        <w:t>.</w:t>
      </w:r>
      <w:r w:rsidR="00C52A0C">
        <w:rPr>
          <w:rFonts w:cs="Arial"/>
          <w:color w:val="000000"/>
          <w:szCs w:val="20"/>
          <w:lang w:val="sr-Latn-RS"/>
        </w:rPr>
        <w:t>5</w:t>
      </w:r>
      <w:r w:rsidRPr="00AA7C7F">
        <w:rPr>
          <w:rFonts w:cs="Arial"/>
          <w:color w:val="000000"/>
          <w:szCs w:val="20"/>
          <w:lang w:val="sr-Latn-RS"/>
        </w:rPr>
        <w:t xml:space="preserve">% are employed persons, the unemployed </w:t>
      </w:r>
      <w:r w:rsidR="00C52A0C">
        <w:rPr>
          <w:rFonts w:cs="Arial"/>
          <w:color w:val="000000"/>
          <w:szCs w:val="20"/>
          <w:lang w:val="sr-Latn-RS"/>
        </w:rPr>
        <w:t>are</w:t>
      </w:r>
      <w:r w:rsidRPr="00AA7C7F">
        <w:rPr>
          <w:rFonts w:cs="Arial"/>
          <w:color w:val="000000"/>
          <w:szCs w:val="20"/>
          <w:lang w:val="sr-Latn-RS"/>
        </w:rPr>
        <w:t xml:space="preserve"> </w:t>
      </w:r>
      <w:r w:rsidR="00C52A0C">
        <w:rPr>
          <w:rFonts w:cs="Arial"/>
          <w:color w:val="000000"/>
          <w:szCs w:val="20"/>
          <w:lang w:val="sr-Latn-RS"/>
        </w:rPr>
        <w:t>6</w:t>
      </w:r>
      <w:r w:rsidRPr="00AA7C7F">
        <w:rPr>
          <w:rFonts w:cs="Arial"/>
          <w:color w:val="000000"/>
          <w:szCs w:val="20"/>
          <w:lang w:val="sr-Latn-RS"/>
        </w:rPr>
        <w:t xml:space="preserve">.4% </w:t>
      </w:r>
      <w:r w:rsidR="00C52A0C">
        <w:rPr>
          <w:rFonts w:cs="Arial"/>
          <w:color w:val="000000"/>
          <w:szCs w:val="20"/>
          <w:lang w:val="sr-Latn-RS"/>
        </w:rPr>
        <w:t>and</w:t>
      </w:r>
      <w:r w:rsidRPr="00AA7C7F">
        <w:rPr>
          <w:rFonts w:cs="Arial"/>
          <w:color w:val="000000"/>
          <w:szCs w:val="20"/>
          <w:lang w:val="sr-Latn-RS"/>
        </w:rPr>
        <w:t xml:space="preserve"> </w:t>
      </w:r>
      <w:r w:rsidR="00C52A0C" w:rsidRPr="00AA7C7F">
        <w:rPr>
          <w:rFonts w:cs="Arial"/>
          <w:color w:val="000000"/>
          <w:szCs w:val="20"/>
          <w:lang w:val="sr-Latn-RS"/>
        </w:rPr>
        <w:t>more than a fifth</w:t>
      </w:r>
      <w:r w:rsidR="00C2721A">
        <w:rPr>
          <w:rFonts w:cs="Arial"/>
          <w:color w:val="000000"/>
          <w:szCs w:val="20"/>
          <w:lang w:val="sr-Latn-RS"/>
        </w:rPr>
        <w:t>,</w:t>
      </w:r>
      <w:r w:rsidR="00C52A0C" w:rsidRPr="00AA7C7F">
        <w:rPr>
          <w:rFonts w:cs="Arial"/>
          <w:color w:val="000000"/>
          <w:szCs w:val="20"/>
          <w:lang w:val="sr-Latn-RS"/>
        </w:rPr>
        <w:t xml:space="preserve"> 2</w:t>
      </w:r>
      <w:r w:rsidR="00C52A0C">
        <w:rPr>
          <w:rFonts w:cs="Arial"/>
          <w:color w:val="000000"/>
          <w:szCs w:val="20"/>
          <w:lang w:val="sr-Latn-RS"/>
        </w:rPr>
        <w:t>3</w:t>
      </w:r>
      <w:r w:rsidR="00C52A0C" w:rsidRPr="00AA7C7F">
        <w:rPr>
          <w:rFonts w:cs="Arial"/>
          <w:color w:val="000000"/>
          <w:szCs w:val="20"/>
          <w:lang w:val="sr-Latn-RS"/>
        </w:rPr>
        <w:t>% are</w:t>
      </w:r>
      <w:r w:rsidR="00C52A0C" w:rsidRPr="00C52A0C">
        <w:rPr>
          <w:rFonts w:cs="Arial"/>
          <w:color w:val="000000"/>
          <w:szCs w:val="20"/>
          <w:lang w:val="sr-Latn-RS"/>
        </w:rPr>
        <w:t xml:space="preserve"> </w:t>
      </w:r>
      <w:r w:rsidR="00C52A0C" w:rsidRPr="00AA7C7F">
        <w:rPr>
          <w:rFonts w:cs="Arial"/>
          <w:color w:val="000000"/>
          <w:szCs w:val="20"/>
          <w:lang w:val="sr-Latn-RS"/>
        </w:rPr>
        <w:t>inactive persons</w:t>
      </w:r>
      <w:r w:rsidR="00C52A0C">
        <w:rPr>
          <w:rFonts w:cs="Arial"/>
          <w:color w:val="000000"/>
          <w:szCs w:val="20"/>
          <w:lang w:val="sr-Latn-RS"/>
        </w:rPr>
        <w:t>.</w:t>
      </w:r>
    </w:p>
    <w:p w14:paraId="6329F0CE" w14:textId="77777777" w:rsidR="006D2632" w:rsidRDefault="006D2632" w:rsidP="000E6BD6">
      <w:pPr>
        <w:ind w:left="794" w:hanging="794"/>
        <w:rPr>
          <w:rFonts w:cs="Arial"/>
          <w:b/>
          <w:sz w:val="18"/>
          <w:szCs w:val="18"/>
          <w:lang w:val="sr-Latn-RS"/>
        </w:rPr>
      </w:pPr>
    </w:p>
    <w:p w14:paraId="4D93094D" w14:textId="5EB0150C" w:rsidR="00176028" w:rsidRDefault="00665E5A" w:rsidP="000E6BD6">
      <w:pPr>
        <w:ind w:left="794" w:hanging="794"/>
        <w:rPr>
          <w:rFonts w:cs="Arial"/>
          <w:b/>
          <w:sz w:val="18"/>
          <w:szCs w:val="18"/>
          <w:lang w:val="sr-Latn-RS"/>
        </w:rPr>
      </w:pPr>
      <w:r w:rsidRPr="00AA7C7F">
        <w:rPr>
          <w:rFonts w:cs="Arial"/>
          <w:b/>
          <w:sz w:val="18"/>
          <w:szCs w:val="18"/>
          <w:lang w:val="sr-Latn-RS"/>
        </w:rPr>
        <w:t>Chart</w:t>
      </w:r>
      <w:r w:rsidR="00176028" w:rsidRPr="00AA7C7F">
        <w:rPr>
          <w:rFonts w:cs="Arial"/>
          <w:b/>
          <w:sz w:val="18"/>
          <w:szCs w:val="18"/>
          <w:lang w:val="sr-Latn-RS"/>
        </w:rPr>
        <w:t xml:space="preserve"> 2.  </w:t>
      </w:r>
      <w:r w:rsidR="00C52A0C" w:rsidRPr="00C52A0C">
        <w:rPr>
          <w:rFonts w:cs="Arial"/>
          <w:b/>
          <w:sz w:val="18"/>
          <w:szCs w:val="18"/>
          <w:lang w:val="sr-Latn-RS"/>
        </w:rPr>
        <w:t>Employed persons aged 15-74 who have completed higher education by age groups,</w:t>
      </w:r>
      <w:r w:rsidR="002C6797">
        <w:rPr>
          <w:rFonts w:cs="Arial"/>
          <w:b/>
          <w:sz w:val="18"/>
          <w:szCs w:val="18"/>
          <w:lang w:val="sr-Cyrl-RS"/>
        </w:rPr>
        <w:t xml:space="preserve"> </w:t>
      </w:r>
      <w:r w:rsidR="00C52A0C" w:rsidRPr="00C52A0C">
        <w:rPr>
          <w:rFonts w:cs="Arial"/>
          <w:b/>
          <w:sz w:val="18"/>
          <w:szCs w:val="18"/>
          <w:lang w:val="sr-Latn-RS"/>
        </w:rPr>
        <w:t>%</w:t>
      </w:r>
    </w:p>
    <w:p w14:paraId="6E19F7FA" w14:textId="0866E04F" w:rsidR="00C52A0C" w:rsidRDefault="00F66AFC" w:rsidP="000E6BD6">
      <w:pPr>
        <w:ind w:left="794" w:hanging="794"/>
        <w:rPr>
          <w:rFonts w:cs="Arial"/>
          <w:b/>
          <w:sz w:val="18"/>
          <w:szCs w:val="18"/>
          <w:lang w:val="sr-Latn-RS"/>
        </w:rPr>
      </w:pPr>
      <w:r>
        <w:rPr>
          <w:noProof/>
        </w:rPr>
        <w:lastRenderedPageBreak/>
        <w:drawing>
          <wp:anchor distT="0" distB="0" distL="114300" distR="114300" simplePos="0" relativeHeight="251659264" behindDoc="0" locked="0" layoutInCell="1" allowOverlap="1" wp14:anchorId="41E72C06" wp14:editId="2F8A9163">
            <wp:simplePos x="0" y="0"/>
            <wp:positionH relativeFrom="margin">
              <wp:posOffset>0</wp:posOffset>
            </wp:positionH>
            <wp:positionV relativeFrom="paragraph">
              <wp:posOffset>130810</wp:posOffset>
            </wp:positionV>
            <wp:extent cx="3534410" cy="2444115"/>
            <wp:effectExtent l="0" t="0" r="889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E1DF41B" w14:textId="264D8EAA" w:rsidR="00C52A0C" w:rsidRPr="00AA7C7F" w:rsidRDefault="00C52A0C" w:rsidP="000E6BD6">
      <w:pPr>
        <w:ind w:left="794" w:hanging="794"/>
        <w:rPr>
          <w:rFonts w:cs="Arial"/>
          <w:szCs w:val="20"/>
          <w:lang w:val="sr-Latn-RS"/>
        </w:rPr>
      </w:pPr>
    </w:p>
    <w:p w14:paraId="210C26ED" w14:textId="657B5910" w:rsidR="00C84A0B" w:rsidRPr="00AA7C7F" w:rsidRDefault="00C84A0B" w:rsidP="00C2721A">
      <w:pPr>
        <w:spacing w:before="120" w:after="120"/>
        <w:jc w:val="both"/>
        <w:rPr>
          <w:rFonts w:cs="Arial"/>
          <w:color w:val="000000"/>
          <w:szCs w:val="20"/>
          <w:lang w:val="sr-Latn-RS"/>
        </w:rPr>
      </w:pPr>
      <w:r w:rsidRPr="00AA7C7F">
        <w:rPr>
          <w:rFonts w:cs="Arial"/>
          <w:color w:val="000000"/>
          <w:szCs w:val="20"/>
          <w:lang w:val="sr-Latn-RS"/>
        </w:rPr>
        <w:t>Persons with tertiary education in the age group 25–34 accounted for a fourth of the total number of persons with university degree, while the age group (15-24) was the least represented (2.</w:t>
      </w:r>
      <w:r w:rsidR="00C52A0C">
        <w:rPr>
          <w:rFonts w:cs="Arial"/>
          <w:color w:val="000000"/>
          <w:szCs w:val="20"/>
          <w:lang w:val="sr-Latn-RS"/>
        </w:rPr>
        <w:t>2</w:t>
      </w:r>
      <w:r w:rsidRPr="00AA7C7F">
        <w:rPr>
          <w:rFonts w:cs="Arial"/>
          <w:color w:val="000000"/>
          <w:szCs w:val="20"/>
          <w:lang w:val="sr-Latn-RS"/>
        </w:rPr>
        <w:t xml:space="preserve">%), which is understandable as those persons are continuing schooling. </w:t>
      </w:r>
    </w:p>
    <w:p w14:paraId="6A3E06B2" w14:textId="5B1FA2BB" w:rsidR="00C84A0B" w:rsidRPr="00AA7C7F" w:rsidRDefault="00C84A0B" w:rsidP="00C84A0B">
      <w:pPr>
        <w:spacing w:before="120" w:after="120"/>
        <w:jc w:val="both"/>
        <w:rPr>
          <w:rFonts w:cs="Arial"/>
          <w:color w:val="000000"/>
          <w:szCs w:val="20"/>
          <w:lang w:val="sr-Latn-RS"/>
        </w:rPr>
      </w:pPr>
      <w:r w:rsidRPr="00AA7C7F">
        <w:rPr>
          <w:rFonts w:cs="Arial"/>
          <w:color w:val="000000"/>
          <w:szCs w:val="20"/>
          <w:lang w:val="sr-Latn-RS"/>
        </w:rPr>
        <w:t>The data show that women are more represented in the population with university degree (54.</w:t>
      </w:r>
      <w:r w:rsidR="00C52A0C">
        <w:rPr>
          <w:rFonts w:cs="Arial"/>
          <w:color w:val="000000"/>
          <w:szCs w:val="20"/>
          <w:lang w:val="sr-Latn-RS"/>
        </w:rPr>
        <w:t>7</w:t>
      </w:r>
      <w:r w:rsidRPr="00AA7C7F">
        <w:rPr>
          <w:rFonts w:cs="Arial"/>
          <w:color w:val="000000"/>
          <w:szCs w:val="20"/>
          <w:lang w:val="sr-Latn-RS"/>
        </w:rPr>
        <w:t>%) than men (45.</w:t>
      </w:r>
      <w:r w:rsidR="00C52A0C">
        <w:rPr>
          <w:rFonts w:cs="Arial"/>
          <w:color w:val="000000"/>
          <w:szCs w:val="20"/>
          <w:lang w:val="sr-Latn-RS"/>
        </w:rPr>
        <w:t>3</w:t>
      </w:r>
      <w:r w:rsidRPr="00AA7C7F">
        <w:rPr>
          <w:rFonts w:cs="Arial"/>
          <w:color w:val="000000"/>
          <w:szCs w:val="20"/>
          <w:lang w:val="sr-Latn-RS"/>
        </w:rPr>
        <w:t>%).</w:t>
      </w:r>
    </w:p>
    <w:p w14:paraId="6357146B" w14:textId="77777777" w:rsidR="00C84A0B" w:rsidRDefault="00C84A0B" w:rsidP="000E6BD6">
      <w:pPr>
        <w:spacing w:before="120" w:after="120"/>
        <w:ind w:firstLine="397"/>
        <w:jc w:val="both"/>
        <w:rPr>
          <w:lang w:val="sr-Latn-RS"/>
        </w:rPr>
      </w:pPr>
    </w:p>
    <w:p w14:paraId="4DD847D7" w14:textId="77777777" w:rsidR="00C84A0B" w:rsidRDefault="00C84A0B" w:rsidP="000E6BD6">
      <w:pPr>
        <w:spacing w:before="120" w:after="120"/>
        <w:ind w:firstLine="397"/>
        <w:jc w:val="both"/>
        <w:rPr>
          <w:lang w:val="sr-Latn-RS"/>
        </w:rPr>
      </w:pPr>
    </w:p>
    <w:p w14:paraId="7F9820D6" w14:textId="77777777" w:rsidR="00C84A0B" w:rsidRDefault="00C84A0B" w:rsidP="000E6BD6">
      <w:pPr>
        <w:spacing w:before="120" w:after="120"/>
        <w:ind w:firstLine="397"/>
        <w:jc w:val="both"/>
        <w:rPr>
          <w:lang w:val="sr-Latn-RS"/>
        </w:rPr>
      </w:pPr>
    </w:p>
    <w:p w14:paraId="7D84BBEB" w14:textId="77777777" w:rsidR="00F66AFC" w:rsidRDefault="00F66AFC" w:rsidP="000E6BD6">
      <w:pPr>
        <w:spacing w:before="120" w:after="120"/>
        <w:ind w:firstLine="397"/>
        <w:jc w:val="both"/>
        <w:rPr>
          <w:lang w:val="sr-Latn-RS"/>
        </w:rPr>
      </w:pPr>
    </w:p>
    <w:p w14:paraId="550323F1" w14:textId="0D4725E0" w:rsidR="003656A7" w:rsidRPr="00AA7C7F" w:rsidRDefault="003656A7" w:rsidP="000E6BD6">
      <w:pPr>
        <w:spacing w:before="120" w:after="120"/>
        <w:ind w:firstLine="397"/>
        <w:jc w:val="both"/>
        <w:rPr>
          <w:lang w:val="sr-Latn-RS"/>
        </w:rPr>
      </w:pPr>
      <w:r w:rsidRPr="00AA7C7F">
        <w:rPr>
          <w:lang w:val="sr-Latn-RS"/>
        </w:rPr>
        <w:t>There were 72</w:t>
      </w:r>
      <w:r w:rsidR="00C52A0C">
        <w:rPr>
          <w:lang w:val="sr-Latn-RS"/>
        </w:rPr>
        <w:t>6</w:t>
      </w:r>
      <w:r w:rsidRPr="00AA7C7F">
        <w:rPr>
          <w:lang w:val="sr-Latn-RS"/>
        </w:rPr>
        <w:t xml:space="preserve"> </w:t>
      </w:r>
      <w:r w:rsidR="00C52A0C">
        <w:rPr>
          <w:lang w:val="sr-Latn-RS"/>
        </w:rPr>
        <w:t>791</w:t>
      </w:r>
      <w:r w:rsidRPr="00AA7C7F">
        <w:rPr>
          <w:lang w:val="sr-Latn-RS"/>
        </w:rPr>
        <w:t xml:space="preserve"> persons of the mentioned age</w:t>
      </w:r>
      <w:r w:rsidR="00C52A0C">
        <w:rPr>
          <w:lang w:val="sr-Latn-RS"/>
        </w:rPr>
        <w:t xml:space="preserve"> met only the second condition, </w:t>
      </w:r>
      <w:r w:rsidRPr="00AA7C7F">
        <w:rPr>
          <w:lang w:val="sr-Latn-RS"/>
        </w:rPr>
        <w:t>women accounting for about 55</w:t>
      </w:r>
      <w:r w:rsidR="00C52A0C">
        <w:rPr>
          <w:lang w:val="sr-Latn-RS"/>
        </w:rPr>
        <w:t>.9</w:t>
      </w:r>
      <w:r w:rsidRPr="00AA7C7F">
        <w:rPr>
          <w:lang w:val="sr-Latn-RS"/>
        </w:rPr>
        <w:t xml:space="preserve">%. </w:t>
      </w:r>
    </w:p>
    <w:p w14:paraId="2EAF88DE" w14:textId="77777777" w:rsidR="00C52A0C" w:rsidRPr="00AA7C7F" w:rsidRDefault="00C52A0C" w:rsidP="00A82869">
      <w:pPr>
        <w:jc w:val="both"/>
        <w:rPr>
          <w:rFonts w:cs="Arial"/>
          <w:color w:val="FF0000"/>
          <w:szCs w:val="20"/>
          <w:lang w:val="sr-Latn-RS"/>
        </w:rPr>
      </w:pPr>
    </w:p>
    <w:p w14:paraId="52741DBD" w14:textId="77777777" w:rsidR="00A82869" w:rsidRPr="00AA7C7F" w:rsidRDefault="00A82869" w:rsidP="00A82869">
      <w:pPr>
        <w:jc w:val="both"/>
        <w:rPr>
          <w:rFonts w:cs="Arial"/>
          <w:sz w:val="18"/>
          <w:szCs w:val="18"/>
          <w:lang w:val="sr-Latn-RS"/>
        </w:rPr>
      </w:pPr>
    </w:p>
    <w:p w14:paraId="43131F25" w14:textId="6369EB8C" w:rsidR="006D5672" w:rsidRDefault="00311B77" w:rsidP="00C52A0C">
      <w:pPr>
        <w:ind w:left="680" w:hanging="680"/>
        <w:rPr>
          <w:rFonts w:cs="Arial"/>
          <w:b/>
          <w:bCs/>
          <w:sz w:val="18"/>
          <w:szCs w:val="18"/>
          <w:lang w:val="sr-Latn-RS"/>
        </w:rPr>
      </w:pPr>
      <w:r w:rsidRPr="00AA7C7F">
        <w:rPr>
          <w:rFonts w:cs="Arial"/>
          <w:b/>
          <w:bCs/>
          <w:sz w:val="18"/>
          <w:szCs w:val="18"/>
          <w:lang w:val="sr-Latn-RS"/>
        </w:rPr>
        <w:t xml:space="preserve">Chart </w:t>
      </w:r>
      <w:r w:rsidR="00C84A0B">
        <w:rPr>
          <w:rFonts w:cs="Arial"/>
          <w:b/>
          <w:bCs/>
          <w:sz w:val="18"/>
          <w:szCs w:val="18"/>
          <w:lang w:val="sr-Latn-RS"/>
        </w:rPr>
        <w:t>3</w:t>
      </w:r>
      <w:r w:rsidR="00C65F33" w:rsidRPr="00AA7C7F">
        <w:rPr>
          <w:rFonts w:cs="Arial"/>
          <w:b/>
          <w:bCs/>
          <w:sz w:val="18"/>
          <w:szCs w:val="18"/>
          <w:lang w:val="sr-Latn-RS"/>
        </w:rPr>
        <w:t xml:space="preserve">. </w:t>
      </w:r>
      <w:r w:rsidR="00C52A0C" w:rsidRPr="00C52A0C">
        <w:rPr>
          <w:rFonts w:cs="Arial"/>
          <w:b/>
          <w:bCs/>
          <w:sz w:val="18"/>
          <w:szCs w:val="18"/>
          <w:lang w:val="sr-Latn-RS"/>
        </w:rPr>
        <w:t>Persons aged 15-74 employed in science and technology by sectors of activity in which they work,%</w:t>
      </w:r>
    </w:p>
    <w:p w14:paraId="717E4B26" w14:textId="4359C0C5" w:rsidR="00C52A0C" w:rsidRDefault="00F66AFC" w:rsidP="00F66AFC">
      <w:pPr>
        <w:ind w:left="680" w:hanging="680"/>
        <w:jc w:val="center"/>
        <w:rPr>
          <w:rFonts w:cs="Arial"/>
          <w:b/>
          <w:bCs/>
          <w:sz w:val="18"/>
          <w:szCs w:val="18"/>
          <w:lang w:val="sr-Latn-RS"/>
        </w:rPr>
      </w:pPr>
      <w:r>
        <w:rPr>
          <w:noProof/>
        </w:rPr>
        <w:drawing>
          <wp:inline distT="0" distB="0" distL="0" distR="0" wp14:anchorId="65450E8B" wp14:editId="254BE78E">
            <wp:extent cx="6480000" cy="5256000"/>
            <wp:effectExtent l="0" t="0" r="0"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7C9FC4" w14:textId="51295A07" w:rsidR="00311B77" w:rsidRPr="00AA7C7F" w:rsidRDefault="00311B77" w:rsidP="00311B77">
      <w:pPr>
        <w:spacing w:before="120" w:after="120"/>
        <w:ind w:firstLine="397"/>
        <w:jc w:val="both"/>
        <w:rPr>
          <w:rFonts w:cs="Arial"/>
          <w:szCs w:val="20"/>
          <w:lang w:val="sr-Latn-RS"/>
        </w:rPr>
      </w:pPr>
      <w:r w:rsidRPr="00AA7C7F">
        <w:rPr>
          <w:rFonts w:cs="Arial"/>
          <w:szCs w:val="20"/>
          <w:lang w:val="sr-Latn-RS"/>
        </w:rPr>
        <w:t>The largest percentage of persons working as: professionals, engineers, associate professionals or technicians was in Education (18.</w:t>
      </w:r>
      <w:r w:rsidR="00680FA7">
        <w:rPr>
          <w:rFonts w:cs="Arial"/>
          <w:szCs w:val="20"/>
          <w:lang w:val="sr-Latn-RS"/>
        </w:rPr>
        <w:t>6</w:t>
      </w:r>
      <w:r w:rsidRPr="00AA7C7F">
        <w:rPr>
          <w:rFonts w:cs="Arial"/>
          <w:szCs w:val="20"/>
          <w:lang w:val="sr-Latn-RS"/>
        </w:rPr>
        <w:t xml:space="preserve">%), then in Human health </w:t>
      </w:r>
      <w:r w:rsidR="00680FA7">
        <w:rPr>
          <w:rFonts w:cs="Arial"/>
          <w:szCs w:val="20"/>
          <w:lang w:val="sr-Latn-RS"/>
        </w:rPr>
        <w:t>and social work activities (16</w:t>
      </w:r>
      <w:r w:rsidRPr="00AA7C7F">
        <w:rPr>
          <w:rFonts w:cs="Arial"/>
          <w:szCs w:val="20"/>
          <w:lang w:val="sr-Latn-RS"/>
        </w:rPr>
        <w:t xml:space="preserve">%), Manufacturing </w:t>
      </w:r>
      <w:r w:rsidR="00680FA7">
        <w:rPr>
          <w:rFonts w:cs="Arial"/>
          <w:szCs w:val="20"/>
          <w:lang w:val="sr-Latn-RS"/>
        </w:rPr>
        <w:t xml:space="preserve">(10.9%) </w:t>
      </w:r>
      <w:r w:rsidRPr="00AA7C7F">
        <w:rPr>
          <w:rFonts w:cs="Arial"/>
          <w:szCs w:val="20"/>
          <w:lang w:val="sr-Latn-RS"/>
        </w:rPr>
        <w:t>and Proessional, scientific and technical activities (</w:t>
      </w:r>
      <w:r w:rsidR="00680FA7">
        <w:rPr>
          <w:rFonts w:cs="Arial"/>
          <w:szCs w:val="20"/>
          <w:lang w:val="sr-Latn-RS"/>
        </w:rPr>
        <w:t>9</w:t>
      </w:r>
      <w:r w:rsidRPr="00AA7C7F">
        <w:rPr>
          <w:rFonts w:cs="Arial"/>
          <w:szCs w:val="20"/>
          <w:lang w:val="sr-Latn-RS"/>
        </w:rPr>
        <w:t>.</w:t>
      </w:r>
      <w:r w:rsidR="00680FA7">
        <w:rPr>
          <w:rFonts w:cs="Arial"/>
          <w:szCs w:val="20"/>
          <w:lang w:val="sr-Latn-RS"/>
        </w:rPr>
        <w:t>4</w:t>
      </w:r>
      <w:r w:rsidRPr="00AA7C7F">
        <w:rPr>
          <w:rFonts w:cs="Arial"/>
          <w:szCs w:val="20"/>
          <w:lang w:val="sr-Latn-RS"/>
        </w:rPr>
        <w:t>%).</w:t>
      </w:r>
    </w:p>
    <w:p w14:paraId="2D48D2B4" w14:textId="3B48310E" w:rsidR="009533B7" w:rsidRPr="00AA7C7F" w:rsidRDefault="009533B7" w:rsidP="00545825">
      <w:pPr>
        <w:jc w:val="center"/>
        <w:rPr>
          <w:rFonts w:cs="Arial"/>
          <w:b/>
          <w:sz w:val="22"/>
          <w:szCs w:val="22"/>
          <w:lang w:val="sr-Latn-RS"/>
        </w:rPr>
      </w:pPr>
      <w:r w:rsidRPr="00AA7C7F">
        <w:rPr>
          <w:rFonts w:cs="Arial"/>
          <w:b/>
          <w:sz w:val="22"/>
          <w:szCs w:val="22"/>
          <w:lang w:val="sr-Latn-RS"/>
        </w:rPr>
        <w:lastRenderedPageBreak/>
        <w:t>Ме</w:t>
      </w:r>
      <w:r w:rsidR="00311B77" w:rsidRPr="00AA7C7F">
        <w:rPr>
          <w:rFonts w:cs="Arial"/>
          <w:b/>
          <w:sz w:val="22"/>
          <w:szCs w:val="22"/>
          <w:lang w:val="sr-Latn-RS"/>
        </w:rPr>
        <w:t>thodological explanations and definitions</w:t>
      </w:r>
    </w:p>
    <w:p w14:paraId="5DC80819" w14:textId="42068144" w:rsidR="00370CAF" w:rsidRPr="00AA7C7F" w:rsidRDefault="00581C63" w:rsidP="008D166A">
      <w:pPr>
        <w:spacing w:before="240" w:after="120"/>
        <w:ind w:firstLine="397"/>
        <w:jc w:val="both"/>
        <w:rPr>
          <w:rFonts w:cs="Arial"/>
          <w:b/>
          <w:color w:val="000000"/>
          <w:sz w:val="18"/>
          <w:szCs w:val="18"/>
          <w:lang w:val="sr-Latn-RS"/>
        </w:rPr>
      </w:pPr>
      <w:r w:rsidRPr="00AA7C7F">
        <w:rPr>
          <w:rFonts w:cs="Arial"/>
          <w:b/>
          <w:color w:val="000000"/>
          <w:sz w:val="18"/>
          <w:szCs w:val="18"/>
          <w:lang w:val="sr-Latn-RS"/>
        </w:rPr>
        <w:t>Data source</w:t>
      </w:r>
    </w:p>
    <w:p w14:paraId="3429AACF" w14:textId="3941E514" w:rsidR="00370CAF" w:rsidRPr="00AA7C7F" w:rsidRDefault="00581C63" w:rsidP="008D166A">
      <w:pPr>
        <w:spacing w:before="120" w:after="120"/>
        <w:ind w:firstLine="397"/>
        <w:jc w:val="both"/>
        <w:rPr>
          <w:rFonts w:cs="Arial"/>
          <w:color w:val="000000"/>
          <w:sz w:val="18"/>
          <w:szCs w:val="18"/>
          <w:lang w:val="sr-Latn-RS"/>
        </w:rPr>
      </w:pPr>
      <w:r w:rsidRPr="00AA7C7F">
        <w:rPr>
          <w:rFonts w:cs="Arial"/>
          <w:color w:val="000000"/>
          <w:sz w:val="18"/>
          <w:szCs w:val="18"/>
          <w:lang w:val="sr-Latn-RS"/>
        </w:rPr>
        <w:t>Data are based on the results of the Labour Force Survey (LFS).</w:t>
      </w:r>
      <w:r w:rsidR="002B4E17" w:rsidRPr="00AA7C7F">
        <w:rPr>
          <w:rFonts w:cs="Arial"/>
          <w:color w:val="000000"/>
          <w:sz w:val="18"/>
          <w:szCs w:val="18"/>
          <w:lang w:val="sr-Latn-RS"/>
        </w:rPr>
        <w:t xml:space="preserve"> </w:t>
      </w:r>
      <w:r w:rsidR="004806A0" w:rsidRPr="00AA7C7F">
        <w:rPr>
          <w:rFonts w:cs="Arial"/>
          <w:color w:val="000000"/>
          <w:sz w:val="18"/>
          <w:szCs w:val="18"/>
          <w:lang w:val="sr-Latn-RS"/>
        </w:rPr>
        <w:t xml:space="preserve"> </w:t>
      </w:r>
      <w:r w:rsidRPr="00AA7C7F">
        <w:rPr>
          <w:rFonts w:cs="Arial"/>
          <w:color w:val="000000"/>
          <w:sz w:val="18"/>
          <w:szCs w:val="18"/>
          <w:lang w:val="sr-Latn-RS"/>
        </w:rPr>
        <w:t>The aim is to define the basic person’s characteristics, i.e. part of the labour force with the most developed skills and largest potential, which contributes to the development of society based on knowledge</w:t>
      </w:r>
      <w:r w:rsidR="004806A0" w:rsidRPr="00AA7C7F">
        <w:rPr>
          <w:rFonts w:cs="Arial"/>
          <w:iCs/>
          <w:color w:val="000000"/>
          <w:sz w:val="18"/>
          <w:szCs w:val="18"/>
          <w:lang w:val="sr-Latn-RS"/>
        </w:rPr>
        <w:t>.</w:t>
      </w:r>
      <w:r w:rsidR="00827048" w:rsidRPr="00AA7C7F">
        <w:rPr>
          <w:rFonts w:cs="Arial"/>
          <w:iCs/>
          <w:color w:val="000000"/>
          <w:sz w:val="18"/>
          <w:szCs w:val="18"/>
          <w:lang w:val="sr-Latn-RS"/>
        </w:rPr>
        <w:t xml:space="preserve"> </w:t>
      </w:r>
      <w:r w:rsidRPr="00AA7C7F">
        <w:rPr>
          <w:rFonts w:cs="Arial"/>
          <w:iCs/>
          <w:color w:val="000000"/>
          <w:sz w:val="18"/>
          <w:szCs w:val="18"/>
          <w:lang w:val="sr-Latn-RS"/>
        </w:rPr>
        <w:t>The methodology of the Labour Force Survey is fully harmonized with Eurostat standards and makes possible comparison with the results of other countries. For the purpose of analyzing the data on human potentials in science and technology, persons aged 15-74 are included.</w:t>
      </w:r>
      <w:r w:rsidR="00370CAF" w:rsidRPr="00AA7C7F">
        <w:rPr>
          <w:rFonts w:cs="Arial"/>
          <w:color w:val="000000"/>
          <w:sz w:val="18"/>
          <w:szCs w:val="18"/>
          <w:lang w:val="sr-Latn-RS"/>
        </w:rPr>
        <w:t>.</w:t>
      </w:r>
    </w:p>
    <w:p w14:paraId="0AE92774" w14:textId="03D5B110" w:rsidR="00370CAF" w:rsidRPr="00AA7C7F" w:rsidRDefault="00581C63" w:rsidP="008D166A">
      <w:pPr>
        <w:spacing w:before="240" w:after="120"/>
        <w:ind w:firstLine="397"/>
        <w:jc w:val="both"/>
        <w:rPr>
          <w:rFonts w:cs="Arial"/>
          <w:b/>
          <w:color w:val="000000"/>
          <w:sz w:val="18"/>
          <w:szCs w:val="18"/>
          <w:lang w:val="sr-Latn-RS"/>
        </w:rPr>
      </w:pPr>
      <w:r w:rsidRPr="00AA7C7F">
        <w:rPr>
          <w:rFonts w:cs="Arial"/>
          <w:b/>
          <w:color w:val="000000"/>
          <w:sz w:val="18"/>
          <w:szCs w:val="18"/>
          <w:lang w:val="sr-Latn-RS"/>
        </w:rPr>
        <w:t>Definitions of the main characteristics</w:t>
      </w:r>
    </w:p>
    <w:p w14:paraId="20EE3D4E" w14:textId="45E91F1E" w:rsidR="009533B7" w:rsidRPr="00AA7C7F" w:rsidRDefault="00581C63" w:rsidP="004620A9">
      <w:pPr>
        <w:spacing w:before="120" w:after="120"/>
        <w:ind w:firstLine="397"/>
        <w:jc w:val="both"/>
        <w:rPr>
          <w:rFonts w:cs="Arial"/>
          <w:sz w:val="18"/>
          <w:szCs w:val="18"/>
          <w:lang w:val="sr-Latn-RS"/>
        </w:rPr>
      </w:pPr>
      <w:r w:rsidRPr="00AA7C7F">
        <w:rPr>
          <w:rFonts w:cs="Arial"/>
          <w:sz w:val="18"/>
          <w:szCs w:val="18"/>
          <w:lang w:val="sr-Latn-RS"/>
        </w:rPr>
        <w:t>Two approaches are used to define human resources in science and technology</w:t>
      </w:r>
      <w:r w:rsidR="009533B7" w:rsidRPr="00AA7C7F">
        <w:rPr>
          <w:rFonts w:cs="Arial"/>
          <w:sz w:val="18"/>
          <w:szCs w:val="18"/>
          <w:lang w:val="sr-Latn-RS"/>
        </w:rPr>
        <w:t xml:space="preserve">: </w:t>
      </w:r>
    </w:p>
    <w:p w14:paraId="6EB2AA68" w14:textId="45EEBC13" w:rsidR="009533B7" w:rsidRPr="00AA7C7F" w:rsidRDefault="00581C63" w:rsidP="008D166A">
      <w:pPr>
        <w:pStyle w:val="ListParagraph"/>
        <w:numPr>
          <w:ilvl w:val="0"/>
          <w:numId w:val="46"/>
        </w:numPr>
        <w:spacing w:before="60" w:after="60"/>
        <w:ind w:hanging="357"/>
        <w:contextualSpacing w:val="0"/>
        <w:jc w:val="both"/>
        <w:rPr>
          <w:rFonts w:cs="Arial"/>
          <w:sz w:val="18"/>
          <w:szCs w:val="18"/>
          <w:lang w:val="sr-Latn-RS"/>
        </w:rPr>
      </w:pPr>
      <w:r w:rsidRPr="00AA7C7F">
        <w:rPr>
          <w:rFonts w:cs="Arial"/>
          <w:sz w:val="18"/>
          <w:szCs w:val="18"/>
          <w:lang w:val="sr-Latn-RS"/>
        </w:rPr>
        <w:t>according to education</w:t>
      </w:r>
      <w:r w:rsidR="009533B7" w:rsidRPr="00AA7C7F">
        <w:rPr>
          <w:rFonts w:cs="Arial"/>
          <w:sz w:val="18"/>
          <w:szCs w:val="18"/>
          <w:lang w:val="sr-Latn-RS"/>
        </w:rPr>
        <w:t xml:space="preserve"> (HRSTE) – </w:t>
      </w:r>
      <w:r w:rsidRPr="00AA7C7F">
        <w:rPr>
          <w:rFonts w:cs="Arial"/>
          <w:sz w:val="18"/>
          <w:szCs w:val="18"/>
          <w:lang w:val="sr-Latn-RS"/>
        </w:rPr>
        <w:t>persons who have completed tertiary education</w:t>
      </w:r>
      <w:r w:rsidR="009533B7" w:rsidRPr="00AA7C7F">
        <w:rPr>
          <w:rFonts w:cs="Arial"/>
          <w:sz w:val="18"/>
          <w:szCs w:val="18"/>
          <w:lang w:val="sr-Latn-RS"/>
        </w:rPr>
        <w:t xml:space="preserve"> (ISCED 5, 6, 7 </w:t>
      </w:r>
      <w:r w:rsidRPr="00AA7C7F">
        <w:rPr>
          <w:rFonts w:cs="Arial"/>
          <w:sz w:val="18"/>
          <w:szCs w:val="18"/>
          <w:lang w:val="sr-Latn-RS"/>
        </w:rPr>
        <w:t>or</w:t>
      </w:r>
      <w:r w:rsidR="009533B7" w:rsidRPr="00AA7C7F">
        <w:rPr>
          <w:rFonts w:cs="Arial"/>
          <w:sz w:val="18"/>
          <w:szCs w:val="18"/>
          <w:lang w:val="sr-Latn-RS"/>
        </w:rPr>
        <w:t xml:space="preserve"> 8),</w:t>
      </w:r>
    </w:p>
    <w:p w14:paraId="57404626" w14:textId="7DF31B89" w:rsidR="009533B7" w:rsidRPr="00AA7C7F" w:rsidRDefault="00B1571D" w:rsidP="008D166A">
      <w:pPr>
        <w:pStyle w:val="ListParagraph"/>
        <w:numPr>
          <w:ilvl w:val="0"/>
          <w:numId w:val="46"/>
        </w:numPr>
        <w:spacing w:before="60" w:after="60"/>
        <w:ind w:hanging="357"/>
        <w:contextualSpacing w:val="0"/>
        <w:jc w:val="both"/>
        <w:rPr>
          <w:rFonts w:cs="Arial"/>
          <w:sz w:val="18"/>
          <w:szCs w:val="18"/>
          <w:lang w:val="sr-Latn-RS"/>
        </w:rPr>
      </w:pPr>
      <w:r w:rsidRPr="00AA7C7F">
        <w:rPr>
          <w:rFonts w:cs="Arial"/>
          <w:sz w:val="18"/>
          <w:szCs w:val="18"/>
          <w:lang w:val="sr-Latn-RS"/>
        </w:rPr>
        <w:t>according to occupation</w:t>
      </w:r>
      <w:r w:rsidR="009533B7" w:rsidRPr="00AA7C7F">
        <w:rPr>
          <w:rFonts w:cs="Arial"/>
          <w:sz w:val="18"/>
          <w:szCs w:val="18"/>
          <w:lang w:val="sr-Latn-RS"/>
        </w:rPr>
        <w:t xml:space="preserve"> (HRSTO) – </w:t>
      </w:r>
      <w:r w:rsidRPr="00AA7C7F">
        <w:rPr>
          <w:rFonts w:cs="Arial"/>
          <w:sz w:val="18"/>
          <w:szCs w:val="18"/>
          <w:lang w:val="sr-Latn-RS"/>
        </w:rPr>
        <w:t>persons who are employed in the fields of science  and technology as professionals, engineers, associate professionals, technicians and managers</w:t>
      </w:r>
      <w:r w:rsidR="009A3542" w:rsidRPr="00AA7C7F">
        <w:rPr>
          <w:rFonts w:cs="Arial"/>
          <w:sz w:val="18"/>
          <w:szCs w:val="18"/>
          <w:lang w:val="sr-Latn-RS"/>
        </w:rPr>
        <w:t xml:space="preserve"> </w:t>
      </w:r>
      <w:r w:rsidR="009533B7" w:rsidRPr="00AA7C7F">
        <w:rPr>
          <w:rFonts w:cs="Arial"/>
          <w:sz w:val="18"/>
          <w:szCs w:val="18"/>
          <w:lang w:val="sr-Latn-RS"/>
        </w:rPr>
        <w:t>(ISCO</w:t>
      </w:r>
      <w:r w:rsidR="009A3542" w:rsidRPr="00AA7C7F">
        <w:rPr>
          <w:rFonts w:cs="Arial"/>
          <w:sz w:val="18"/>
          <w:szCs w:val="18"/>
          <w:lang w:val="sr-Latn-RS"/>
        </w:rPr>
        <w:t>-</w:t>
      </w:r>
      <w:r w:rsidR="009533B7" w:rsidRPr="00AA7C7F">
        <w:rPr>
          <w:rFonts w:cs="Arial"/>
          <w:sz w:val="18"/>
          <w:szCs w:val="18"/>
          <w:lang w:val="sr-Latn-RS"/>
        </w:rPr>
        <w:t>08</w:t>
      </w:r>
      <w:r w:rsidR="00545825" w:rsidRPr="00AA7C7F">
        <w:rPr>
          <w:rFonts w:cs="Arial"/>
          <w:sz w:val="18"/>
          <w:szCs w:val="18"/>
          <w:lang w:val="sr-Latn-RS"/>
        </w:rPr>
        <w:t xml:space="preserve">, </w:t>
      </w:r>
      <w:r w:rsidRPr="00AA7C7F">
        <w:rPr>
          <w:rFonts w:cs="Arial"/>
          <w:sz w:val="18"/>
          <w:szCs w:val="18"/>
          <w:lang w:val="sr-Latn-RS"/>
        </w:rPr>
        <w:t>groups</w:t>
      </w:r>
      <w:r w:rsidR="00545825" w:rsidRPr="00AA7C7F">
        <w:rPr>
          <w:rFonts w:cs="Arial"/>
          <w:sz w:val="18"/>
          <w:szCs w:val="18"/>
          <w:lang w:val="sr-Latn-RS"/>
        </w:rPr>
        <w:t xml:space="preserve"> 2 </w:t>
      </w:r>
      <w:r w:rsidRPr="00AA7C7F">
        <w:rPr>
          <w:rFonts w:cs="Arial"/>
          <w:sz w:val="18"/>
          <w:szCs w:val="18"/>
          <w:lang w:val="sr-Latn-RS"/>
        </w:rPr>
        <w:t>and</w:t>
      </w:r>
      <w:r w:rsidR="00545825" w:rsidRPr="00AA7C7F">
        <w:rPr>
          <w:rFonts w:cs="Arial"/>
          <w:sz w:val="18"/>
          <w:szCs w:val="18"/>
          <w:lang w:val="sr-Latn-RS"/>
        </w:rPr>
        <w:t xml:space="preserve"> 3</w:t>
      </w:r>
      <w:r w:rsidR="00D17817" w:rsidRPr="00AA7C7F">
        <w:rPr>
          <w:rFonts w:cs="Arial"/>
          <w:sz w:val="18"/>
          <w:szCs w:val="18"/>
          <w:lang w:val="sr-Latn-RS"/>
        </w:rPr>
        <w:t>).</w:t>
      </w:r>
    </w:p>
    <w:p w14:paraId="57D00F12" w14:textId="35395F1F" w:rsidR="00D17817" w:rsidRPr="00AA7C7F" w:rsidRDefault="00B1571D" w:rsidP="008D166A">
      <w:pPr>
        <w:spacing w:before="120" w:after="120"/>
        <w:ind w:firstLine="397"/>
        <w:jc w:val="both"/>
        <w:rPr>
          <w:rFonts w:cs="Arial"/>
          <w:sz w:val="18"/>
          <w:szCs w:val="18"/>
          <w:lang w:val="sr-Latn-RS"/>
        </w:rPr>
      </w:pPr>
      <w:r w:rsidRPr="00AA7C7F">
        <w:rPr>
          <w:rFonts w:cs="Arial"/>
          <w:sz w:val="18"/>
          <w:szCs w:val="18"/>
          <w:lang w:val="sr-Latn-RS"/>
        </w:rPr>
        <w:t xml:space="preserve">Those who meet both mentioned requirements are called core of </w:t>
      </w:r>
      <w:r w:rsidR="00083AE5" w:rsidRPr="00AA7C7F">
        <w:rPr>
          <w:rFonts w:cs="Arial"/>
          <w:sz w:val="18"/>
          <w:szCs w:val="18"/>
          <w:lang w:val="sr-Latn-RS"/>
        </w:rPr>
        <w:t>HR</w:t>
      </w:r>
      <w:r w:rsidR="00D17817" w:rsidRPr="00AA7C7F">
        <w:rPr>
          <w:rFonts w:cs="Arial"/>
          <w:sz w:val="18"/>
          <w:szCs w:val="18"/>
          <w:lang w:val="sr-Latn-RS"/>
        </w:rPr>
        <w:t>STC.</w:t>
      </w:r>
      <w:r w:rsidR="002B4E17" w:rsidRPr="00AA7C7F">
        <w:rPr>
          <w:rFonts w:cs="Arial"/>
          <w:sz w:val="18"/>
          <w:szCs w:val="18"/>
          <w:lang w:val="sr-Latn-RS"/>
        </w:rPr>
        <w:t xml:space="preserve"> </w:t>
      </w:r>
    </w:p>
    <w:p w14:paraId="36869DD1" w14:textId="10E3C47D" w:rsidR="00C054A2" w:rsidRPr="00AA7C7F" w:rsidRDefault="00B1571D" w:rsidP="008D166A">
      <w:pPr>
        <w:spacing w:before="120" w:after="120"/>
        <w:ind w:firstLine="397"/>
        <w:jc w:val="both"/>
        <w:rPr>
          <w:rFonts w:cs="Arial"/>
          <w:sz w:val="18"/>
          <w:szCs w:val="18"/>
          <w:lang w:val="sr-Latn-RS"/>
        </w:rPr>
      </w:pPr>
      <w:r w:rsidRPr="00AA7C7F">
        <w:rPr>
          <w:rFonts w:cs="Arial"/>
          <w:sz w:val="18"/>
          <w:szCs w:val="18"/>
          <w:lang w:val="sr-Latn-RS"/>
        </w:rPr>
        <w:t xml:space="preserve">The difference between the persons who belong to HRST according to education and occupation is </w:t>
      </w:r>
      <w:r w:rsidR="005E3D5A" w:rsidRPr="00AA7C7F">
        <w:rPr>
          <w:rFonts w:cs="Arial"/>
          <w:sz w:val="18"/>
          <w:szCs w:val="18"/>
          <w:lang w:val="sr-Latn-RS"/>
        </w:rPr>
        <w:t xml:space="preserve">in that </w:t>
      </w:r>
      <w:r w:rsidRPr="00AA7C7F">
        <w:rPr>
          <w:rFonts w:cs="Arial"/>
          <w:sz w:val="18"/>
          <w:szCs w:val="18"/>
          <w:lang w:val="sr-Latn-RS"/>
        </w:rPr>
        <w:t xml:space="preserve">that those who are currently working in the fields of education and technology and do not have adequate formal qualifications lose HRSTO status when leaving their working post, getting retired or becoming some other way economically active, but persons who completed tertiary education hold permanently HRSTE status. </w:t>
      </w:r>
      <w:r w:rsidR="009533B7" w:rsidRPr="00AA7C7F">
        <w:rPr>
          <w:rFonts w:cs="Arial"/>
          <w:sz w:val="18"/>
          <w:szCs w:val="18"/>
          <w:lang w:val="sr-Latn-RS"/>
        </w:rPr>
        <w:t xml:space="preserve"> </w:t>
      </w:r>
    </w:p>
    <w:p w14:paraId="6B97F1BF" w14:textId="367725CB" w:rsidR="00083AE5" w:rsidRPr="00AA7C7F" w:rsidRDefault="005E3D5A" w:rsidP="008D166A">
      <w:pPr>
        <w:spacing w:before="120" w:after="120"/>
        <w:ind w:firstLine="397"/>
        <w:jc w:val="both"/>
        <w:rPr>
          <w:rFonts w:cs="Arial"/>
          <w:sz w:val="18"/>
          <w:szCs w:val="18"/>
          <w:lang w:val="sr-Latn-RS"/>
        </w:rPr>
      </w:pPr>
      <w:r w:rsidRPr="00AA7C7F">
        <w:rPr>
          <w:rFonts w:cs="Arial"/>
          <w:sz w:val="18"/>
          <w:szCs w:val="18"/>
          <w:u w:val="single"/>
          <w:lang w:val="sr-Latn-RS"/>
        </w:rPr>
        <w:t>Active population (labour force)</w:t>
      </w:r>
      <w:r w:rsidR="00083AE5" w:rsidRPr="00AA7C7F">
        <w:rPr>
          <w:rFonts w:cs="Arial"/>
          <w:b/>
          <w:sz w:val="18"/>
          <w:szCs w:val="18"/>
          <w:lang w:val="sr-Latn-RS"/>
        </w:rPr>
        <w:t xml:space="preserve"> </w:t>
      </w:r>
      <w:r w:rsidRPr="00AA7C7F">
        <w:rPr>
          <w:rFonts w:cs="Arial"/>
          <w:sz w:val="18"/>
          <w:szCs w:val="18"/>
          <w:lang w:val="sr-Latn-RS"/>
        </w:rPr>
        <w:t>includes all employed and unemployed persons aged 15 and over</w:t>
      </w:r>
      <w:r w:rsidR="00083AE5" w:rsidRPr="00AA7C7F">
        <w:rPr>
          <w:rFonts w:cs="Arial"/>
          <w:sz w:val="18"/>
          <w:szCs w:val="18"/>
          <w:lang w:val="sr-Latn-RS"/>
        </w:rPr>
        <w:t>.</w:t>
      </w:r>
    </w:p>
    <w:p w14:paraId="78870BF0" w14:textId="5BC44426" w:rsidR="000A70DB" w:rsidRPr="00AA7C7F" w:rsidRDefault="002B4E17" w:rsidP="002B4E17">
      <w:pPr>
        <w:pStyle w:val="Pasus"/>
        <w:ind w:left="0" w:firstLine="0"/>
        <w:rPr>
          <w:sz w:val="18"/>
          <w:szCs w:val="18"/>
          <w:lang w:val="sr-Latn-RS"/>
        </w:rPr>
      </w:pPr>
      <w:r w:rsidRPr="00AA7C7F">
        <w:rPr>
          <w:b/>
          <w:bCs/>
          <w:i/>
          <w:iCs/>
          <w:sz w:val="18"/>
          <w:szCs w:val="18"/>
          <w:lang w:val="sr-Latn-RS"/>
        </w:rPr>
        <w:t xml:space="preserve">     </w:t>
      </w:r>
      <w:r w:rsidR="00A04C5F">
        <w:rPr>
          <w:b/>
          <w:bCs/>
          <w:i/>
          <w:iCs/>
          <w:sz w:val="18"/>
          <w:szCs w:val="18"/>
          <w:lang w:val="sr-Latn-RS"/>
        </w:rPr>
        <w:t xml:space="preserve">  </w:t>
      </w:r>
      <w:r w:rsidRPr="00AA7C7F">
        <w:rPr>
          <w:b/>
          <w:bCs/>
          <w:i/>
          <w:iCs/>
          <w:sz w:val="18"/>
          <w:szCs w:val="18"/>
          <w:lang w:val="sr-Latn-RS"/>
        </w:rPr>
        <w:t xml:space="preserve"> </w:t>
      </w:r>
      <w:r w:rsidR="000A70DB" w:rsidRPr="00AA7C7F">
        <w:rPr>
          <w:sz w:val="18"/>
          <w:szCs w:val="18"/>
          <w:u w:val="single"/>
          <w:lang w:val="sr-Latn-RS"/>
        </w:rPr>
        <w:t>Employed</w:t>
      </w:r>
      <w:r w:rsidR="000A70DB" w:rsidRPr="00AA7C7F">
        <w:rPr>
          <w:sz w:val="18"/>
          <w:szCs w:val="18"/>
          <w:lang w:val="sr-Latn-RS"/>
        </w:rPr>
        <w:t xml:space="preserve"> are persons who performed a paid job (paid in cash or in kind) for at least one hour in the reference week, as well as persons who had an employment, but were absent from work in that week. Employees includes also, besides persons who have an employment in an enterprise, institution or any other organization, or work as entrepreneurs, farmers, contributing family members as well as persons who performed a job that they had found on their own and established an agreement (oral or written) without entering in employment and to whom this job was the only source of subsistence means. Therefore, the Survey does not take into account the respondent’s formal status, but the respondent’s employment status is determined on the basis of the actual activity she/he performed in the reference week.</w:t>
      </w:r>
    </w:p>
    <w:p w14:paraId="7B6658D8" w14:textId="77777777" w:rsidR="00885A61" w:rsidRPr="00AA7C7F" w:rsidRDefault="002B4E17" w:rsidP="00545825">
      <w:pPr>
        <w:pStyle w:val="Pasus"/>
        <w:ind w:left="0" w:firstLine="0"/>
        <w:rPr>
          <w:bCs/>
          <w:iCs/>
          <w:sz w:val="18"/>
          <w:szCs w:val="18"/>
          <w:lang w:val="sr-Latn-RS"/>
        </w:rPr>
      </w:pPr>
      <w:r w:rsidRPr="00AA7C7F">
        <w:rPr>
          <w:bCs/>
          <w:iCs/>
          <w:sz w:val="18"/>
          <w:szCs w:val="18"/>
          <w:lang w:val="sr-Latn-RS"/>
        </w:rPr>
        <w:t xml:space="preserve">     </w:t>
      </w:r>
    </w:p>
    <w:p w14:paraId="443C900C" w14:textId="206B54A7" w:rsidR="002B4E17" w:rsidRPr="00AA7C7F" w:rsidRDefault="000A70DB" w:rsidP="00A04C5F">
      <w:pPr>
        <w:pStyle w:val="Pasus"/>
        <w:ind w:left="0" w:firstLine="397"/>
        <w:rPr>
          <w:sz w:val="18"/>
          <w:szCs w:val="18"/>
          <w:lang w:val="sr-Latn-RS"/>
        </w:rPr>
      </w:pPr>
      <w:r w:rsidRPr="00AA7C7F">
        <w:rPr>
          <w:sz w:val="18"/>
          <w:szCs w:val="18"/>
          <w:u w:val="single"/>
          <w:lang w:val="sr-Latn-RS"/>
        </w:rPr>
        <w:t>Unemployed persons</w:t>
      </w:r>
      <w:r w:rsidRPr="00AA7C7F">
        <w:rPr>
          <w:sz w:val="18"/>
          <w:szCs w:val="18"/>
          <w:lang w:val="sr-Latn-RS"/>
        </w:rPr>
        <w:t xml:space="preserve"> are persons who did not perform any paid job in the reference week nor held a job from which they were absent and to which they could return to after the absence, provided that they met the following criteria</w:t>
      </w:r>
      <w:r w:rsidR="002B4E17" w:rsidRPr="00AA7C7F">
        <w:rPr>
          <w:sz w:val="18"/>
          <w:szCs w:val="18"/>
          <w:lang w:val="sr-Latn-RS"/>
        </w:rPr>
        <w:t>:</w:t>
      </w:r>
      <w:r w:rsidR="00545825" w:rsidRPr="00AA7C7F">
        <w:rPr>
          <w:sz w:val="18"/>
          <w:szCs w:val="18"/>
          <w:lang w:val="sr-Latn-RS"/>
        </w:rPr>
        <w:t xml:space="preserve"> </w:t>
      </w:r>
      <w:r w:rsidRPr="00AA7C7F">
        <w:rPr>
          <w:sz w:val="18"/>
          <w:szCs w:val="18"/>
          <w:lang w:val="sr-Latn-RS"/>
        </w:rPr>
        <w:t>they took active steps in the past four weeks in finding a job and they were ready to begin working within two weeks in case of a job offer,</w:t>
      </w:r>
      <w:r w:rsidR="00545825" w:rsidRPr="00AA7C7F">
        <w:rPr>
          <w:sz w:val="18"/>
          <w:szCs w:val="18"/>
          <w:lang w:val="sr-Latn-RS"/>
        </w:rPr>
        <w:t xml:space="preserve"> </w:t>
      </w:r>
      <w:r w:rsidRPr="00AA7C7F">
        <w:rPr>
          <w:sz w:val="18"/>
          <w:szCs w:val="18"/>
          <w:lang w:val="sr-Latn-RS"/>
        </w:rPr>
        <w:t>they did not actively seek a job in the past four weeks because they had found a job they were to start after the reference week, and not later than three months</w:t>
      </w:r>
      <w:r w:rsidR="002B4E17" w:rsidRPr="00AA7C7F">
        <w:rPr>
          <w:sz w:val="18"/>
          <w:szCs w:val="18"/>
          <w:lang w:val="sr-Latn-RS"/>
        </w:rPr>
        <w:t>.</w:t>
      </w:r>
    </w:p>
    <w:p w14:paraId="1237CBA3" w14:textId="4ADE6A07" w:rsidR="000A70DB" w:rsidRPr="00AA7C7F" w:rsidRDefault="000A70DB" w:rsidP="008D166A">
      <w:pPr>
        <w:spacing w:before="120" w:after="120"/>
        <w:ind w:firstLine="397"/>
        <w:jc w:val="both"/>
        <w:rPr>
          <w:rFonts w:cs="Arial"/>
          <w:sz w:val="18"/>
          <w:szCs w:val="18"/>
          <w:u w:val="single"/>
          <w:lang w:val="sr-Latn-RS"/>
        </w:rPr>
      </w:pPr>
      <w:r w:rsidRPr="00AA7C7F">
        <w:rPr>
          <w:sz w:val="18"/>
          <w:szCs w:val="18"/>
          <w:u w:val="single"/>
          <w:lang w:val="sr-Latn-RS"/>
        </w:rPr>
        <w:t>Economically inactive population</w:t>
      </w:r>
      <w:r w:rsidRPr="00AA7C7F">
        <w:rPr>
          <w:sz w:val="18"/>
          <w:szCs w:val="18"/>
          <w:lang w:val="sr-Latn-RS"/>
        </w:rPr>
        <w:t xml:space="preserve"> </w:t>
      </w:r>
      <w:r w:rsidR="00885A61" w:rsidRPr="00AA7C7F">
        <w:rPr>
          <w:sz w:val="18"/>
          <w:szCs w:val="18"/>
          <w:lang w:val="sr-Latn-RS"/>
        </w:rPr>
        <w:t>is</w:t>
      </w:r>
      <w:r w:rsidRPr="00AA7C7F">
        <w:rPr>
          <w:sz w:val="18"/>
          <w:szCs w:val="18"/>
          <w:lang w:val="sr-Latn-RS"/>
        </w:rPr>
        <w:t xml:space="preserve"> all persons aged 15 and more who are not classified in </w:t>
      </w:r>
      <w:r w:rsidR="00885A61" w:rsidRPr="00AA7C7F">
        <w:rPr>
          <w:sz w:val="18"/>
          <w:szCs w:val="18"/>
          <w:lang w:val="sr-Latn-RS"/>
        </w:rPr>
        <w:t>employed or unemployed population. Economically inactive persons include students, retired persons, housewives or –men, as well as other persons who, in the reference week, did perform any paid job, did not seek work or were not ready to start working within two weeks after the end of the reference week</w:t>
      </w:r>
      <w:r w:rsidR="00885A61" w:rsidRPr="00AA7C7F">
        <w:rPr>
          <w:lang w:val="sr-Latn-RS"/>
        </w:rPr>
        <w:t>.</w:t>
      </w:r>
      <w:r w:rsidRPr="00AA7C7F">
        <w:rPr>
          <w:rFonts w:cs="Arial"/>
          <w:sz w:val="18"/>
          <w:szCs w:val="18"/>
          <w:u w:val="single"/>
          <w:lang w:val="sr-Latn-RS"/>
        </w:rPr>
        <w:t xml:space="preserve"> </w:t>
      </w:r>
    </w:p>
    <w:p w14:paraId="456C57C6" w14:textId="63A426DD" w:rsidR="0079211B" w:rsidRPr="00AA7C7F" w:rsidRDefault="00885A61" w:rsidP="008D166A">
      <w:pPr>
        <w:spacing w:before="240" w:after="120"/>
        <w:ind w:firstLine="397"/>
        <w:jc w:val="both"/>
        <w:rPr>
          <w:rFonts w:cs="Arial"/>
          <w:b/>
          <w:color w:val="000000"/>
          <w:sz w:val="18"/>
          <w:szCs w:val="18"/>
          <w:lang w:val="sr-Latn-RS"/>
        </w:rPr>
      </w:pPr>
      <w:r w:rsidRPr="00AA7C7F">
        <w:rPr>
          <w:rFonts w:cs="Arial"/>
          <w:b/>
          <w:color w:val="000000"/>
          <w:sz w:val="18"/>
          <w:szCs w:val="18"/>
          <w:lang w:val="sr-Latn-RS"/>
        </w:rPr>
        <w:t>Classifications</w:t>
      </w:r>
    </w:p>
    <w:p w14:paraId="68701095" w14:textId="17AC1B73" w:rsidR="00370CAF" w:rsidRPr="00AA7C7F" w:rsidRDefault="00885A61" w:rsidP="008D166A">
      <w:pPr>
        <w:spacing w:before="120" w:after="120"/>
        <w:ind w:firstLine="397"/>
        <w:jc w:val="both"/>
        <w:rPr>
          <w:rFonts w:cs="Arial"/>
          <w:sz w:val="18"/>
          <w:szCs w:val="18"/>
          <w:lang w:val="sr-Latn-RS"/>
        </w:rPr>
      </w:pPr>
      <w:r w:rsidRPr="00AA7C7F">
        <w:rPr>
          <w:rFonts w:cs="Arial"/>
          <w:sz w:val="18"/>
          <w:szCs w:val="18"/>
          <w:lang w:val="sr-Latn-RS"/>
        </w:rPr>
        <w:t>The following classifications are used for the survey</w:t>
      </w:r>
      <w:r w:rsidR="0079211B" w:rsidRPr="00AA7C7F">
        <w:rPr>
          <w:rFonts w:cs="Arial"/>
          <w:sz w:val="18"/>
          <w:szCs w:val="18"/>
          <w:lang w:val="sr-Latn-RS"/>
        </w:rPr>
        <w:t>:</w:t>
      </w:r>
    </w:p>
    <w:p w14:paraId="2E39132D" w14:textId="4DB91A85" w:rsidR="0079211B" w:rsidRPr="00AA7C7F" w:rsidRDefault="00885A61" w:rsidP="008D166A">
      <w:pPr>
        <w:pStyle w:val="ListParagraph"/>
        <w:numPr>
          <w:ilvl w:val="0"/>
          <w:numId w:val="45"/>
        </w:numPr>
        <w:spacing w:before="60" w:after="60"/>
        <w:ind w:left="0" w:firstLine="397"/>
        <w:contextualSpacing w:val="0"/>
        <w:jc w:val="both"/>
        <w:rPr>
          <w:rFonts w:cs="Arial"/>
          <w:sz w:val="18"/>
          <w:szCs w:val="18"/>
          <w:lang w:val="sr-Latn-RS"/>
        </w:rPr>
      </w:pPr>
      <w:r w:rsidRPr="00AA7C7F">
        <w:rPr>
          <w:rFonts w:cs="Arial"/>
          <w:sz w:val="18"/>
          <w:szCs w:val="18"/>
          <w:lang w:val="sr-Latn-RS"/>
        </w:rPr>
        <w:t>CA</w:t>
      </w:r>
      <w:r w:rsidR="002A17A8" w:rsidRPr="00AA7C7F">
        <w:rPr>
          <w:rFonts w:cs="Arial"/>
          <w:sz w:val="18"/>
          <w:szCs w:val="18"/>
          <w:lang w:val="sr-Latn-RS"/>
        </w:rPr>
        <w:t xml:space="preserve"> 2010</w:t>
      </w:r>
      <w:r w:rsidR="0079211B" w:rsidRPr="00AA7C7F">
        <w:rPr>
          <w:rFonts w:cs="Arial"/>
          <w:sz w:val="18"/>
          <w:szCs w:val="18"/>
          <w:lang w:val="sr-Latn-RS"/>
        </w:rPr>
        <w:t xml:space="preserve"> </w:t>
      </w:r>
      <w:r w:rsidR="002501A0" w:rsidRPr="00AA7C7F">
        <w:rPr>
          <w:rFonts w:cs="Arial"/>
          <w:sz w:val="18"/>
          <w:szCs w:val="18"/>
          <w:lang w:val="sr-Latn-RS"/>
        </w:rPr>
        <w:t>–</w:t>
      </w:r>
      <w:r w:rsidR="0079211B" w:rsidRPr="00AA7C7F">
        <w:rPr>
          <w:rFonts w:cs="Arial"/>
          <w:sz w:val="18"/>
          <w:szCs w:val="18"/>
          <w:lang w:val="sr-Latn-RS"/>
        </w:rPr>
        <w:t xml:space="preserve"> </w:t>
      </w:r>
      <w:r w:rsidRPr="00AA7C7F">
        <w:rPr>
          <w:rFonts w:cs="Arial"/>
          <w:sz w:val="18"/>
          <w:szCs w:val="18"/>
          <w:lang w:val="sr-Latn-RS"/>
        </w:rPr>
        <w:t>Classification of Activities</w:t>
      </w:r>
      <w:r w:rsidR="0079211B" w:rsidRPr="00AA7C7F">
        <w:rPr>
          <w:rFonts w:cs="Arial"/>
          <w:sz w:val="18"/>
          <w:szCs w:val="18"/>
          <w:lang w:val="sr-Latn-RS"/>
        </w:rPr>
        <w:t xml:space="preserve"> (NACE)</w:t>
      </w:r>
    </w:p>
    <w:p w14:paraId="5EA1602A" w14:textId="68697FBE" w:rsidR="0079211B" w:rsidRPr="00AA7C7F" w:rsidRDefault="00885A61" w:rsidP="008D166A">
      <w:pPr>
        <w:pStyle w:val="ListParagraph"/>
        <w:numPr>
          <w:ilvl w:val="0"/>
          <w:numId w:val="45"/>
        </w:numPr>
        <w:spacing w:before="60" w:after="60"/>
        <w:ind w:left="0" w:firstLine="397"/>
        <w:contextualSpacing w:val="0"/>
        <w:jc w:val="both"/>
        <w:rPr>
          <w:rFonts w:cs="Arial"/>
          <w:sz w:val="18"/>
          <w:szCs w:val="18"/>
          <w:lang w:val="sr-Latn-RS"/>
        </w:rPr>
      </w:pPr>
      <w:r w:rsidRPr="00AA7C7F">
        <w:rPr>
          <w:rFonts w:cs="Arial"/>
          <w:sz w:val="18"/>
          <w:szCs w:val="18"/>
          <w:lang w:val="sr-Latn-RS"/>
        </w:rPr>
        <w:t>International Standard Classification of Education</w:t>
      </w:r>
      <w:r w:rsidR="0079211B" w:rsidRPr="00AA7C7F">
        <w:rPr>
          <w:rFonts w:cs="Arial"/>
          <w:sz w:val="18"/>
          <w:szCs w:val="18"/>
          <w:lang w:val="sr-Latn-RS"/>
        </w:rPr>
        <w:t xml:space="preserve"> (ISCED 2011)</w:t>
      </w:r>
    </w:p>
    <w:p w14:paraId="6FF31BA6" w14:textId="1EAD2343" w:rsidR="0079211B" w:rsidRPr="00AA7C7F" w:rsidRDefault="00885A61" w:rsidP="008D166A">
      <w:pPr>
        <w:pStyle w:val="ListParagraph"/>
        <w:numPr>
          <w:ilvl w:val="0"/>
          <w:numId w:val="45"/>
        </w:numPr>
        <w:spacing w:before="60" w:after="60"/>
        <w:ind w:left="0" w:firstLine="397"/>
        <w:contextualSpacing w:val="0"/>
        <w:jc w:val="both"/>
        <w:rPr>
          <w:rFonts w:cs="Arial"/>
          <w:sz w:val="18"/>
          <w:szCs w:val="18"/>
          <w:lang w:val="sr-Latn-RS"/>
        </w:rPr>
      </w:pPr>
      <w:r w:rsidRPr="00AA7C7F">
        <w:rPr>
          <w:rFonts w:cs="Arial"/>
          <w:sz w:val="18"/>
          <w:szCs w:val="18"/>
          <w:lang w:val="sr-Latn-RS"/>
        </w:rPr>
        <w:t>Classification of Occupations</w:t>
      </w:r>
      <w:r w:rsidR="002A17A8" w:rsidRPr="00AA7C7F">
        <w:rPr>
          <w:rFonts w:cs="Arial"/>
          <w:sz w:val="18"/>
          <w:szCs w:val="18"/>
          <w:lang w:val="sr-Latn-RS"/>
        </w:rPr>
        <w:t xml:space="preserve"> </w:t>
      </w:r>
      <w:r w:rsidR="0079211B" w:rsidRPr="00AA7C7F">
        <w:rPr>
          <w:rFonts w:cs="Arial"/>
          <w:sz w:val="18"/>
          <w:szCs w:val="18"/>
          <w:lang w:val="sr-Latn-RS"/>
        </w:rPr>
        <w:t>(ISCO</w:t>
      </w:r>
      <w:r w:rsidR="002A17A8" w:rsidRPr="00AA7C7F">
        <w:rPr>
          <w:rFonts w:cs="Arial"/>
          <w:sz w:val="18"/>
          <w:szCs w:val="18"/>
          <w:lang w:val="sr-Latn-RS"/>
        </w:rPr>
        <w:t>-08</w:t>
      </w:r>
      <w:r w:rsidR="0079211B" w:rsidRPr="00AA7C7F">
        <w:rPr>
          <w:rFonts w:cs="Arial"/>
          <w:sz w:val="18"/>
          <w:szCs w:val="18"/>
          <w:lang w:val="sr-Latn-RS"/>
        </w:rPr>
        <w:t>)</w:t>
      </w:r>
    </w:p>
    <w:p w14:paraId="11EB36FA" w14:textId="2C81D50C" w:rsidR="00885A61" w:rsidRPr="00AA7C7F" w:rsidRDefault="00885A61" w:rsidP="00885A61">
      <w:pPr>
        <w:shd w:val="clear" w:color="auto" w:fill="FFFFFF"/>
        <w:spacing w:before="120" w:after="120"/>
        <w:ind w:left="360"/>
        <w:jc w:val="both"/>
        <w:rPr>
          <w:rFonts w:cs="Arial"/>
          <w:sz w:val="18"/>
          <w:szCs w:val="18"/>
          <w:lang w:val="sr-Latn-RS"/>
        </w:rPr>
      </w:pPr>
      <w:r w:rsidRPr="00AA7C7F">
        <w:rPr>
          <w:rFonts w:cs="Arial"/>
          <w:sz w:val="18"/>
          <w:szCs w:val="18"/>
          <w:lang w:val="sr-Latn-RS"/>
        </w:rPr>
        <w:t>Starting from 1999 the Statistical Office of the Republic of Serbia has not available data for AP Kosovo and Metohija therefore these data are not included in the coverage for the Republic of Serbia (total).</w:t>
      </w:r>
    </w:p>
    <w:tbl>
      <w:tblPr>
        <w:tblpPr w:leftFromText="181" w:rightFromText="181" w:vertAnchor="page" w:horzAnchor="margin" w:tblpXSpec="center" w:tblpY="14176"/>
        <w:tblW w:w="4500" w:type="pct"/>
        <w:tblBorders>
          <w:top w:val="single" w:sz="12" w:space="0" w:color="808080"/>
        </w:tblBorders>
        <w:tblLook w:val="01E0" w:firstRow="1" w:lastRow="1" w:firstColumn="1" w:lastColumn="1" w:noHBand="0" w:noVBand="0"/>
      </w:tblPr>
      <w:tblGrid>
        <w:gridCol w:w="9381"/>
      </w:tblGrid>
      <w:tr w:rsidR="00C36AB9" w:rsidRPr="00067C9B" w14:paraId="4D0C91B1" w14:textId="77777777" w:rsidTr="00D90B8E">
        <w:tc>
          <w:tcPr>
            <w:tcW w:w="9379" w:type="dxa"/>
            <w:tcBorders>
              <w:top w:val="single" w:sz="12" w:space="0" w:color="808080"/>
            </w:tcBorders>
          </w:tcPr>
          <w:p w14:paraId="45D49A26" w14:textId="77777777" w:rsidR="00C36AB9" w:rsidRPr="00067C9B" w:rsidRDefault="00C36AB9" w:rsidP="00D90B8E">
            <w:pPr>
              <w:spacing w:before="120"/>
              <w:jc w:val="center"/>
              <w:rPr>
                <w:i/>
                <w:iCs/>
                <w:color w:val="000000"/>
                <w:sz w:val="18"/>
                <w:szCs w:val="18"/>
                <w:lang w:val="sr-Latn-RS"/>
              </w:rPr>
            </w:pPr>
            <w:r w:rsidRPr="00067C9B">
              <w:rPr>
                <w:sz w:val="18"/>
                <w:szCs w:val="18"/>
                <w:lang w:val="sr-Latn-RS"/>
              </w:rPr>
              <w:t xml:space="preserve">Contact: </w:t>
            </w:r>
            <w:r w:rsidRPr="00067C9B">
              <w:rPr>
                <w:color w:val="0000FF"/>
                <w:sz w:val="18"/>
                <w:szCs w:val="18"/>
                <w:lang w:val="sr-Latn-RS"/>
              </w:rPr>
              <w:t>suncica.stefanovic@stat.gov.rs,</w:t>
            </w:r>
            <w:r w:rsidRPr="00067C9B">
              <w:rPr>
                <w:sz w:val="18"/>
                <w:szCs w:val="18"/>
                <w:lang w:val="sr-Latn-RS"/>
              </w:rPr>
              <w:t xml:space="preserve"> tel.: </w:t>
            </w:r>
            <w:r w:rsidRPr="00067C9B">
              <w:rPr>
                <w:color w:val="000000"/>
                <w:sz w:val="18"/>
                <w:szCs w:val="18"/>
                <w:lang w:val="sr-Latn-RS"/>
              </w:rPr>
              <w:t>011 2410-414</w:t>
            </w:r>
          </w:p>
          <w:p w14:paraId="082A6C0A" w14:textId="77777777" w:rsidR="00C36AB9" w:rsidRPr="00067C9B" w:rsidRDefault="00C36AB9" w:rsidP="00D90B8E">
            <w:pPr>
              <w:jc w:val="center"/>
              <w:rPr>
                <w:i/>
                <w:iCs/>
                <w:sz w:val="18"/>
                <w:szCs w:val="18"/>
                <w:lang w:val="sr-Latn-RS"/>
              </w:rPr>
            </w:pPr>
            <w:r w:rsidRPr="00067C9B">
              <w:rPr>
                <w:sz w:val="18"/>
                <w:szCs w:val="18"/>
                <w:lang w:val="sr-Latn-RS"/>
              </w:rPr>
              <w:t xml:space="preserve">Published and printed by: Statistical Office of the Republic of Serbia, Belgrade, Milana Rakica 5, </w:t>
            </w:r>
          </w:p>
          <w:p w14:paraId="5E7F7301" w14:textId="77777777" w:rsidR="00C36AB9" w:rsidRPr="00067C9B" w:rsidRDefault="00C36AB9" w:rsidP="00D90B8E">
            <w:pPr>
              <w:jc w:val="center"/>
              <w:rPr>
                <w:i/>
                <w:iCs/>
                <w:sz w:val="18"/>
                <w:szCs w:val="18"/>
                <w:lang w:val="sr-Latn-RS"/>
              </w:rPr>
            </w:pPr>
            <w:r w:rsidRPr="00067C9B">
              <w:rPr>
                <w:sz w:val="18"/>
                <w:szCs w:val="18"/>
                <w:lang w:val="sr-Latn-RS"/>
              </w:rPr>
              <w:t xml:space="preserve">Phone: +381 11 2412922 ● Fax: +381 11 2411260 ● www.stat.gov.rs  </w:t>
            </w:r>
          </w:p>
          <w:p w14:paraId="5A6BD01E" w14:textId="77777777" w:rsidR="00C36AB9" w:rsidRPr="00067C9B" w:rsidRDefault="00C36AB9" w:rsidP="00D90B8E">
            <w:pPr>
              <w:jc w:val="center"/>
              <w:rPr>
                <w:i/>
                <w:iCs/>
                <w:sz w:val="18"/>
                <w:szCs w:val="18"/>
                <w:lang w:val="sr-Latn-RS"/>
              </w:rPr>
            </w:pPr>
            <w:r w:rsidRPr="00067C9B">
              <w:rPr>
                <w:sz w:val="18"/>
                <w:szCs w:val="18"/>
                <w:lang w:val="sr-Latn-RS"/>
              </w:rPr>
              <w:t>Responsible: Miladin Kovačević, PhD, Director</w:t>
            </w:r>
          </w:p>
          <w:p w14:paraId="751BF82B" w14:textId="77777777" w:rsidR="00C36AB9" w:rsidRPr="00067C9B" w:rsidRDefault="00C36AB9" w:rsidP="00D90B8E">
            <w:pPr>
              <w:jc w:val="center"/>
              <w:rPr>
                <w:i/>
                <w:iCs/>
                <w:lang w:val="sr-Latn-RS"/>
              </w:rPr>
            </w:pPr>
            <w:r w:rsidRPr="00067C9B">
              <w:rPr>
                <w:sz w:val="18"/>
                <w:szCs w:val="18"/>
                <w:lang w:val="sr-Latn-RS"/>
              </w:rPr>
              <w:t>Circulation: 20 ● Issued annually</w:t>
            </w:r>
          </w:p>
        </w:tc>
      </w:tr>
    </w:tbl>
    <w:p w14:paraId="630C5B4E" w14:textId="77777777" w:rsidR="0082655C" w:rsidRPr="00C36AB9" w:rsidRDefault="0082655C" w:rsidP="008D166A"/>
    <w:sectPr w:rsidR="0082655C" w:rsidRPr="00C36AB9" w:rsidSect="00BA4001">
      <w:footerReference w:type="even" r:id="rId13"/>
      <w:footerReference w:type="default" r:id="rId14"/>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FA3C" w14:textId="77777777" w:rsidR="00421C1A" w:rsidRDefault="00421C1A">
      <w:r>
        <w:separator/>
      </w:r>
    </w:p>
  </w:endnote>
  <w:endnote w:type="continuationSeparator" w:id="0">
    <w:p w14:paraId="243E8F67" w14:textId="77777777" w:rsidR="00421C1A" w:rsidRDefault="0042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assic1"/>
      <w:tblW w:w="0" w:type="auto"/>
      <w:jc w:val="center"/>
      <w:tblBorders>
        <w:top w:val="single" w:sz="4" w:space="0" w:color="auto"/>
        <w:bottom w:val="none" w:sz="0" w:space="0" w:color="auto"/>
      </w:tblBorders>
      <w:tblCellMar>
        <w:left w:w="28" w:type="dxa"/>
        <w:right w:w="28" w:type="dxa"/>
      </w:tblCellMar>
      <w:tblLook w:val="01E0" w:firstRow="1" w:lastRow="1" w:firstColumn="1" w:lastColumn="1" w:noHBand="0" w:noVBand="0"/>
    </w:tblPr>
    <w:tblGrid>
      <w:gridCol w:w="5126"/>
      <w:gridCol w:w="5137"/>
    </w:tblGrid>
    <w:tr w:rsidR="00821F9B" w:rsidRPr="00D5497F" w14:paraId="21D4DAD4" w14:textId="77777777" w:rsidTr="00D54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0" w:type="dxa"/>
          <w:tcBorders>
            <w:bottom w:val="none" w:sz="0" w:space="0" w:color="auto"/>
            <w:right w:val="none" w:sz="0" w:space="0" w:color="auto"/>
          </w:tcBorders>
        </w:tcPr>
        <w:p w14:paraId="70F51A7A" w14:textId="4995C434" w:rsidR="00821F9B" w:rsidRPr="00D5497F" w:rsidRDefault="00821F9B" w:rsidP="0041739D">
          <w:pPr>
            <w:spacing w:before="120"/>
            <w:rPr>
              <w:i w:val="0"/>
              <w:sz w:val="16"/>
              <w:szCs w:val="16"/>
            </w:rPr>
          </w:pPr>
          <w:r w:rsidRPr="00D5497F">
            <w:rPr>
              <w:sz w:val="16"/>
              <w:szCs w:val="16"/>
            </w:rPr>
            <w:fldChar w:fldCharType="begin"/>
          </w:r>
          <w:r w:rsidRPr="00D5497F">
            <w:rPr>
              <w:i w:val="0"/>
              <w:sz w:val="16"/>
              <w:szCs w:val="16"/>
            </w:rPr>
            <w:instrText xml:space="preserve"> PAGE </w:instrText>
          </w:r>
          <w:r w:rsidRPr="00D5497F">
            <w:rPr>
              <w:sz w:val="16"/>
              <w:szCs w:val="16"/>
            </w:rPr>
            <w:fldChar w:fldCharType="separate"/>
          </w:r>
          <w:r w:rsidR="0086126A">
            <w:rPr>
              <w:i w:val="0"/>
              <w:noProof/>
              <w:sz w:val="16"/>
              <w:szCs w:val="16"/>
            </w:rPr>
            <w:t>2</w:t>
          </w:r>
          <w:r w:rsidRPr="00D5497F">
            <w:rPr>
              <w:sz w:val="16"/>
              <w:szCs w:val="16"/>
            </w:rPr>
            <w:fldChar w:fldCharType="end"/>
          </w:r>
        </w:p>
      </w:tc>
      <w:tc>
        <w:tcPr>
          <w:cnfStyle w:val="000000001000" w:firstRow="0" w:lastRow="0" w:firstColumn="0" w:lastColumn="0" w:oddVBand="0" w:evenVBand="0" w:oddHBand="0" w:evenHBand="0" w:firstRowFirstColumn="0" w:firstRowLastColumn="1" w:lastRowFirstColumn="0" w:lastRowLastColumn="0"/>
          <w:tcW w:w="5211" w:type="dxa"/>
          <w:tcBorders>
            <w:bottom w:val="none" w:sz="0" w:space="0" w:color="auto"/>
          </w:tcBorders>
        </w:tcPr>
        <w:p w14:paraId="0605A698" w14:textId="1330D8D0" w:rsidR="00821F9B" w:rsidRPr="00745284" w:rsidRDefault="00081B9D" w:rsidP="004D2ED9">
          <w:pPr>
            <w:spacing w:before="120"/>
            <w:jc w:val="right"/>
            <w:rPr>
              <w:b w:val="0"/>
              <w:sz w:val="16"/>
              <w:szCs w:val="16"/>
              <w:lang w:val="sr-Cyrl-RS"/>
            </w:rPr>
          </w:pPr>
          <w:r>
            <w:rPr>
              <w:b w:val="0"/>
              <w:sz w:val="16"/>
              <w:szCs w:val="16"/>
            </w:rPr>
            <w:t>S</w:t>
          </w:r>
          <w:r w:rsidR="004A5E3B">
            <w:rPr>
              <w:b w:val="0"/>
              <w:sz w:val="16"/>
              <w:szCs w:val="16"/>
            </w:rPr>
            <w:t>E</w:t>
          </w:r>
          <w:r>
            <w:rPr>
              <w:b w:val="0"/>
              <w:sz w:val="16"/>
              <w:szCs w:val="16"/>
            </w:rPr>
            <w:t>RB</w:t>
          </w:r>
          <w:r w:rsidR="00821F9B">
            <w:rPr>
              <w:b w:val="0"/>
              <w:sz w:val="16"/>
              <w:szCs w:val="16"/>
              <w:lang w:val="sr-Cyrl-RS"/>
            </w:rPr>
            <w:t>1</w:t>
          </w:r>
          <w:r w:rsidR="004D2ED9">
            <w:rPr>
              <w:b w:val="0"/>
              <w:sz w:val="16"/>
              <w:szCs w:val="16"/>
              <w:lang w:val="sr-Latn-RS"/>
            </w:rPr>
            <w:t>49</w:t>
          </w:r>
          <w:r w:rsidR="006D5672">
            <w:rPr>
              <w:b w:val="0"/>
              <w:sz w:val="16"/>
              <w:szCs w:val="16"/>
              <w:lang w:val="sr-Cyrl-RS"/>
            </w:rPr>
            <w:t xml:space="preserve"> </w:t>
          </w:r>
          <w:r>
            <w:rPr>
              <w:b w:val="0"/>
              <w:sz w:val="16"/>
              <w:szCs w:val="16"/>
            </w:rPr>
            <w:t>IR</w:t>
          </w:r>
          <w:r w:rsidR="006D5672">
            <w:rPr>
              <w:b w:val="0"/>
              <w:sz w:val="16"/>
              <w:szCs w:val="16"/>
            </w:rPr>
            <w:t>2</w:t>
          </w:r>
          <w:r w:rsidR="00821F9B" w:rsidRPr="00D5497F">
            <w:rPr>
              <w:b w:val="0"/>
              <w:sz w:val="16"/>
              <w:szCs w:val="16"/>
            </w:rPr>
            <w:t xml:space="preserve">0 </w:t>
          </w:r>
          <w:r w:rsidR="004D2ED9">
            <w:rPr>
              <w:b w:val="0"/>
              <w:sz w:val="16"/>
              <w:szCs w:val="16"/>
              <w:lang w:val="sr-Cyrl-RS"/>
            </w:rPr>
            <w:t>29</w:t>
          </w:r>
          <w:r w:rsidR="00821F9B" w:rsidRPr="00D5497F">
            <w:rPr>
              <w:b w:val="0"/>
              <w:sz w:val="16"/>
              <w:szCs w:val="16"/>
            </w:rPr>
            <w:t>0</w:t>
          </w:r>
          <w:r w:rsidR="004D2ED9">
            <w:rPr>
              <w:b w:val="0"/>
              <w:sz w:val="16"/>
              <w:szCs w:val="16"/>
              <w:lang w:val="sr-Cyrl-RS"/>
            </w:rPr>
            <w:t>620</w:t>
          </w:r>
        </w:p>
      </w:tc>
    </w:tr>
  </w:tbl>
  <w:p w14:paraId="7DDBC709" w14:textId="77777777" w:rsidR="00821F9B" w:rsidRPr="00B66A0D" w:rsidRDefault="00821F9B"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assic1"/>
      <w:tblW w:w="0" w:type="auto"/>
      <w:jc w:val="center"/>
      <w:tblBorders>
        <w:top w:val="single" w:sz="4" w:space="0" w:color="auto"/>
        <w:bottom w:val="none" w:sz="0" w:space="0" w:color="auto"/>
      </w:tblBorders>
      <w:tblCellMar>
        <w:left w:w="28" w:type="dxa"/>
        <w:right w:w="28" w:type="dxa"/>
      </w:tblCellMar>
      <w:tblLook w:val="01E0" w:firstRow="1" w:lastRow="1" w:firstColumn="1" w:lastColumn="1" w:noHBand="0" w:noVBand="0"/>
    </w:tblPr>
    <w:tblGrid>
      <w:gridCol w:w="5136"/>
      <w:gridCol w:w="5127"/>
    </w:tblGrid>
    <w:tr w:rsidR="00821F9B" w:rsidRPr="00D5497F" w14:paraId="6CAD02E9" w14:textId="77777777" w:rsidTr="00D54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0" w:type="dxa"/>
          <w:tcBorders>
            <w:bottom w:val="none" w:sz="0" w:space="0" w:color="auto"/>
            <w:right w:val="none" w:sz="0" w:space="0" w:color="auto"/>
          </w:tcBorders>
        </w:tcPr>
        <w:p w14:paraId="1CFA0839" w14:textId="72B98865" w:rsidR="00821F9B" w:rsidRPr="00745284" w:rsidRDefault="00081B9D" w:rsidP="00081B9D">
          <w:pPr>
            <w:spacing w:before="120"/>
            <w:rPr>
              <w:i w:val="0"/>
              <w:sz w:val="16"/>
              <w:szCs w:val="16"/>
              <w:lang w:val="sr-Cyrl-RS"/>
            </w:rPr>
          </w:pPr>
          <w:r>
            <w:rPr>
              <w:i w:val="0"/>
              <w:sz w:val="16"/>
              <w:szCs w:val="16"/>
            </w:rPr>
            <w:t>S</w:t>
          </w:r>
          <w:r w:rsidR="004A5E3B">
            <w:rPr>
              <w:i w:val="0"/>
              <w:sz w:val="16"/>
              <w:szCs w:val="16"/>
            </w:rPr>
            <w:t>E</w:t>
          </w:r>
          <w:r>
            <w:rPr>
              <w:i w:val="0"/>
              <w:sz w:val="16"/>
              <w:szCs w:val="16"/>
            </w:rPr>
            <w:t>RB</w:t>
          </w:r>
          <w:r w:rsidR="004D2ED9">
            <w:rPr>
              <w:i w:val="0"/>
              <w:sz w:val="16"/>
              <w:szCs w:val="16"/>
              <w:lang w:val="sr-Cyrl-RS"/>
            </w:rPr>
            <w:t>149</w:t>
          </w:r>
          <w:r w:rsidR="00821F9B" w:rsidRPr="00D5497F">
            <w:rPr>
              <w:i w:val="0"/>
              <w:sz w:val="16"/>
              <w:szCs w:val="16"/>
            </w:rPr>
            <w:t xml:space="preserve"> </w:t>
          </w:r>
          <w:r>
            <w:rPr>
              <w:i w:val="0"/>
              <w:sz w:val="16"/>
              <w:szCs w:val="16"/>
            </w:rPr>
            <w:t>IR</w:t>
          </w:r>
          <w:r w:rsidR="006D5672">
            <w:rPr>
              <w:i w:val="0"/>
              <w:sz w:val="16"/>
              <w:szCs w:val="16"/>
              <w:lang w:val="sr-Cyrl-RS"/>
            </w:rPr>
            <w:t>2</w:t>
          </w:r>
          <w:r w:rsidR="00821F9B" w:rsidRPr="00D5497F">
            <w:rPr>
              <w:i w:val="0"/>
              <w:sz w:val="16"/>
              <w:szCs w:val="16"/>
            </w:rPr>
            <w:t xml:space="preserve">0 </w:t>
          </w:r>
          <w:r w:rsidR="00821F9B">
            <w:rPr>
              <w:i w:val="0"/>
              <w:sz w:val="16"/>
              <w:szCs w:val="16"/>
              <w:lang w:val="sr-Cyrl-RS"/>
            </w:rPr>
            <w:t>2</w:t>
          </w:r>
          <w:r w:rsidR="004D2ED9">
            <w:rPr>
              <w:i w:val="0"/>
              <w:sz w:val="16"/>
              <w:szCs w:val="16"/>
              <w:lang w:val="sr-Cyrl-RS"/>
            </w:rPr>
            <w:t>9</w:t>
          </w:r>
          <w:r w:rsidR="00821F9B" w:rsidRPr="00D5497F">
            <w:rPr>
              <w:i w:val="0"/>
              <w:sz w:val="16"/>
              <w:szCs w:val="16"/>
            </w:rPr>
            <w:t>0</w:t>
          </w:r>
          <w:r w:rsidR="004D2ED9">
            <w:rPr>
              <w:i w:val="0"/>
              <w:sz w:val="16"/>
              <w:szCs w:val="16"/>
              <w:lang w:val="sr-Cyrl-RS"/>
            </w:rPr>
            <w:t>620</w:t>
          </w:r>
        </w:p>
      </w:tc>
      <w:tc>
        <w:tcPr>
          <w:cnfStyle w:val="000000001000" w:firstRow="0" w:lastRow="0" w:firstColumn="0" w:lastColumn="0" w:oddVBand="0" w:evenVBand="0" w:oddHBand="0" w:evenHBand="0" w:firstRowFirstColumn="0" w:firstRowLastColumn="1" w:lastRowFirstColumn="0" w:lastRowLastColumn="0"/>
          <w:tcW w:w="5211" w:type="dxa"/>
          <w:tcBorders>
            <w:bottom w:val="none" w:sz="0" w:space="0" w:color="auto"/>
          </w:tcBorders>
        </w:tcPr>
        <w:p w14:paraId="3F1A3D43" w14:textId="5F03E970" w:rsidR="00821F9B" w:rsidRPr="00D5497F" w:rsidRDefault="00821F9B" w:rsidP="002338F2">
          <w:pPr>
            <w:spacing w:before="120"/>
            <w:jc w:val="right"/>
            <w:rPr>
              <w:b w:val="0"/>
              <w:sz w:val="16"/>
              <w:szCs w:val="16"/>
            </w:rPr>
          </w:pPr>
          <w:r w:rsidRPr="00D5497F">
            <w:rPr>
              <w:sz w:val="16"/>
              <w:szCs w:val="16"/>
            </w:rPr>
            <w:fldChar w:fldCharType="begin"/>
          </w:r>
          <w:r w:rsidRPr="00D5497F">
            <w:rPr>
              <w:b w:val="0"/>
              <w:sz w:val="16"/>
              <w:szCs w:val="16"/>
            </w:rPr>
            <w:instrText xml:space="preserve"> PAGE </w:instrText>
          </w:r>
          <w:r w:rsidRPr="00D5497F">
            <w:rPr>
              <w:sz w:val="16"/>
              <w:szCs w:val="16"/>
            </w:rPr>
            <w:fldChar w:fldCharType="separate"/>
          </w:r>
          <w:r w:rsidR="0086126A">
            <w:rPr>
              <w:b w:val="0"/>
              <w:noProof/>
              <w:sz w:val="16"/>
              <w:szCs w:val="16"/>
            </w:rPr>
            <w:t>3</w:t>
          </w:r>
          <w:r w:rsidRPr="00D5497F">
            <w:rPr>
              <w:sz w:val="16"/>
              <w:szCs w:val="16"/>
            </w:rPr>
            <w:fldChar w:fldCharType="end"/>
          </w:r>
        </w:p>
      </w:tc>
    </w:tr>
  </w:tbl>
  <w:p w14:paraId="4455A11A" w14:textId="77777777" w:rsidR="00821F9B" w:rsidRPr="00B66A0D" w:rsidRDefault="00821F9B" w:rsidP="00B66A0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0419" w14:textId="77777777" w:rsidR="00421C1A" w:rsidRDefault="00421C1A">
      <w:r>
        <w:separator/>
      </w:r>
    </w:p>
  </w:footnote>
  <w:footnote w:type="continuationSeparator" w:id="0">
    <w:p w14:paraId="268D0E0D" w14:textId="77777777" w:rsidR="00421C1A" w:rsidRDefault="0042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58E4788"/>
    <w:multiLevelType w:val="hybridMultilevel"/>
    <w:tmpl w:val="F350DA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16279"/>
    <w:multiLevelType w:val="hybridMultilevel"/>
    <w:tmpl w:val="1A325F1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15:restartNumberingAfterBreak="0">
    <w:nsid w:val="10E26953"/>
    <w:multiLevelType w:val="hybridMultilevel"/>
    <w:tmpl w:val="C6AA224E"/>
    <w:lvl w:ilvl="0" w:tplc="1BF88256">
      <w:start w:val="4"/>
      <w:numFmt w:val="bullet"/>
      <w:lvlText w:val="-"/>
      <w:lvlJc w:val="left"/>
      <w:pPr>
        <w:ind w:left="720" w:hanging="360"/>
      </w:pPr>
      <w:rPr>
        <w:rFonts w:ascii="Arial" w:eastAsiaTheme="minorHAnsi" w:hAnsi="Arial" w:cs="Aria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6" w15:restartNumberingAfterBreak="0">
    <w:nsid w:val="1311174A"/>
    <w:multiLevelType w:val="hybridMultilevel"/>
    <w:tmpl w:val="3392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C5622"/>
    <w:multiLevelType w:val="hybridMultilevel"/>
    <w:tmpl w:val="A9F2443C"/>
    <w:lvl w:ilvl="0" w:tplc="4A8C2F0E">
      <w:numFmt w:val="bullet"/>
      <w:lvlText w:val="−"/>
      <w:lvlJc w:val="left"/>
      <w:pPr>
        <w:ind w:left="1440" w:hanging="360"/>
      </w:pPr>
      <w:rPr>
        <w:rFonts w:ascii="Arial" w:eastAsia="Times New Roman" w:hAnsi="Arial" w:cs="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8"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7763DB8"/>
    <w:multiLevelType w:val="hybridMultilevel"/>
    <w:tmpl w:val="EF309BA4"/>
    <w:lvl w:ilvl="0" w:tplc="36BADF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14861"/>
    <w:multiLevelType w:val="hybridMultilevel"/>
    <w:tmpl w:val="5DB69C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74505B1"/>
    <w:multiLevelType w:val="hybridMultilevel"/>
    <w:tmpl w:val="EC062026"/>
    <w:lvl w:ilvl="0" w:tplc="6A80415C">
      <w:numFmt w:val="bullet"/>
      <w:lvlText w:val="−"/>
      <w:lvlJc w:val="left"/>
      <w:pPr>
        <w:ind w:left="1080" w:hanging="360"/>
      </w:pPr>
      <w:rPr>
        <w:rFonts w:ascii="Arial" w:eastAsia="Times New Roman" w:hAnsi="Arial" w:cs="Aria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4"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CAD03EE"/>
    <w:multiLevelType w:val="hybridMultilevel"/>
    <w:tmpl w:val="5AE6B760"/>
    <w:lvl w:ilvl="0" w:tplc="3D6483B6">
      <w:start w:val="4"/>
      <w:numFmt w:val="bullet"/>
      <w:lvlText w:val="−"/>
      <w:lvlJc w:val="left"/>
      <w:pPr>
        <w:ind w:left="4065" w:hanging="360"/>
      </w:pPr>
      <w:rPr>
        <w:rFonts w:ascii="Arial" w:eastAsia="Times New Roman" w:hAnsi="Arial" w:cs="Arial"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8"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4B0B17EB"/>
    <w:multiLevelType w:val="hybridMultilevel"/>
    <w:tmpl w:val="A088FDC0"/>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DED525A"/>
    <w:multiLevelType w:val="hybridMultilevel"/>
    <w:tmpl w:val="56F206FE"/>
    <w:lvl w:ilvl="0" w:tplc="890C326A">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15:restartNumberingAfterBreak="0">
    <w:nsid w:val="58B729E7"/>
    <w:multiLevelType w:val="hybridMultilevel"/>
    <w:tmpl w:val="50E6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0"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642069D7"/>
    <w:multiLevelType w:val="hybridMultilevel"/>
    <w:tmpl w:val="0F5EED16"/>
    <w:lvl w:ilvl="0" w:tplc="3DE285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132690"/>
    <w:multiLevelType w:val="hybridMultilevel"/>
    <w:tmpl w:val="20E2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4"/>
  </w:num>
  <w:num w:numId="12">
    <w:abstractNumId w:val="32"/>
  </w:num>
  <w:num w:numId="13">
    <w:abstractNumId w:val="8"/>
  </w:num>
  <w:num w:numId="14">
    <w:abstractNumId w:val="39"/>
  </w:num>
  <w:num w:numId="15">
    <w:abstractNumId w:val="35"/>
  </w:num>
  <w:num w:numId="16">
    <w:abstractNumId w:val="15"/>
  </w:num>
  <w:num w:numId="17">
    <w:abstractNumId w:val="18"/>
  </w:num>
  <w:num w:numId="18">
    <w:abstractNumId w:val="44"/>
  </w:num>
  <w:num w:numId="19">
    <w:abstractNumId w:val="31"/>
  </w:num>
  <w:num w:numId="20">
    <w:abstractNumId w:val="28"/>
  </w:num>
  <w:num w:numId="21">
    <w:abstractNumId w:val="43"/>
  </w:num>
  <w:num w:numId="22">
    <w:abstractNumId w:val="33"/>
  </w:num>
  <w:num w:numId="23">
    <w:abstractNumId w:val="30"/>
  </w:num>
  <w:num w:numId="24">
    <w:abstractNumId w:val="22"/>
  </w:num>
  <w:num w:numId="25">
    <w:abstractNumId w:val="21"/>
  </w:num>
  <w:num w:numId="26">
    <w:abstractNumId w:val="25"/>
  </w:num>
  <w:num w:numId="27">
    <w:abstractNumId w:val="40"/>
  </w:num>
  <w:num w:numId="28">
    <w:abstractNumId w:val="13"/>
  </w:num>
  <w:num w:numId="29">
    <w:abstractNumId w:val="37"/>
  </w:num>
  <w:num w:numId="30">
    <w:abstractNumId w:val="29"/>
  </w:num>
  <w:num w:numId="31">
    <w:abstractNumId w:val="26"/>
  </w:num>
  <w:num w:numId="32">
    <w:abstractNumId w:val="10"/>
  </w:num>
  <w:num w:numId="33">
    <w:abstractNumId w:val="41"/>
  </w:num>
  <w:num w:numId="34">
    <w:abstractNumId w:val="34"/>
  </w:num>
  <w:num w:numId="35">
    <w:abstractNumId w:val="11"/>
  </w:num>
  <w:num w:numId="36">
    <w:abstractNumId w:val="20"/>
  </w:num>
  <w:num w:numId="37">
    <w:abstractNumId w:val="36"/>
  </w:num>
  <w:num w:numId="38">
    <w:abstractNumId w:val="23"/>
  </w:num>
  <w:num w:numId="39">
    <w:abstractNumId w:val="17"/>
  </w:num>
  <w:num w:numId="40">
    <w:abstractNumId w:val="19"/>
  </w:num>
  <w:num w:numId="41">
    <w:abstractNumId w:val="38"/>
  </w:num>
  <w:num w:numId="42">
    <w:abstractNumId w:val="45"/>
  </w:num>
  <w:num w:numId="43">
    <w:abstractNumId w:val="27"/>
  </w:num>
  <w:num w:numId="44">
    <w:abstractNumId w:val="16"/>
  </w:num>
  <w:num w:numId="45">
    <w:abstractNumId w:val="14"/>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DF"/>
    <w:rsid w:val="0000212E"/>
    <w:rsid w:val="00003C6F"/>
    <w:rsid w:val="000049E7"/>
    <w:rsid w:val="000067CE"/>
    <w:rsid w:val="00006A57"/>
    <w:rsid w:val="00007746"/>
    <w:rsid w:val="00021C9B"/>
    <w:rsid w:val="00026E02"/>
    <w:rsid w:val="00030FD2"/>
    <w:rsid w:val="000415CC"/>
    <w:rsid w:val="00045E96"/>
    <w:rsid w:val="000524B1"/>
    <w:rsid w:val="00056BFC"/>
    <w:rsid w:val="000621A4"/>
    <w:rsid w:val="00072A3E"/>
    <w:rsid w:val="00077F5F"/>
    <w:rsid w:val="00081B9D"/>
    <w:rsid w:val="00083AE5"/>
    <w:rsid w:val="000A59E9"/>
    <w:rsid w:val="000A6921"/>
    <w:rsid w:val="000A70DB"/>
    <w:rsid w:val="000B3B9A"/>
    <w:rsid w:val="000D4726"/>
    <w:rsid w:val="000E0A38"/>
    <w:rsid w:val="000E6BD6"/>
    <w:rsid w:val="000F5608"/>
    <w:rsid w:val="001034CA"/>
    <w:rsid w:val="00103BFF"/>
    <w:rsid w:val="001043FE"/>
    <w:rsid w:val="001057A8"/>
    <w:rsid w:val="00110976"/>
    <w:rsid w:val="00114289"/>
    <w:rsid w:val="0011794A"/>
    <w:rsid w:val="001209D9"/>
    <w:rsid w:val="00120DC5"/>
    <w:rsid w:val="00122EDE"/>
    <w:rsid w:val="001245F5"/>
    <w:rsid w:val="00131015"/>
    <w:rsid w:val="00134D96"/>
    <w:rsid w:val="0014018B"/>
    <w:rsid w:val="0015205D"/>
    <w:rsid w:val="001521B5"/>
    <w:rsid w:val="00154DA6"/>
    <w:rsid w:val="00161163"/>
    <w:rsid w:val="00161C21"/>
    <w:rsid w:val="00165B24"/>
    <w:rsid w:val="00174E1D"/>
    <w:rsid w:val="00176028"/>
    <w:rsid w:val="001849D9"/>
    <w:rsid w:val="00192AB0"/>
    <w:rsid w:val="001956CF"/>
    <w:rsid w:val="00195E38"/>
    <w:rsid w:val="001A1F86"/>
    <w:rsid w:val="001F4C05"/>
    <w:rsid w:val="001F5E9B"/>
    <w:rsid w:val="001F7022"/>
    <w:rsid w:val="00202418"/>
    <w:rsid w:val="00203A67"/>
    <w:rsid w:val="002148B3"/>
    <w:rsid w:val="00215D27"/>
    <w:rsid w:val="00225696"/>
    <w:rsid w:val="002338F2"/>
    <w:rsid w:val="00243D02"/>
    <w:rsid w:val="002466BA"/>
    <w:rsid w:val="002501A0"/>
    <w:rsid w:val="00255940"/>
    <w:rsid w:val="002577D1"/>
    <w:rsid w:val="00266953"/>
    <w:rsid w:val="002671EC"/>
    <w:rsid w:val="002876E4"/>
    <w:rsid w:val="00293D28"/>
    <w:rsid w:val="002960D1"/>
    <w:rsid w:val="00296C9D"/>
    <w:rsid w:val="002A17A8"/>
    <w:rsid w:val="002A4813"/>
    <w:rsid w:val="002A4CB3"/>
    <w:rsid w:val="002B4E17"/>
    <w:rsid w:val="002B5D10"/>
    <w:rsid w:val="002C16F4"/>
    <w:rsid w:val="002C6797"/>
    <w:rsid w:val="002D1B7B"/>
    <w:rsid w:val="002D6855"/>
    <w:rsid w:val="002F30B6"/>
    <w:rsid w:val="002F4B86"/>
    <w:rsid w:val="002F7667"/>
    <w:rsid w:val="002F79AE"/>
    <w:rsid w:val="00311B77"/>
    <w:rsid w:val="00315458"/>
    <w:rsid w:val="003156E7"/>
    <w:rsid w:val="00315A3D"/>
    <w:rsid w:val="00316DFD"/>
    <w:rsid w:val="00321903"/>
    <w:rsid w:val="003232AD"/>
    <w:rsid w:val="00323F7E"/>
    <w:rsid w:val="003357E7"/>
    <w:rsid w:val="003472A6"/>
    <w:rsid w:val="0036379E"/>
    <w:rsid w:val="003656A7"/>
    <w:rsid w:val="00367CA1"/>
    <w:rsid w:val="00370CAF"/>
    <w:rsid w:val="0037110B"/>
    <w:rsid w:val="003739B4"/>
    <w:rsid w:val="003908B9"/>
    <w:rsid w:val="003912B6"/>
    <w:rsid w:val="0039213E"/>
    <w:rsid w:val="003A1813"/>
    <w:rsid w:val="003A2F46"/>
    <w:rsid w:val="003A6851"/>
    <w:rsid w:val="003A7718"/>
    <w:rsid w:val="003B55FA"/>
    <w:rsid w:val="003C4653"/>
    <w:rsid w:val="003D76BB"/>
    <w:rsid w:val="003E06F2"/>
    <w:rsid w:val="003E3C34"/>
    <w:rsid w:val="003F2C4B"/>
    <w:rsid w:val="003F3648"/>
    <w:rsid w:val="003F5934"/>
    <w:rsid w:val="00401DCA"/>
    <w:rsid w:val="00401E48"/>
    <w:rsid w:val="004108D5"/>
    <w:rsid w:val="0041739D"/>
    <w:rsid w:val="004216D5"/>
    <w:rsid w:val="00421C1A"/>
    <w:rsid w:val="00421FF7"/>
    <w:rsid w:val="00425C2C"/>
    <w:rsid w:val="004273D6"/>
    <w:rsid w:val="00432F75"/>
    <w:rsid w:val="004350CD"/>
    <w:rsid w:val="00443176"/>
    <w:rsid w:val="00451125"/>
    <w:rsid w:val="00451C29"/>
    <w:rsid w:val="004620A9"/>
    <w:rsid w:val="0047263F"/>
    <w:rsid w:val="00475746"/>
    <w:rsid w:val="004806A0"/>
    <w:rsid w:val="004863EB"/>
    <w:rsid w:val="004909B1"/>
    <w:rsid w:val="004946DA"/>
    <w:rsid w:val="004958A5"/>
    <w:rsid w:val="00497B38"/>
    <w:rsid w:val="004A30B9"/>
    <w:rsid w:val="004A4921"/>
    <w:rsid w:val="004A5006"/>
    <w:rsid w:val="004A5E3B"/>
    <w:rsid w:val="004B03E8"/>
    <w:rsid w:val="004C6B85"/>
    <w:rsid w:val="004D0523"/>
    <w:rsid w:val="004D2ED9"/>
    <w:rsid w:val="004D6B4B"/>
    <w:rsid w:val="004E0F50"/>
    <w:rsid w:val="004E266D"/>
    <w:rsid w:val="004E2DDE"/>
    <w:rsid w:val="004E5162"/>
    <w:rsid w:val="004E5ADD"/>
    <w:rsid w:val="004F4876"/>
    <w:rsid w:val="004F4A78"/>
    <w:rsid w:val="004F5565"/>
    <w:rsid w:val="004F62FA"/>
    <w:rsid w:val="004F7A7D"/>
    <w:rsid w:val="00505685"/>
    <w:rsid w:val="005062DF"/>
    <w:rsid w:val="005149EB"/>
    <w:rsid w:val="005219F2"/>
    <w:rsid w:val="005269DF"/>
    <w:rsid w:val="005440C6"/>
    <w:rsid w:val="005452E1"/>
    <w:rsid w:val="00545825"/>
    <w:rsid w:val="005605E2"/>
    <w:rsid w:val="00563D09"/>
    <w:rsid w:val="00581C63"/>
    <w:rsid w:val="00581DCF"/>
    <w:rsid w:val="0058671F"/>
    <w:rsid w:val="00591990"/>
    <w:rsid w:val="00591F3B"/>
    <w:rsid w:val="00593BC0"/>
    <w:rsid w:val="00596A18"/>
    <w:rsid w:val="0059790A"/>
    <w:rsid w:val="005A306C"/>
    <w:rsid w:val="005B6170"/>
    <w:rsid w:val="005C10E4"/>
    <w:rsid w:val="005C4034"/>
    <w:rsid w:val="005C7F51"/>
    <w:rsid w:val="005D0409"/>
    <w:rsid w:val="005E3D5A"/>
    <w:rsid w:val="005E5134"/>
    <w:rsid w:val="005E74DB"/>
    <w:rsid w:val="005F319F"/>
    <w:rsid w:val="005F408E"/>
    <w:rsid w:val="005F541A"/>
    <w:rsid w:val="00602BD8"/>
    <w:rsid w:val="0060702C"/>
    <w:rsid w:val="00610AB9"/>
    <w:rsid w:val="006134B2"/>
    <w:rsid w:val="006237AE"/>
    <w:rsid w:val="00623CFC"/>
    <w:rsid w:val="00624574"/>
    <w:rsid w:val="00626D5C"/>
    <w:rsid w:val="00626DB8"/>
    <w:rsid w:val="00627E99"/>
    <w:rsid w:val="0063083E"/>
    <w:rsid w:val="00631AAF"/>
    <w:rsid w:val="00635782"/>
    <w:rsid w:val="00635D60"/>
    <w:rsid w:val="00642A4F"/>
    <w:rsid w:val="00642FCE"/>
    <w:rsid w:val="006441BC"/>
    <w:rsid w:val="0065749D"/>
    <w:rsid w:val="00665E5A"/>
    <w:rsid w:val="0067119B"/>
    <w:rsid w:val="00677A51"/>
    <w:rsid w:val="00680FA7"/>
    <w:rsid w:val="00687C62"/>
    <w:rsid w:val="00687EA5"/>
    <w:rsid w:val="006A37D2"/>
    <w:rsid w:val="006A7E8E"/>
    <w:rsid w:val="006B570A"/>
    <w:rsid w:val="006B66AD"/>
    <w:rsid w:val="006B7517"/>
    <w:rsid w:val="006C078D"/>
    <w:rsid w:val="006C18E3"/>
    <w:rsid w:val="006C64B8"/>
    <w:rsid w:val="006D2632"/>
    <w:rsid w:val="006D4B43"/>
    <w:rsid w:val="006D50DC"/>
    <w:rsid w:val="006D5672"/>
    <w:rsid w:val="006E21B2"/>
    <w:rsid w:val="006E79AD"/>
    <w:rsid w:val="006E7AF4"/>
    <w:rsid w:val="006F3346"/>
    <w:rsid w:val="006F35D2"/>
    <w:rsid w:val="00700027"/>
    <w:rsid w:val="0070565D"/>
    <w:rsid w:val="00712235"/>
    <w:rsid w:val="0071623E"/>
    <w:rsid w:val="007226C0"/>
    <w:rsid w:val="0073113A"/>
    <w:rsid w:val="00734AE4"/>
    <w:rsid w:val="00734B6D"/>
    <w:rsid w:val="0073581E"/>
    <w:rsid w:val="00737971"/>
    <w:rsid w:val="00743C6B"/>
    <w:rsid w:val="00745284"/>
    <w:rsid w:val="00750671"/>
    <w:rsid w:val="007515BF"/>
    <w:rsid w:val="007644ED"/>
    <w:rsid w:val="0079211B"/>
    <w:rsid w:val="00792B34"/>
    <w:rsid w:val="00794FBC"/>
    <w:rsid w:val="007A551E"/>
    <w:rsid w:val="007B19A2"/>
    <w:rsid w:val="007C0DE1"/>
    <w:rsid w:val="007C339B"/>
    <w:rsid w:val="007D36BE"/>
    <w:rsid w:val="007D4AF9"/>
    <w:rsid w:val="007D79C3"/>
    <w:rsid w:val="007E0BF1"/>
    <w:rsid w:val="007E1537"/>
    <w:rsid w:val="007E26EA"/>
    <w:rsid w:val="007E2BD1"/>
    <w:rsid w:val="007E3FD2"/>
    <w:rsid w:val="007E4EDB"/>
    <w:rsid w:val="007E6E68"/>
    <w:rsid w:val="007F1EB5"/>
    <w:rsid w:val="007F63EA"/>
    <w:rsid w:val="007F6667"/>
    <w:rsid w:val="0080397E"/>
    <w:rsid w:val="00804D13"/>
    <w:rsid w:val="008174D7"/>
    <w:rsid w:val="00821F9B"/>
    <w:rsid w:val="008226FC"/>
    <w:rsid w:val="0082655C"/>
    <w:rsid w:val="00827048"/>
    <w:rsid w:val="0083098A"/>
    <w:rsid w:val="0083320D"/>
    <w:rsid w:val="00837EA3"/>
    <w:rsid w:val="00841B7F"/>
    <w:rsid w:val="00844340"/>
    <w:rsid w:val="00851914"/>
    <w:rsid w:val="00855564"/>
    <w:rsid w:val="00860F86"/>
    <w:rsid w:val="0086126A"/>
    <w:rsid w:val="00865950"/>
    <w:rsid w:val="008709CE"/>
    <w:rsid w:val="008742AC"/>
    <w:rsid w:val="00885A61"/>
    <w:rsid w:val="00891EC4"/>
    <w:rsid w:val="00893C32"/>
    <w:rsid w:val="00894029"/>
    <w:rsid w:val="008B0357"/>
    <w:rsid w:val="008B0EC4"/>
    <w:rsid w:val="008B5223"/>
    <w:rsid w:val="008B63C9"/>
    <w:rsid w:val="008C3B72"/>
    <w:rsid w:val="008C44B8"/>
    <w:rsid w:val="008C4DA9"/>
    <w:rsid w:val="008C62CC"/>
    <w:rsid w:val="008D0BEA"/>
    <w:rsid w:val="008D166A"/>
    <w:rsid w:val="008D4A49"/>
    <w:rsid w:val="008D7F0A"/>
    <w:rsid w:val="008E4986"/>
    <w:rsid w:val="008E68F5"/>
    <w:rsid w:val="008F123E"/>
    <w:rsid w:val="008F5D75"/>
    <w:rsid w:val="00902A55"/>
    <w:rsid w:val="00904BEC"/>
    <w:rsid w:val="00910F99"/>
    <w:rsid w:val="00917B9F"/>
    <w:rsid w:val="00923E9D"/>
    <w:rsid w:val="0092456D"/>
    <w:rsid w:val="00931BB6"/>
    <w:rsid w:val="009324E6"/>
    <w:rsid w:val="00935F76"/>
    <w:rsid w:val="00940DEA"/>
    <w:rsid w:val="00941B33"/>
    <w:rsid w:val="00950D77"/>
    <w:rsid w:val="009533B7"/>
    <w:rsid w:val="00953B72"/>
    <w:rsid w:val="00953D0E"/>
    <w:rsid w:val="0095554A"/>
    <w:rsid w:val="00961FBD"/>
    <w:rsid w:val="009648BB"/>
    <w:rsid w:val="009747E3"/>
    <w:rsid w:val="00975CC8"/>
    <w:rsid w:val="00985BA6"/>
    <w:rsid w:val="00986803"/>
    <w:rsid w:val="009A3542"/>
    <w:rsid w:val="009B1797"/>
    <w:rsid w:val="009C3E9B"/>
    <w:rsid w:val="009C4802"/>
    <w:rsid w:val="009D28E8"/>
    <w:rsid w:val="009E0D17"/>
    <w:rsid w:val="009E3653"/>
    <w:rsid w:val="009E4CF4"/>
    <w:rsid w:val="00A00694"/>
    <w:rsid w:val="00A03D8B"/>
    <w:rsid w:val="00A04C5F"/>
    <w:rsid w:val="00A06762"/>
    <w:rsid w:val="00A14EFE"/>
    <w:rsid w:val="00A15EE6"/>
    <w:rsid w:val="00A20D67"/>
    <w:rsid w:val="00A32865"/>
    <w:rsid w:val="00A405AC"/>
    <w:rsid w:val="00A6061F"/>
    <w:rsid w:val="00A61E29"/>
    <w:rsid w:val="00A62452"/>
    <w:rsid w:val="00A6467E"/>
    <w:rsid w:val="00A65364"/>
    <w:rsid w:val="00A74D6D"/>
    <w:rsid w:val="00A7556A"/>
    <w:rsid w:val="00A7683B"/>
    <w:rsid w:val="00A76BD5"/>
    <w:rsid w:val="00A80D46"/>
    <w:rsid w:val="00A82869"/>
    <w:rsid w:val="00A84F98"/>
    <w:rsid w:val="00A873F5"/>
    <w:rsid w:val="00A939B7"/>
    <w:rsid w:val="00AA3218"/>
    <w:rsid w:val="00AA7C7F"/>
    <w:rsid w:val="00AB7981"/>
    <w:rsid w:val="00AC27BF"/>
    <w:rsid w:val="00AC43D9"/>
    <w:rsid w:val="00AC725B"/>
    <w:rsid w:val="00AD044D"/>
    <w:rsid w:val="00AD5395"/>
    <w:rsid w:val="00AE2F42"/>
    <w:rsid w:val="00B01541"/>
    <w:rsid w:val="00B023CB"/>
    <w:rsid w:val="00B06035"/>
    <w:rsid w:val="00B12F21"/>
    <w:rsid w:val="00B1571D"/>
    <w:rsid w:val="00B2751E"/>
    <w:rsid w:val="00B400A7"/>
    <w:rsid w:val="00B4128E"/>
    <w:rsid w:val="00B44887"/>
    <w:rsid w:val="00B44F2B"/>
    <w:rsid w:val="00B476A6"/>
    <w:rsid w:val="00B51A21"/>
    <w:rsid w:val="00B64573"/>
    <w:rsid w:val="00B66A0D"/>
    <w:rsid w:val="00B803F7"/>
    <w:rsid w:val="00B821B8"/>
    <w:rsid w:val="00B865B0"/>
    <w:rsid w:val="00B87E26"/>
    <w:rsid w:val="00B9262A"/>
    <w:rsid w:val="00B967F5"/>
    <w:rsid w:val="00BA2A4A"/>
    <w:rsid w:val="00BA4001"/>
    <w:rsid w:val="00BC4F3A"/>
    <w:rsid w:val="00BC5F23"/>
    <w:rsid w:val="00BD01E8"/>
    <w:rsid w:val="00BD3A0D"/>
    <w:rsid w:val="00BD7876"/>
    <w:rsid w:val="00BE0489"/>
    <w:rsid w:val="00BE0D25"/>
    <w:rsid w:val="00BE2C5F"/>
    <w:rsid w:val="00BF0C26"/>
    <w:rsid w:val="00C00089"/>
    <w:rsid w:val="00C054A2"/>
    <w:rsid w:val="00C11771"/>
    <w:rsid w:val="00C13D19"/>
    <w:rsid w:val="00C149A4"/>
    <w:rsid w:val="00C224CB"/>
    <w:rsid w:val="00C24C90"/>
    <w:rsid w:val="00C2721A"/>
    <w:rsid w:val="00C30B37"/>
    <w:rsid w:val="00C36AB9"/>
    <w:rsid w:val="00C37F67"/>
    <w:rsid w:val="00C4273E"/>
    <w:rsid w:val="00C44201"/>
    <w:rsid w:val="00C471EC"/>
    <w:rsid w:val="00C52A0C"/>
    <w:rsid w:val="00C623E2"/>
    <w:rsid w:val="00C64B6F"/>
    <w:rsid w:val="00C65F33"/>
    <w:rsid w:val="00C72AEF"/>
    <w:rsid w:val="00C81710"/>
    <w:rsid w:val="00C81721"/>
    <w:rsid w:val="00C84A0B"/>
    <w:rsid w:val="00C95931"/>
    <w:rsid w:val="00C97B5E"/>
    <w:rsid w:val="00CA16B2"/>
    <w:rsid w:val="00CA2888"/>
    <w:rsid w:val="00CA6488"/>
    <w:rsid w:val="00CB23DD"/>
    <w:rsid w:val="00CB6CF9"/>
    <w:rsid w:val="00CC22BA"/>
    <w:rsid w:val="00CC2991"/>
    <w:rsid w:val="00CC35F9"/>
    <w:rsid w:val="00CD28CC"/>
    <w:rsid w:val="00CD40C9"/>
    <w:rsid w:val="00CD52FE"/>
    <w:rsid w:val="00CD6DB8"/>
    <w:rsid w:val="00CD73D3"/>
    <w:rsid w:val="00CE084A"/>
    <w:rsid w:val="00CE0BFE"/>
    <w:rsid w:val="00CF20F9"/>
    <w:rsid w:val="00CF74C4"/>
    <w:rsid w:val="00D02A56"/>
    <w:rsid w:val="00D0316C"/>
    <w:rsid w:val="00D075D6"/>
    <w:rsid w:val="00D10819"/>
    <w:rsid w:val="00D17817"/>
    <w:rsid w:val="00D263A7"/>
    <w:rsid w:val="00D44043"/>
    <w:rsid w:val="00D50F05"/>
    <w:rsid w:val="00D5306D"/>
    <w:rsid w:val="00D54700"/>
    <w:rsid w:val="00D5497F"/>
    <w:rsid w:val="00D5713A"/>
    <w:rsid w:val="00D66EB9"/>
    <w:rsid w:val="00D712BC"/>
    <w:rsid w:val="00D81E2E"/>
    <w:rsid w:val="00D83CB0"/>
    <w:rsid w:val="00D927DA"/>
    <w:rsid w:val="00D9538B"/>
    <w:rsid w:val="00DA14AE"/>
    <w:rsid w:val="00DA3331"/>
    <w:rsid w:val="00DA4B86"/>
    <w:rsid w:val="00DC6A3E"/>
    <w:rsid w:val="00DD5CC1"/>
    <w:rsid w:val="00DF0FCB"/>
    <w:rsid w:val="00DF2C46"/>
    <w:rsid w:val="00DF47F5"/>
    <w:rsid w:val="00E01953"/>
    <w:rsid w:val="00E02E8F"/>
    <w:rsid w:val="00E066B1"/>
    <w:rsid w:val="00E114B6"/>
    <w:rsid w:val="00E20363"/>
    <w:rsid w:val="00E22437"/>
    <w:rsid w:val="00E57D30"/>
    <w:rsid w:val="00E610E9"/>
    <w:rsid w:val="00E62053"/>
    <w:rsid w:val="00E64247"/>
    <w:rsid w:val="00E70E1F"/>
    <w:rsid w:val="00E71206"/>
    <w:rsid w:val="00E80D5D"/>
    <w:rsid w:val="00E8193A"/>
    <w:rsid w:val="00EA0A5A"/>
    <w:rsid w:val="00EA3114"/>
    <w:rsid w:val="00EB2073"/>
    <w:rsid w:val="00EC2320"/>
    <w:rsid w:val="00EC4F79"/>
    <w:rsid w:val="00EC5853"/>
    <w:rsid w:val="00ED471A"/>
    <w:rsid w:val="00ED68B8"/>
    <w:rsid w:val="00EE222B"/>
    <w:rsid w:val="00EF2644"/>
    <w:rsid w:val="00EF3E24"/>
    <w:rsid w:val="00EF55B3"/>
    <w:rsid w:val="00F00CC0"/>
    <w:rsid w:val="00F0287F"/>
    <w:rsid w:val="00F03E2A"/>
    <w:rsid w:val="00F203FE"/>
    <w:rsid w:val="00F24D99"/>
    <w:rsid w:val="00F31CEE"/>
    <w:rsid w:val="00F368C3"/>
    <w:rsid w:val="00F400EB"/>
    <w:rsid w:val="00F42772"/>
    <w:rsid w:val="00F43ADF"/>
    <w:rsid w:val="00F50635"/>
    <w:rsid w:val="00F50772"/>
    <w:rsid w:val="00F52708"/>
    <w:rsid w:val="00F52D83"/>
    <w:rsid w:val="00F554F4"/>
    <w:rsid w:val="00F56930"/>
    <w:rsid w:val="00F62BBF"/>
    <w:rsid w:val="00F6517D"/>
    <w:rsid w:val="00F66AFC"/>
    <w:rsid w:val="00F71027"/>
    <w:rsid w:val="00F801A0"/>
    <w:rsid w:val="00F86959"/>
    <w:rsid w:val="00F91ADE"/>
    <w:rsid w:val="00FA2886"/>
    <w:rsid w:val="00FA537D"/>
    <w:rsid w:val="00FB7189"/>
    <w:rsid w:val="00FC021A"/>
    <w:rsid w:val="00FC0B48"/>
    <w:rsid w:val="00FC3423"/>
    <w:rsid w:val="00FC5C22"/>
    <w:rsid w:val="00FE1E88"/>
    <w:rsid w:val="00FE4CAC"/>
    <w:rsid w:val="00FF0412"/>
    <w:rsid w:val="00FF247A"/>
    <w:rsid w:val="00FF3BEC"/>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326F1344"/>
  <w15:docId w15:val="{AF3C634C-34D7-4175-9599-5111D4CA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Texto">
    <w:name w:val="Texto"/>
    <w:basedOn w:val="Normal"/>
    <w:uiPriority w:val="99"/>
    <w:rsid w:val="00F03E2A"/>
    <w:pPr>
      <w:tabs>
        <w:tab w:val="left" w:pos="397"/>
      </w:tabs>
      <w:spacing w:before="160"/>
      <w:ind w:left="397"/>
      <w:jc w:val="both"/>
    </w:pPr>
    <w:rPr>
      <w:rFonts w:ascii="Univers" w:hAnsi="Univers" w:cs="Univers"/>
      <w:szCs w:val="20"/>
      <w:lang w:val="en-GB" w:eastAsia="es-ES"/>
    </w:rPr>
  </w:style>
  <w:style w:type="character" w:customStyle="1" w:styleId="FontStyle123">
    <w:name w:val="Font Style123"/>
    <w:uiPriority w:val="99"/>
    <w:rsid w:val="00F03E2A"/>
    <w:rPr>
      <w:rFonts w:ascii="Tahoma" w:hAnsi="Tahoma" w:cs="Tahoma"/>
      <w:b/>
      <w:bCs/>
      <w:sz w:val="16"/>
      <w:szCs w:val="16"/>
    </w:rPr>
  </w:style>
  <w:style w:type="character" w:styleId="Hyperlink">
    <w:name w:val="Hyperlink"/>
    <w:basedOn w:val="DefaultParagraphFont"/>
    <w:uiPriority w:val="99"/>
    <w:rsid w:val="00FA2886"/>
    <w:rPr>
      <w:color w:val="0000FF"/>
      <w:u w:val="single"/>
    </w:rPr>
  </w:style>
  <w:style w:type="paragraph" w:customStyle="1" w:styleId="Style7">
    <w:name w:val="Style7"/>
    <w:basedOn w:val="Normal"/>
    <w:uiPriority w:val="99"/>
    <w:rsid w:val="00B44F2B"/>
    <w:pPr>
      <w:widowControl w:val="0"/>
      <w:autoSpaceDE w:val="0"/>
      <w:autoSpaceDN w:val="0"/>
      <w:adjustRightInd w:val="0"/>
      <w:spacing w:line="202" w:lineRule="exact"/>
      <w:jc w:val="both"/>
    </w:pPr>
    <w:rPr>
      <w:rFonts w:ascii="Tahoma" w:eastAsia="Batang" w:hAnsi="Tahoma" w:cs="Tahoma"/>
      <w:sz w:val="24"/>
      <w:lang w:eastAsia="ko-KR"/>
    </w:rPr>
  </w:style>
  <w:style w:type="paragraph" w:customStyle="1" w:styleId="Style15">
    <w:name w:val="Style15"/>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23">
    <w:name w:val="Style23"/>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38">
    <w:name w:val="Style38"/>
    <w:basedOn w:val="Normal"/>
    <w:uiPriority w:val="99"/>
    <w:rsid w:val="00B44F2B"/>
    <w:pPr>
      <w:widowControl w:val="0"/>
      <w:autoSpaceDE w:val="0"/>
      <w:autoSpaceDN w:val="0"/>
      <w:adjustRightInd w:val="0"/>
      <w:spacing w:line="437" w:lineRule="exact"/>
    </w:pPr>
    <w:rPr>
      <w:rFonts w:ascii="Tahoma" w:eastAsia="Batang" w:hAnsi="Tahoma" w:cs="Tahoma"/>
      <w:sz w:val="24"/>
      <w:lang w:eastAsia="ko-KR"/>
    </w:rPr>
  </w:style>
  <w:style w:type="character" w:customStyle="1" w:styleId="FontStyle116">
    <w:name w:val="Font Style116"/>
    <w:uiPriority w:val="99"/>
    <w:rsid w:val="00B44F2B"/>
    <w:rPr>
      <w:rFonts w:ascii="Tahoma" w:hAnsi="Tahoma" w:cs="Tahoma"/>
      <w:b/>
      <w:bCs/>
      <w:sz w:val="20"/>
      <w:szCs w:val="20"/>
    </w:rPr>
  </w:style>
  <w:style w:type="character" w:customStyle="1" w:styleId="FontStyle118">
    <w:name w:val="Font Style118"/>
    <w:uiPriority w:val="99"/>
    <w:rsid w:val="00B44F2B"/>
    <w:rPr>
      <w:rFonts w:ascii="Tahoma" w:hAnsi="Tahoma" w:cs="Tahoma"/>
      <w:i/>
      <w:iCs/>
      <w:sz w:val="16"/>
      <w:szCs w:val="16"/>
    </w:rPr>
  </w:style>
  <w:style w:type="character" w:customStyle="1" w:styleId="FontStyle124">
    <w:name w:val="Font Style124"/>
    <w:uiPriority w:val="99"/>
    <w:rsid w:val="00B44F2B"/>
    <w:rPr>
      <w:rFonts w:ascii="Tahoma" w:hAnsi="Tahoma" w:cs="Tahoma"/>
      <w:sz w:val="16"/>
      <w:szCs w:val="16"/>
    </w:rPr>
  </w:style>
  <w:style w:type="paragraph" w:customStyle="1" w:styleId="Style71">
    <w:name w:val="Style71"/>
    <w:basedOn w:val="Normal"/>
    <w:uiPriority w:val="99"/>
    <w:rsid w:val="00B44F2B"/>
    <w:pPr>
      <w:widowControl w:val="0"/>
      <w:autoSpaceDE w:val="0"/>
      <w:autoSpaceDN w:val="0"/>
      <w:adjustRightInd w:val="0"/>
      <w:spacing w:line="221" w:lineRule="exact"/>
      <w:jc w:val="both"/>
    </w:pPr>
    <w:rPr>
      <w:rFonts w:ascii="Tahoma" w:eastAsia="Batang" w:hAnsi="Tahoma" w:cs="Tahoma"/>
      <w:sz w:val="24"/>
      <w:lang w:eastAsia="ko-KR"/>
    </w:rPr>
  </w:style>
  <w:style w:type="paragraph" w:customStyle="1" w:styleId="CarCar">
    <w:name w:val="Car Car"/>
    <w:basedOn w:val="Normal"/>
    <w:rsid w:val="00B66A0D"/>
    <w:pPr>
      <w:spacing w:after="160" w:line="240" w:lineRule="exact"/>
    </w:pPr>
    <w:rPr>
      <w:rFonts w:ascii="Verdana" w:hAnsi="Verdana"/>
      <w:i/>
      <w:szCs w:val="20"/>
    </w:rPr>
  </w:style>
  <w:style w:type="paragraph" w:styleId="ListParagraph">
    <w:name w:val="List Paragraph"/>
    <w:basedOn w:val="Normal"/>
    <w:uiPriority w:val="34"/>
    <w:qFormat/>
    <w:rsid w:val="000524B1"/>
    <w:pPr>
      <w:ind w:left="720"/>
      <w:contextualSpacing/>
    </w:pPr>
  </w:style>
  <w:style w:type="character" w:styleId="CommentReference">
    <w:name w:val="annotation reference"/>
    <w:basedOn w:val="DefaultParagraphFont"/>
    <w:semiHidden/>
    <w:unhideWhenUsed/>
    <w:rsid w:val="00C054A2"/>
    <w:rPr>
      <w:sz w:val="16"/>
      <w:szCs w:val="16"/>
    </w:rPr>
  </w:style>
  <w:style w:type="paragraph" w:styleId="CommentText">
    <w:name w:val="annotation text"/>
    <w:basedOn w:val="Normal"/>
    <w:link w:val="CommentTextChar"/>
    <w:semiHidden/>
    <w:unhideWhenUsed/>
    <w:rsid w:val="00C054A2"/>
    <w:rPr>
      <w:szCs w:val="20"/>
    </w:rPr>
  </w:style>
  <w:style w:type="character" w:customStyle="1" w:styleId="CommentTextChar">
    <w:name w:val="Comment Text Char"/>
    <w:basedOn w:val="DefaultParagraphFont"/>
    <w:link w:val="CommentText"/>
    <w:semiHidden/>
    <w:rsid w:val="00C054A2"/>
    <w:rPr>
      <w:rFonts w:ascii="Arial" w:hAnsi="Arial"/>
    </w:rPr>
  </w:style>
  <w:style w:type="paragraph" w:styleId="CommentSubject">
    <w:name w:val="annotation subject"/>
    <w:basedOn w:val="CommentText"/>
    <w:next w:val="CommentText"/>
    <w:link w:val="CommentSubjectChar"/>
    <w:semiHidden/>
    <w:unhideWhenUsed/>
    <w:rsid w:val="00C054A2"/>
    <w:rPr>
      <w:b/>
      <w:bCs/>
    </w:rPr>
  </w:style>
  <w:style w:type="character" w:customStyle="1" w:styleId="CommentSubjectChar">
    <w:name w:val="Comment Subject Char"/>
    <w:basedOn w:val="CommentTextChar"/>
    <w:link w:val="CommentSubject"/>
    <w:semiHidden/>
    <w:rsid w:val="00C054A2"/>
    <w:rPr>
      <w:rFonts w:ascii="Arial" w:hAnsi="Arial"/>
      <w:b/>
      <w:bCs/>
    </w:rPr>
  </w:style>
  <w:style w:type="paragraph" w:styleId="Revision">
    <w:name w:val="Revision"/>
    <w:hidden/>
    <w:uiPriority w:val="99"/>
    <w:semiHidden/>
    <w:rsid w:val="00C054A2"/>
    <w:rPr>
      <w:rFonts w:ascii="Arial" w:hAnsi="Arial"/>
      <w:szCs w:val="24"/>
    </w:rPr>
  </w:style>
  <w:style w:type="character" w:styleId="FootnoteReference">
    <w:name w:val="footnote reference"/>
    <w:basedOn w:val="DefaultParagraphFont"/>
    <w:semiHidden/>
    <w:unhideWhenUsed/>
    <w:rsid w:val="00F62BBF"/>
    <w:rPr>
      <w:vertAlign w:val="superscript"/>
    </w:rPr>
  </w:style>
  <w:style w:type="paragraph" w:customStyle="1" w:styleId="Pasus">
    <w:name w:val="Pasus"/>
    <w:basedOn w:val="Normal"/>
    <w:link w:val="PasusChar"/>
    <w:rsid w:val="002B4E17"/>
    <w:pPr>
      <w:ind w:left="284" w:firstLine="567"/>
      <w:jc w:val="both"/>
    </w:pPr>
    <w:rPr>
      <w:rFonts w:cs="Arial"/>
      <w:szCs w:val="20"/>
      <w:lang w:val="sr-Cyrl-CS"/>
    </w:rPr>
  </w:style>
  <w:style w:type="character" w:customStyle="1" w:styleId="PasusChar">
    <w:name w:val="Pasus Char"/>
    <w:link w:val="Pasus"/>
    <w:rsid w:val="002B4E17"/>
    <w:rPr>
      <w:rFonts w:ascii="Arial" w:hAnsi="Arial" w:cs="Arial"/>
      <w:lang w:val="sr-Cyrl-CS"/>
    </w:rPr>
  </w:style>
  <w:style w:type="paragraph" w:customStyle="1" w:styleId="blista">
    <w:name w:val="blista"/>
    <w:basedOn w:val="Normal"/>
    <w:rsid w:val="002B4E17"/>
    <w:pPr>
      <w:numPr>
        <w:numId w:val="47"/>
      </w:numPr>
      <w:jc w:val="both"/>
    </w:pPr>
    <w:rPr>
      <w:rFonts w:cs="Arial"/>
      <w:szCs w:val="20"/>
      <w:lang w:val="sr-Cyrl-CS"/>
    </w:rPr>
  </w:style>
  <w:style w:type="character" w:customStyle="1" w:styleId="hps">
    <w:name w:val="hps"/>
    <w:basedOn w:val="DefaultParagraphFont"/>
    <w:uiPriority w:val="99"/>
    <w:rsid w:val="00081B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3979">
      <w:bodyDiv w:val="1"/>
      <w:marLeft w:val="0"/>
      <w:marRight w:val="0"/>
      <w:marTop w:val="0"/>
      <w:marBottom w:val="0"/>
      <w:divBdr>
        <w:top w:val="none" w:sz="0" w:space="0" w:color="auto"/>
        <w:left w:val="none" w:sz="0" w:space="0" w:color="auto"/>
        <w:bottom w:val="none" w:sz="0" w:space="0" w:color="auto"/>
        <w:right w:val="none" w:sz="0" w:space="0" w:color="auto"/>
      </w:divBdr>
    </w:div>
    <w:div w:id="388462284">
      <w:bodyDiv w:val="1"/>
      <w:marLeft w:val="0"/>
      <w:marRight w:val="0"/>
      <w:marTop w:val="0"/>
      <w:marBottom w:val="0"/>
      <w:divBdr>
        <w:top w:val="none" w:sz="0" w:space="0" w:color="auto"/>
        <w:left w:val="none" w:sz="0" w:space="0" w:color="auto"/>
        <w:bottom w:val="none" w:sz="0" w:space="0" w:color="auto"/>
        <w:right w:val="none" w:sz="0" w:space="0" w:color="auto"/>
      </w:divBdr>
    </w:div>
    <w:div w:id="773287025">
      <w:bodyDiv w:val="1"/>
      <w:marLeft w:val="0"/>
      <w:marRight w:val="0"/>
      <w:marTop w:val="0"/>
      <w:marBottom w:val="0"/>
      <w:divBdr>
        <w:top w:val="none" w:sz="0" w:space="0" w:color="auto"/>
        <w:left w:val="none" w:sz="0" w:space="0" w:color="auto"/>
        <w:bottom w:val="none" w:sz="0" w:space="0" w:color="auto"/>
        <w:right w:val="none" w:sz="0" w:space="0" w:color="auto"/>
      </w:divBdr>
    </w:div>
    <w:div w:id="774180368">
      <w:bodyDiv w:val="1"/>
      <w:marLeft w:val="0"/>
      <w:marRight w:val="0"/>
      <w:marTop w:val="0"/>
      <w:marBottom w:val="0"/>
      <w:divBdr>
        <w:top w:val="none" w:sz="0" w:space="0" w:color="auto"/>
        <w:left w:val="none" w:sz="0" w:space="0" w:color="auto"/>
        <w:bottom w:val="none" w:sz="0" w:space="0" w:color="auto"/>
        <w:right w:val="none" w:sz="0" w:space="0" w:color="auto"/>
      </w:divBdr>
    </w:div>
    <w:div w:id="877088616">
      <w:bodyDiv w:val="1"/>
      <w:marLeft w:val="0"/>
      <w:marRight w:val="0"/>
      <w:marTop w:val="0"/>
      <w:marBottom w:val="0"/>
      <w:divBdr>
        <w:top w:val="none" w:sz="0" w:space="0" w:color="auto"/>
        <w:left w:val="none" w:sz="0" w:space="0" w:color="auto"/>
        <w:bottom w:val="none" w:sz="0" w:space="0" w:color="auto"/>
        <w:right w:val="none" w:sz="0" w:space="0" w:color="auto"/>
      </w:divBdr>
    </w:div>
    <w:div w:id="893008232">
      <w:bodyDiv w:val="1"/>
      <w:marLeft w:val="0"/>
      <w:marRight w:val="0"/>
      <w:marTop w:val="0"/>
      <w:marBottom w:val="0"/>
      <w:divBdr>
        <w:top w:val="none" w:sz="0" w:space="0" w:color="auto"/>
        <w:left w:val="none" w:sz="0" w:space="0" w:color="auto"/>
        <w:bottom w:val="none" w:sz="0" w:space="0" w:color="auto"/>
        <w:right w:val="none" w:sz="0" w:space="0" w:color="auto"/>
      </w:divBdr>
    </w:div>
    <w:div w:id="963391921">
      <w:bodyDiv w:val="1"/>
      <w:marLeft w:val="0"/>
      <w:marRight w:val="0"/>
      <w:marTop w:val="0"/>
      <w:marBottom w:val="0"/>
      <w:divBdr>
        <w:top w:val="none" w:sz="0" w:space="0" w:color="auto"/>
        <w:left w:val="none" w:sz="0" w:space="0" w:color="auto"/>
        <w:bottom w:val="none" w:sz="0" w:space="0" w:color="auto"/>
        <w:right w:val="none" w:sz="0" w:space="0" w:color="auto"/>
      </w:divBdr>
    </w:div>
    <w:div w:id="1369989008">
      <w:bodyDiv w:val="1"/>
      <w:marLeft w:val="0"/>
      <w:marRight w:val="0"/>
      <w:marTop w:val="0"/>
      <w:marBottom w:val="0"/>
      <w:divBdr>
        <w:top w:val="none" w:sz="0" w:space="0" w:color="auto"/>
        <w:left w:val="none" w:sz="0" w:space="0" w:color="auto"/>
        <w:bottom w:val="none" w:sz="0" w:space="0" w:color="auto"/>
        <w:right w:val="none" w:sz="0" w:space="0" w:color="auto"/>
      </w:divBdr>
    </w:div>
    <w:div w:id="1403722057">
      <w:bodyDiv w:val="1"/>
      <w:marLeft w:val="0"/>
      <w:marRight w:val="0"/>
      <w:marTop w:val="0"/>
      <w:marBottom w:val="0"/>
      <w:divBdr>
        <w:top w:val="none" w:sz="0" w:space="0" w:color="auto"/>
        <w:left w:val="none" w:sz="0" w:space="0" w:color="auto"/>
        <w:bottom w:val="none" w:sz="0" w:space="0" w:color="auto"/>
        <w:right w:val="none" w:sz="0" w:space="0" w:color="auto"/>
      </w:divBdr>
    </w:div>
    <w:div w:id="148851919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31484956">
      <w:bodyDiv w:val="1"/>
      <w:marLeft w:val="0"/>
      <w:marRight w:val="0"/>
      <w:marTop w:val="0"/>
      <w:marBottom w:val="0"/>
      <w:divBdr>
        <w:top w:val="none" w:sz="0" w:space="0" w:color="auto"/>
        <w:left w:val="none" w:sz="0" w:space="0" w:color="auto"/>
        <w:bottom w:val="none" w:sz="0" w:space="0" w:color="auto"/>
        <w:right w:val="none" w:sz="0" w:space="0" w:color="auto"/>
      </w:divBdr>
    </w:div>
    <w:div w:id="1899052830">
      <w:bodyDiv w:val="1"/>
      <w:marLeft w:val="0"/>
      <w:marRight w:val="0"/>
      <w:marTop w:val="0"/>
      <w:marBottom w:val="0"/>
      <w:divBdr>
        <w:top w:val="none" w:sz="0" w:space="0" w:color="auto"/>
        <w:left w:val="none" w:sz="0" w:space="0" w:color="auto"/>
        <w:bottom w:val="none" w:sz="0" w:space="0" w:color="auto"/>
        <w:right w:val="none" w:sz="0" w:space="0" w:color="auto"/>
      </w:divBdr>
    </w:div>
    <w:div w:id="19737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1"/>
          <c:order val="1"/>
          <c:tx>
            <c:strRef>
              <c:f>Engleski!$C$4</c:f>
              <c:strCache>
                <c:ptCount val="1"/>
                <c:pt idx="0">
                  <c:v>Short cycles of higher education</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Engleski!$A$5:$A$10</c:f>
              <c:strCache>
                <c:ptCount val="6"/>
                <c:pt idx="0">
                  <c:v>15-24</c:v>
                </c:pt>
                <c:pt idx="1">
                  <c:v>25-34</c:v>
                </c:pt>
                <c:pt idx="2">
                  <c:v>35-44</c:v>
                </c:pt>
                <c:pt idx="3">
                  <c:v>45-54</c:v>
                </c:pt>
                <c:pt idx="4">
                  <c:v>55-64</c:v>
                </c:pt>
                <c:pt idx="5">
                  <c:v>65 and more</c:v>
                </c:pt>
              </c:strCache>
            </c:strRef>
          </c:cat>
          <c:val>
            <c:numRef>
              <c:f>Engleski!$C$5:$C$10</c:f>
              <c:numCache>
                <c:formatCode>0</c:formatCode>
                <c:ptCount val="6"/>
                <c:pt idx="0">
                  <c:v>10.884679932869815</c:v>
                </c:pt>
                <c:pt idx="1">
                  <c:v>13.502149732511612</c:v>
                </c:pt>
                <c:pt idx="2">
                  <c:v>23.904022824112424</c:v>
                </c:pt>
                <c:pt idx="3">
                  <c:v>28.332457046854131</c:v>
                </c:pt>
                <c:pt idx="4">
                  <c:v>34.673010093376618</c:v>
                </c:pt>
                <c:pt idx="5">
                  <c:v>46.18578634913009</c:v>
                </c:pt>
              </c:numCache>
            </c:numRef>
          </c:val>
          <c:extLst>
            <c:ext xmlns:c16="http://schemas.microsoft.com/office/drawing/2014/chart" uri="{C3380CC4-5D6E-409C-BE32-E72D297353CC}">
              <c16:uniqueId val="{00000000-3F45-4304-8FC7-9E87FE919B35}"/>
            </c:ext>
          </c:extLst>
        </c:ser>
        <c:ser>
          <c:idx val="2"/>
          <c:order val="2"/>
          <c:tx>
            <c:strRef>
              <c:f>Engleski!$D$4</c:f>
              <c:strCache>
                <c:ptCount val="1"/>
                <c:pt idx="0">
                  <c:v> Basic academic/professional studies</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Engleski!$A$5:$A$10</c:f>
              <c:strCache>
                <c:ptCount val="6"/>
                <c:pt idx="0">
                  <c:v>15-24</c:v>
                </c:pt>
                <c:pt idx="1">
                  <c:v>25-34</c:v>
                </c:pt>
                <c:pt idx="2">
                  <c:v>35-44</c:v>
                </c:pt>
                <c:pt idx="3">
                  <c:v>45-54</c:v>
                </c:pt>
                <c:pt idx="4">
                  <c:v>55-64</c:v>
                </c:pt>
                <c:pt idx="5">
                  <c:v>65 and more</c:v>
                </c:pt>
              </c:strCache>
            </c:strRef>
          </c:cat>
          <c:val>
            <c:numRef>
              <c:f>Engleski!$D$5:$D$10</c:f>
              <c:numCache>
                <c:formatCode>0</c:formatCode>
                <c:ptCount val="6"/>
                <c:pt idx="0">
                  <c:v>81.794933269399834</c:v>
                </c:pt>
                <c:pt idx="1">
                  <c:v>65.742852012346148</c:v>
                </c:pt>
                <c:pt idx="2">
                  <c:v>64.432796288109841</c:v>
                </c:pt>
                <c:pt idx="3">
                  <c:v>61.246985876679297</c:v>
                </c:pt>
                <c:pt idx="4">
                  <c:v>60.110265702557406</c:v>
                </c:pt>
                <c:pt idx="5">
                  <c:v>48.16710133488899</c:v>
                </c:pt>
              </c:numCache>
            </c:numRef>
          </c:val>
          <c:extLst>
            <c:ext xmlns:c16="http://schemas.microsoft.com/office/drawing/2014/chart" uri="{C3380CC4-5D6E-409C-BE32-E72D297353CC}">
              <c16:uniqueId val="{00000001-3F45-4304-8FC7-9E87FE919B35}"/>
            </c:ext>
          </c:extLst>
        </c:ser>
        <c:ser>
          <c:idx val="3"/>
          <c:order val="3"/>
          <c:tx>
            <c:strRef>
              <c:f>Engleski!$E$4</c:f>
              <c:strCache>
                <c:ptCount val="1"/>
                <c:pt idx="0">
                  <c:v>Master studies</c:v>
                </c:pt>
              </c:strCache>
            </c:strRef>
          </c:tx>
          <c:spPr>
            <a:solidFill>
              <a:schemeClr val="accent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Engleski!$A$5:$A$10</c:f>
              <c:strCache>
                <c:ptCount val="6"/>
                <c:pt idx="0">
                  <c:v>15-24</c:v>
                </c:pt>
                <c:pt idx="1">
                  <c:v>25-34</c:v>
                </c:pt>
                <c:pt idx="2">
                  <c:v>35-44</c:v>
                </c:pt>
                <c:pt idx="3">
                  <c:v>45-54</c:v>
                </c:pt>
                <c:pt idx="4">
                  <c:v>55-64</c:v>
                </c:pt>
                <c:pt idx="5">
                  <c:v>65 and more</c:v>
                </c:pt>
              </c:strCache>
            </c:strRef>
          </c:cat>
          <c:val>
            <c:numRef>
              <c:f>Engleski!$E$5:$E$10</c:f>
              <c:numCache>
                <c:formatCode>0</c:formatCode>
                <c:ptCount val="6"/>
                <c:pt idx="0">
                  <c:v>7.3203867977303609</c:v>
                </c:pt>
                <c:pt idx="1">
                  <c:v>20.095001575454084</c:v>
                </c:pt>
                <c:pt idx="2">
                  <c:v>9.318359962702786</c:v>
                </c:pt>
                <c:pt idx="3">
                  <c:v>7.4502480797239397</c:v>
                </c:pt>
                <c:pt idx="4">
                  <c:v>3.216941758411624</c:v>
                </c:pt>
                <c:pt idx="5">
                  <c:v>3.1596376239662334</c:v>
                </c:pt>
              </c:numCache>
            </c:numRef>
          </c:val>
          <c:extLst>
            <c:ext xmlns:c16="http://schemas.microsoft.com/office/drawing/2014/chart" uri="{C3380CC4-5D6E-409C-BE32-E72D297353CC}">
              <c16:uniqueId val="{00000002-3F45-4304-8FC7-9E87FE919B35}"/>
            </c:ext>
          </c:extLst>
        </c:ser>
        <c:ser>
          <c:idx val="4"/>
          <c:order val="4"/>
          <c:tx>
            <c:strRef>
              <c:f>Engleski!$F$4</c:f>
              <c:strCache>
                <c:ptCount val="1"/>
                <c:pt idx="0">
                  <c:v>PhD studies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Engleski!$A$5:$A$10</c:f>
              <c:strCache>
                <c:ptCount val="6"/>
                <c:pt idx="0">
                  <c:v>15-24</c:v>
                </c:pt>
                <c:pt idx="1">
                  <c:v>25-34</c:v>
                </c:pt>
                <c:pt idx="2">
                  <c:v>35-44</c:v>
                </c:pt>
                <c:pt idx="3">
                  <c:v>45-54</c:v>
                </c:pt>
                <c:pt idx="4">
                  <c:v>55-64</c:v>
                </c:pt>
                <c:pt idx="5">
                  <c:v>65 and more</c:v>
                </c:pt>
              </c:strCache>
            </c:strRef>
          </c:cat>
          <c:val>
            <c:numRef>
              <c:f>Engleski!$F$5:$F$10</c:f>
              <c:numCache>
                <c:formatCode>0</c:formatCode>
                <c:ptCount val="6"/>
                <c:pt idx="0">
                  <c:v>0</c:v>
                </c:pt>
                <c:pt idx="1">
                  <c:v>0.66033548701859712</c:v>
                </c:pt>
                <c:pt idx="2">
                  <c:v>2.3448209250749477</c:v>
                </c:pt>
                <c:pt idx="3">
                  <c:v>2.9703089967426317</c:v>
                </c:pt>
                <c:pt idx="4">
                  <c:v>1.9997824456543518</c:v>
                </c:pt>
                <c:pt idx="5">
                  <c:v>2.4870457431110804</c:v>
                </c:pt>
              </c:numCache>
            </c:numRef>
          </c:val>
          <c:extLst>
            <c:ext xmlns:c16="http://schemas.microsoft.com/office/drawing/2014/chart" uri="{C3380CC4-5D6E-409C-BE32-E72D297353CC}">
              <c16:uniqueId val="{00000003-3F45-4304-8FC7-9E87FE919B35}"/>
            </c:ext>
          </c:extLst>
        </c:ser>
        <c:dLbls>
          <c:showLegendKey val="0"/>
          <c:showVal val="0"/>
          <c:showCatName val="0"/>
          <c:showSerName val="0"/>
          <c:showPercent val="0"/>
          <c:showBubbleSize val="0"/>
        </c:dLbls>
        <c:gapWidth val="72"/>
        <c:overlap val="100"/>
        <c:axId val="180339072"/>
        <c:axId val="180340608"/>
        <c:extLst>
          <c:ext xmlns:c15="http://schemas.microsoft.com/office/drawing/2012/chart" uri="{02D57815-91ED-43cb-92C2-25804820EDAC}">
            <c15:filteredBarSeries>
              <c15:ser>
                <c:idx val="0"/>
                <c:order val="0"/>
                <c:tx>
                  <c:strRef>
                    <c:extLst>
                      <c:ext uri="{02D57815-91ED-43cb-92C2-25804820EDAC}">
                        <c15:formulaRef>
                          <c15:sqref>Engleski!$B$4</c15:sqref>
                        </c15:formulaRef>
                      </c:ext>
                    </c:extLst>
                    <c:strCache>
                      <c:ptCount val="1"/>
                    </c:strCache>
                  </c:strRef>
                </c:tx>
                <c:spPr>
                  <a:solidFill>
                    <a:schemeClr val="accent2">
                      <a:tint val="54000"/>
                    </a:schemeClr>
                  </a:solidFill>
                  <a:ln>
                    <a:noFill/>
                  </a:ln>
                  <a:effectLst/>
                </c:spPr>
                <c:invertIfNegative val="0"/>
                <c:cat>
                  <c:strRef>
                    <c:extLst>
                      <c:ext uri="{02D57815-91ED-43cb-92C2-25804820EDAC}">
                        <c15:formulaRef>
                          <c15:sqref>Engleski!$A$5:$A$10</c15:sqref>
                        </c15:formulaRef>
                      </c:ext>
                    </c:extLst>
                    <c:strCache>
                      <c:ptCount val="6"/>
                      <c:pt idx="0">
                        <c:v>15-24</c:v>
                      </c:pt>
                      <c:pt idx="1">
                        <c:v>25-34</c:v>
                      </c:pt>
                      <c:pt idx="2">
                        <c:v>35-44</c:v>
                      </c:pt>
                      <c:pt idx="3">
                        <c:v>45-54</c:v>
                      </c:pt>
                      <c:pt idx="4">
                        <c:v>55-64</c:v>
                      </c:pt>
                      <c:pt idx="5">
                        <c:v>65 and more</c:v>
                      </c:pt>
                    </c:strCache>
                  </c:strRef>
                </c:cat>
                <c:val>
                  <c:numRef>
                    <c:extLst>
                      <c:ext uri="{02D57815-91ED-43cb-92C2-25804820EDAC}">
                        <c15:formulaRef>
                          <c15:sqref>Engleski!$B$5:$B$10</c15:sqref>
                        </c15:formulaRef>
                      </c:ext>
                    </c:extLst>
                    <c:numCache>
                      <c:formatCode>General</c:formatCode>
                      <c:ptCount val="6"/>
                    </c:numCache>
                  </c:numRef>
                </c:val>
                <c:extLst>
                  <c:ext xmlns:c16="http://schemas.microsoft.com/office/drawing/2014/chart" uri="{C3380CC4-5D6E-409C-BE32-E72D297353CC}">
                    <c16:uniqueId val="{00000004-3F45-4304-8FC7-9E87FE919B35}"/>
                  </c:ext>
                </c:extLst>
              </c15:ser>
            </c15:filteredBarSeries>
          </c:ext>
        </c:extLst>
      </c:barChart>
      <c:catAx>
        <c:axId val="180339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0340608"/>
        <c:crosses val="autoZero"/>
        <c:auto val="1"/>
        <c:lblAlgn val="ctr"/>
        <c:lblOffset val="100"/>
        <c:noMultiLvlLbl val="0"/>
      </c:catAx>
      <c:valAx>
        <c:axId val="18034060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033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1-BD6E-448E-A62B-D6FF8B23D571}"/>
              </c:ext>
            </c:extLst>
          </c:dPt>
          <c:dPt>
            <c:idx val="1"/>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3-BD6E-448E-A62B-D6FF8B23D571}"/>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BD6E-448E-A62B-D6FF8B23D571}"/>
              </c:ext>
            </c:extLst>
          </c:dPt>
          <c:dPt>
            <c:idx val="3"/>
            <c:bubble3D val="0"/>
            <c:spPr>
              <a:solidFill>
                <a:schemeClr val="accent2">
                  <a:lumMod val="20000"/>
                  <a:lumOff val="80000"/>
                </a:schemeClr>
              </a:solidFill>
              <a:ln w="19050">
                <a:solidFill>
                  <a:schemeClr val="lt1"/>
                </a:solidFill>
              </a:ln>
              <a:effectLst/>
            </c:spPr>
            <c:extLst>
              <c:ext xmlns:c16="http://schemas.microsoft.com/office/drawing/2014/chart" uri="{C3380CC4-5D6E-409C-BE32-E72D297353CC}">
                <c16:uniqueId val="{00000007-BD6E-448E-A62B-D6FF8B23D571}"/>
              </c:ext>
            </c:extLst>
          </c:dPt>
          <c:dPt>
            <c:idx val="4"/>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BD6E-448E-A62B-D6FF8B23D571}"/>
              </c:ext>
            </c:extLst>
          </c:dPt>
          <c:dPt>
            <c:idx val="5"/>
            <c:bubble3D val="0"/>
            <c:spPr>
              <a:solidFill>
                <a:schemeClr val="accent2"/>
              </a:solidFill>
              <a:ln w="19050">
                <a:solidFill>
                  <a:schemeClr val="lt1"/>
                </a:solidFill>
              </a:ln>
              <a:effectLst/>
            </c:spPr>
            <c:extLst>
              <c:ext xmlns:c16="http://schemas.microsoft.com/office/drawing/2014/chart" uri="{C3380CC4-5D6E-409C-BE32-E72D297353CC}">
                <c16:uniqueId val="{0000000B-BD6E-448E-A62B-D6FF8B23D571}"/>
              </c:ext>
            </c:extLst>
          </c:dPt>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6E-448E-A62B-D6FF8B23D571}"/>
                </c:ext>
              </c:extLst>
            </c:dLbl>
            <c:dLbl>
              <c:idx val="1"/>
              <c:tx>
                <c:rich>
                  <a:bodyPr/>
                  <a:lstStyle/>
                  <a:p>
                    <a:r>
                      <a:rPr lang="en-US"/>
                      <a:t>25.4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6E-448E-A62B-D6FF8B23D571}"/>
                </c:ext>
              </c:extLst>
            </c:dLbl>
            <c:dLbl>
              <c:idx val="2"/>
              <c:tx>
                <c:rich>
                  <a:bodyPr/>
                  <a:lstStyle/>
                  <a:p>
                    <a:r>
                      <a:rPr lang="en-US"/>
                      <a:t>23.2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6E-448E-A62B-D6FF8B23D571}"/>
                </c:ext>
              </c:extLst>
            </c:dLbl>
            <c:dLbl>
              <c:idx val="3"/>
              <c:tx>
                <c:rich>
                  <a:bodyPr/>
                  <a:lstStyle/>
                  <a:p>
                    <a:r>
                      <a:rPr lang="en-US"/>
                      <a:t>14.2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6E-448E-A62B-D6FF8B23D571}"/>
                </c:ext>
              </c:extLst>
            </c:dLbl>
            <c:dLbl>
              <c:idx val="4"/>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6E-448E-A62B-D6FF8B23D571}"/>
                </c:ext>
              </c:extLst>
            </c:dLbl>
            <c:dLbl>
              <c:idx val="5"/>
              <c:tx>
                <c:rich>
                  <a:bodyPr/>
                  <a:lstStyle/>
                  <a:p>
                    <a:r>
                      <a:rPr lang="en-US"/>
                      <a:t>20.1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6E-448E-A62B-D6FF8B23D5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Engleski!$A$19:$A$24</c:f>
              <c:strCache>
                <c:ptCount val="6"/>
                <c:pt idx="0">
                  <c:v>15-24 </c:v>
                </c:pt>
                <c:pt idx="1">
                  <c:v>25-34 </c:v>
                </c:pt>
                <c:pt idx="2">
                  <c:v>35-44 </c:v>
                </c:pt>
                <c:pt idx="3">
                  <c:v>45-54</c:v>
                </c:pt>
                <c:pt idx="4">
                  <c:v>55-64 </c:v>
                </c:pt>
                <c:pt idx="5">
                  <c:v>65 and more</c:v>
                </c:pt>
              </c:strCache>
            </c:strRef>
          </c:cat>
          <c:val>
            <c:numRef>
              <c:f>Engleski!$B$19:$B$24</c:f>
              <c:numCache>
                <c:formatCode>0.0</c:formatCode>
                <c:ptCount val="6"/>
                <c:pt idx="0">
                  <c:v>2.152520520162355</c:v>
                </c:pt>
                <c:pt idx="1">
                  <c:v>25.386513589366245</c:v>
                </c:pt>
                <c:pt idx="2">
                  <c:v>23.153314405098065</c:v>
                </c:pt>
                <c:pt idx="3">
                  <c:v>14.23238723694498</c:v>
                </c:pt>
                <c:pt idx="4">
                  <c:v>15.023519808848334</c:v>
                </c:pt>
                <c:pt idx="5">
                  <c:v>20.051658428211041</c:v>
                </c:pt>
              </c:numCache>
            </c:numRef>
          </c:val>
          <c:extLst>
            <c:ext xmlns:c16="http://schemas.microsoft.com/office/drawing/2014/chart" uri="{C3380CC4-5D6E-409C-BE32-E72D297353CC}">
              <c16:uniqueId val="{0000000C-BD6E-448E-A62B-D6FF8B23D57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455412934827616"/>
          <c:y val="3.4848724853476953E-2"/>
          <c:w val="0.46144412507022703"/>
          <c:h val="0.93030255029304609"/>
        </c:manualLayout>
      </c:layout>
      <c:barChart>
        <c:barDir val="bar"/>
        <c:grouping val="clustered"/>
        <c:varyColors val="0"/>
        <c:ser>
          <c:idx val="0"/>
          <c:order val="0"/>
          <c:spPr>
            <a:solidFill>
              <a:schemeClr val="accent2">
                <a:lumMod val="60000"/>
                <a:lumOff val="40000"/>
              </a:schemeClr>
            </a:solidFill>
            <a:ln>
              <a:noFill/>
            </a:ln>
            <a:effectLst/>
          </c:spPr>
          <c:invertIfNegative val="0"/>
          <c:dLbls>
            <c:dLbl>
              <c:idx val="0"/>
              <c:tx>
                <c:rich>
                  <a:bodyPr/>
                  <a:lstStyle/>
                  <a:p>
                    <a:r>
                      <a:rPr lang="en-US"/>
                      <a:t>0.81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C4-41F4-805A-EB5DEFFD2617}"/>
                </c:ext>
              </c:extLst>
            </c:dLbl>
            <c:dLbl>
              <c:idx val="1"/>
              <c:tx>
                <c:rich>
                  <a:bodyPr/>
                  <a:lstStyle/>
                  <a:p>
                    <a:r>
                      <a:rPr lang="en-US"/>
                      <a:t>0.97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C4-41F4-805A-EB5DEFFD2617}"/>
                </c:ext>
              </c:extLst>
            </c:dLbl>
            <c:dLbl>
              <c:idx val="2"/>
              <c:tx>
                <c:rich>
                  <a:bodyPr/>
                  <a:lstStyle/>
                  <a:p>
                    <a:r>
                      <a:rPr lang="en-US"/>
                      <a:t>10.89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C4-41F4-805A-EB5DEFFD2617}"/>
                </c:ext>
              </c:extLst>
            </c:dLbl>
            <c:dLbl>
              <c:idx val="3"/>
              <c:tx>
                <c:rich>
                  <a:bodyPr/>
                  <a:lstStyle/>
                  <a:p>
                    <a:r>
                      <a:rPr lang="en-US"/>
                      <a:t>1.74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C4-41F4-805A-EB5DEFFD2617}"/>
                </c:ext>
              </c:extLst>
            </c:dLbl>
            <c:dLbl>
              <c:idx val="4"/>
              <c:tx>
                <c:rich>
                  <a:bodyPr/>
                  <a:lstStyle/>
                  <a:p>
                    <a:r>
                      <a:rPr lang="en-US"/>
                      <a:t>1.53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C4-41F4-805A-EB5DEFFD2617}"/>
                </c:ext>
              </c:extLst>
            </c:dLbl>
            <c:dLbl>
              <c:idx val="5"/>
              <c:tx>
                <c:rich>
                  <a:bodyPr/>
                  <a:lstStyle/>
                  <a:p>
                    <a:r>
                      <a:rPr lang="en-US"/>
                      <a:t>2.81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C4-41F4-805A-EB5DEFFD2617}"/>
                </c:ext>
              </c:extLst>
            </c:dLbl>
            <c:dLbl>
              <c:idx val="6"/>
              <c:tx>
                <c:rich>
                  <a:bodyPr/>
                  <a:lstStyle/>
                  <a:p>
                    <a:r>
                      <a:rPr lang="en-US"/>
                      <a:t>7.61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C4-41F4-805A-EB5DEFFD2617}"/>
                </c:ext>
              </c:extLst>
            </c:dLbl>
            <c:dLbl>
              <c:idx val="7"/>
              <c:tx>
                <c:rich>
                  <a:bodyPr/>
                  <a:lstStyle/>
                  <a:p>
                    <a:r>
                      <a:rPr lang="en-US"/>
                      <a:t>2.90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C4-41F4-805A-EB5DEFFD2617}"/>
                </c:ext>
              </c:extLst>
            </c:dLbl>
            <c:dLbl>
              <c:idx val="8"/>
              <c:tx>
                <c:rich>
                  <a:bodyPr/>
                  <a:lstStyle/>
                  <a:p>
                    <a:r>
                      <a:rPr lang="en-US"/>
                      <a:t>0.80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C4-41F4-805A-EB5DEFFD2617}"/>
                </c:ext>
              </c:extLst>
            </c:dLbl>
            <c:dLbl>
              <c:idx val="9"/>
              <c:tx>
                <c:rich>
                  <a:bodyPr/>
                  <a:lstStyle/>
                  <a:p>
                    <a:r>
                      <a:rPr lang="en-US"/>
                      <a:t>7.49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C4-41F4-805A-EB5DEFFD2617}"/>
                </c:ext>
              </c:extLst>
            </c:dLbl>
            <c:dLbl>
              <c:idx val="10"/>
              <c:tx>
                <c:rich>
                  <a:bodyPr/>
                  <a:lstStyle/>
                  <a:p>
                    <a:r>
                      <a:rPr lang="en-US"/>
                      <a:t>3.53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C4-41F4-805A-EB5DEFFD2617}"/>
                </c:ext>
              </c:extLst>
            </c:dLbl>
            <c:dLbl>
              <c:idx val="11"/>
              <c:tx>
                <c:rich>
                  <a:bodyPr/>
                  <a:lstStyle/>
                  <a:p>
                    <a:r>
                      <a:rPr lang="en-US"/>
                      <a:t>0.43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C4-41F4-805A-EB5DEFFD2617}"/>
                </c:ext>
              </c:extLst>
            </c:dLbl>
            <c:dLbl>
              <c:idx val="12"/>
              <c:tx>
                <c:rich>
                  <a:bodyPr/>
                  <a:lstStyle/>
                  <a:p>
                    <a:r>
                      <a:rPr lang="en-US"/>
                      <a:t>9.39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C4-41F4-805A-EB5DEFFD2617}"/>
                </c:ext>
              </c:extLst>
            </c:dLbl>
            <c:dLbl>
              <c:idx val="13"/>
              <c:tx>
                <c:rich>
                  <a:bodyPr/>
                  <a:lstStyle/>
                  <a:p>
                    <a:r>
                      <a:rPr lang="en-US"/>
                      <a:t>0.95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C4-41F4-805A-EB5DEFFD2617}"/>
                </c:ext>
              </c:extLst>
            </c:dLbl>
            <c:dLbl>
              <c:idx val="14"/>
              <c:tx>
                <c:rich>
                  <a:bodyPr/>
                  <a:lstStyle/>
                  <a:p>
                    <a:r>
                      <a:rPr lang="en-US"/>
                      <a:t>8.57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C4-41F4-805A-EB5DEFFD2617}"/>
                </c:ext>
              </c:extLst>
            </c:dLbl>
            <c:dLbl>
              <c:idx val="15"/>
              <c:tx>
                <c:rich>
                  <a:bodyPr/>
                  <a:lstStyle/>
                  <a:p>
                    <a:r>
                      <a:rPr lang="en-US"/>
                      <a:t>18.61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C4-41F4-805A-EB5DEFFD2617}"/>
                </c:ext>
              </c:extLst>
            </c:dLbl>
            <c:dLbl>
              <c:idx val="16"/>
              <c:tx>
                <c:rich>
                  <a:bodyPr/>
                  <a:lstStyle/>
                  <a:p>
                    <a:r>
                      <a:rPr lang="en-US"/>
                      <a:t>15.99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C4-41F4-805A-EB5DEFFD2617}"/>
                </c:ext>
              </c:extLst>
            </c:dLbl>
            <c:dLbl>
              <c:idx val="17"/>
              <c:tx>
                <c:rich>
                  <a:bodyPr/>
                  <a:lstStyle/>
                  <a:p>
                    <a:r>
                      <a:rPr lang="en-US"/>
                      <a:t>3.85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BC4-41F4-805A-EB5DEFFD2617}"/>
                </c:ext>
              </c:extLst>
            </c:dLbl>
            <c:dLbl>
              <c:idx val="18"/>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BC4-41F4-805A-EB5DEFFD2617}"/>
                </c:ext>
              </c:extLst>
            </c:dLbl>
            <c:dLbl>
              <c:idx val="19"/>
              <c:tx>
                <c:rich>
                  <a:bodyPr/>
                  <a:lstStyle/>
                  <a:p>
                    <a:r>
                      <a:rPr lang="en-US"/>
                      <a:t>0.01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BC4-41F4-805A-EB5DEFFD2617}"/>
                </c:ext>
              </c:extLst>
            </c:dLbl>
            <c:dLbl>
              <c:idx val="20"/>
              <c:tx>
                <c:rich>
                  <a:bodyPr/>
                  <a:lstStyle/>
                  <a:p>
                    <a:r>
                      <a:rPr lang="en-US"/>
                      <a:t>0.07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BC4-41F4-805A-EB5DEFFD2617}"/>
                </c:ext>
              </c:extLst>
            </c:dLbl>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Engleski!$A$36:$A$56</c:f>
              <c:strCache>
                <c:ptCount val="21"/>
                <c:pt idx="0">
                  <c:v>Agriculture, forestry and fishing</c:v>
                </c:pt>
                <c:pt idx="1">
                  <c:v>Mining</c:v>
                </c:pt>
                <c:pt idx="2">
                  <c:v>Manufacturing industry</c:v>
                </c:pt>
                <c:pt idx="3">
                  <c:v>Electricity, gas, steam and air conditioning supply</c:v>
                </c:pt>
                <c:pt idx="4">
                  <c:v>Water supply; wastewater management, control of waste disposal processes and similar activities</c:v>
                </c:pt>
                <c:pt idx="5">
                  <c:v>Construction</c:v>
                </c:pt>
                <c:pt idx="6">
                  <c:v>Wholesale and retail trade; repair of motor vehicles and motorcycles</c:v>
                </c:pt>
                <c:pt idx="7">
                  <c:v>Traffic and storage</c:v>
                </c:pt>
                <c:pt idx="8">
                  <c:v>Accommodation and catering services</c:v>
                </c:pt>
                <c:pt idx="9">
                  <c:v>Information and communication</c:v>
                </c:pt>
                <c:pt idx="10">
                  <c:v>Financial and insurance activities</c:v>
                </c:pt>
                <c:pt idx="11">
                  <c:v>Real estate business</c:v>
                </c:pt>
                <c:pt idx="12">
                  <c:v>Professional, scientific and technical activities</c:v>
                </c:pt>
                <c:pt idx="13">
                  <c:v>Administrative and support service activities</c:v>
                </c:pt>
                <c:pt idx="14">
                  <c:v>Public administration and defense; compulsory social insurance</c:v>
                </c:pt>
                <c:pt idx="15">
                  <c:v>Education</c:v>
                </c:pt>
                <c:pt idx="16">
                  <c:v>Health and social protection</c:v>
                </c:pt>
                <c:pt idx="17">
                  <c:v>Art; entertainment and recreation</c:v>
                </c:pt>
                <c:pt idx="18">
                  <c:v>Other service activities</c:v>
                </c:pt>
                <c:pt idx="19">
                  <c:v>Household activity as an employer; activities of households producing goods and services for their own needs</c:v>
                </c:pt>
                <c:pt idx="20">
                  <c:v>Activities of extraterritorial organizations and bodies</c:v>
                </c:pt>
              </c:strCache>
            </c:strRef>
          </c:cat>
          <c:val>
            <c:numRef>
              <c:f>Engleski!$B$36:$B$56</c:f>
              <c:numCache>
                <c:formatCode>0.00</c:formatCode>
                <c:ptCount val="21"/>
                <c:pt idx="0">
                  <c:v>0.8087607028705639</c:v>
                </c:pt>
                <c:pt idx="1">
                  <c:v>0.97084306217330696</c:v>
                </c:pt>
                <c:pt idx="2">
                  <c:v>10.88827462090202</c:v>
                </c:pt>
                <c:pt idx="3">
                  <c:v>1.7368129214588512</c:v>
                </c:pt>
                <c:pt idx="4">
                  <c:v>1.5298758515171487</c:v>
                </c:pt>
                <c:pt idx="5">
                  <c:v>2.8148394793001015</c:v>
                </c:pt>
                <c:pt idx="6">
                  <c:v>7.6122296506148253</c:v>
                </c:pt>
                <c:pt idx="7">
                  <c:v>2.8982197082792713</c:v>
                </c:pt>
                <c:pt idx="8">
                  <c:v>0.79789100305314742</c:v>
                </c:pt>
                <c:pt idx="9">
                  <c:v>7.4940388639925377</c:v>
                </c:pt>
                <c:pt idx="10">
                  <c:v>3.5290750711002197</c:v>
                </c:pt>
                <c:pt idx="11">
                  <c:v>0.42653252448090301</c:v>
                </c:pt>
                <c:pt idx="12">
                  <c:v>9.3886688195093235</c:v>
                </c:pt>
                <c:pt idx="13">
                  <c:v>0.94538870184138224</c:v>
                </c:pt>
                <c:pt idx="14">
                  <c:v>8.5700015547798483</c:v>
                </c:pt>
                <c:pt idx="15">
                  <c:v>18.610026816512587</c:v>
                </c:pt>
                <c:pt idx="16">
                  <c:v>15.990979525062912</c:v>
                </c:pt>
                <c:pt idx="17">
                  <c:v>3.8524142428841306</c:v>
                </c:pt>
                <c:pt idx="18">
                  <c:v>1.0605524834512259</c:v>
                </c:pt>
                <c:pt idx="19">
                  <c:v>7.9802859419007659E-3</c:v>
                </c:pt>
                <c:pt idx="20">
                  <c:v>6.6594110273792598E-2</c:v>
                </c:pt>
              </c:numCache>
            </c:numRef>
          </c:val>
          <c:extLst>
            <c:ext xmlns:c16="http://schemas.microsoft.com/office/drawing/2014/chart" uri="{C3380CC4-5D6E-409C-BE32-E72D297353CC}">
              <c16:uniqueId val="{00000015-7BC4-41F4-805A-EB5DEFFD2617}"/>
            </c:ext>
          </c:extLst>
        </c:ser>
        <c:dLbls>
          <c:showLegendKey val="0"/>
          <c:showVal val="0"/>
          <c:showCatName val="0"/>
          <c:showSerName val="0"/>
          <c:showPercent val="0"/>
          <c:showBubbleSize val="0"/>
        </c:dLbls>
        <c:gapWidth val="33"/>
        <c:axId val="193444096"/>
        <c:axId val="193454080"/>
      </c:barChart>
      <c:dateAx>
        <c:axId val="1934440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ln>
                  <a:noFill/>
                </a:ln>
                <a:solidFill>
                  <a:sysClr val="windowText" lastClr="000000"/>
                </a:solidFill>
                <a:latin typeface="+mn-lt"/>
                <a:ea typeface="+mn-ea"/>
                <a:cs typeface="+mn-cs"/>
              </a:defRPr>
            </a:pPr>
            <a:endParaRPr lang="en-US"/>
          </a:p>
        </c:txPr>
        <c:crossAx val="193454080"/>
        <c:crosses val="autoZero"/>
        <c:auto val="0"/>
        <c:lblOffset val="100"/>
        <c:baseTimeUnit val="days"/>
      </c:dateAx>
      <c:valAx>
        <c:axId val="193454080"/>
        <c:scaling>
          <c:orientation val="minMax"/>
        </c:scaling>
        <c:delete val="1"/>
        <c:axPos val="t"/>
        <c:numFmt formatCode="0.00" sourceLinked="1"/>
        <c:majorTickMark val="none"/>
        <c:minorTickMark val="none"/>
        <c:tickLblPos val="nextTo"/>
        <c:crossAx val="193444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nchor="b" anchorCtr="0"/>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0BBE-4F8B-4418-9AF3-021AE768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 Cukavac</dc:creator>
  <cp:lastModifiedBy>Irena Dimic</cp:lastModifiedBy>
  <cp:revision>14</cp:revision>
  <cp:lastPrinted>2019-06-21T07:03:00Z</cp:lastPrinted>
  <dcterms:created xsi:type="dcterms:W3CDTF">2020-06-03T08:03:00Z</dcterms:created>
  <dcterms:modified xsi:type="dcterms:W3CDTF">2020-06-29T09:38:00Z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