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391A81" w:rsidRPr="00696230" w:rsidTr="006A1222">
        <w:trPr>
          <w:cantSplit/>
          <w:trHeight w:val="631"/>
        </w:trPr>
        <w:tc>
          <w:tcPr>
            <w:tcW w:w="812" w:type="pct"/>
            <w:tcBorders>
              <w:top w:val="single" w:sz="12" w:space="0" w:color="808080"/>
              <w:left w:val="nil"/>
              <w:bottom w:val="nil"/>
            </w:tcBorders>
            <w:vAlign w:val="center"/>
          </w:tcPr>
          <w:p w:rsidR="00391A81" w:rsidRPr="00696230" w:rsidRDefault="00391A81" w:rsidP="00391A81">
            <w:pPr>
              <w:jc w:val="center"/>
              <w:rPr>
                <w:rFonts w:cs="Arial"/>
                <w:b/>
                <w:bCs/>
                <w:lang w:val="sr-Latn-RS"/>
              </w:rPr>
            </w:pPr>
            <w:r w:rsidRPr="00696230">
              <w:rPr>
                <w:noProof/>
                <w:lang w:val="en-US"/>
              </w:rPr>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644B12">
              <w:rPr>
                <w:rFonts w:cs="Arial"/>
                <w:b/>
                <w:bCs/>
                <w:noProof/>
                <w:lang w:val="en-US"/>
              </w:rPr>
              <mc:AlternateContent>
                <mc:Choice Requires="wps">
                  <w:drawing>
                    <wp:inline distT="0" distB="0" distL="0" distR="0">
                      <wp:extent cx="903605" cy="223520"/>
                      <wp:effectExtent l="0" t="2540" r="2540" b="2540"/>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C062F"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mHtgIAALc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NfJ2Ye2AgAAtw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91A81" w:rsidRPr="00696230" w:rsidRDefault="00391A81" w:rsidP="00391A81">
            <w:pPr>
              <w:jc w:val="right"/>
              <w:rPr>
                <w:rFonts w:cs="Arial"/>
                <w:b/>
                <w:bCs/>
                <w:color w:val="808080"/>
                <w:lang w:val="sr-Latn-RS"/>
              </w:rPr>
            </w:pPr>
          </w:p>
        </w:tc>
        <w:tc>
          <w:tcPr>
            <w:tcW w:w="0" w:type="auto"/>
            <w:tcBorders>
              <w:top w:val="single" w:sz="12" w:space="0" w:color="808080"/>
              <w:bottom w:val="nil"/>
              <w:right w:val="nil"/>
            </w:tcBorders>
            <w:vAlign w:val="center"/>
          </w:tcPr>
          <w:p w:rsidR="00391A81" w:rsidRPr="00696230" w:rsidRDefault="00391A81" w:rsidP="00391A81">
            <w:pPr>
              <w:jc w:val="right"/>
              <w:rPr>
                <w:rFonts w:cs="Arial"/>
                <w:b/>
                <w:color w:val="808080"/>
                <w:lang w:val="sr-Latn-RS"/>
              </w:rPr>
            </w:pPr>
            <w:r w:rsidRPr="00696230">
              <w:rPr>
                <w:rFonts w:cs="Arial"/>
                <w:lang w:val="sr-Latn-RS"/>
              </w:rPr>
              <w:t>ISSN 0353-9555</w:t>
            </w:r>
          </w:p>
        </w:tc>
      </w:tr>
      <w:tr w:rsidR="00391A81" w:rsidRPr="00696230" w:rsidTr="00146319">
        <w:trPr>
          <w:cantSplit/>
          <w:trHeight w:val="836"/>
        </w:trPr>
        <w:tc>
          <w:tcPr>
            <w:tcW w:w="0" w:type="auto"/>
            <w:gridSpan w:val="2"/>
            <w:tcBorders>
              <w:top w:val="nil"/>
              <w:left w:val="nil"/>
              <w:right w:val="nil"/>
            </w:tcBorders>
            <w:vAlign w:val="center"/>
          </w:tcPr>
          <w:p w:rsidR="00391A81" w:rsidRPr="00696230" w:rsidRDefault="00391A81" w:rsidP="00391A81">
            <w:pPr>
              <w:rPr>
                <w:rFonts w:cs="Arial"/>
                <w:color w:val="808080"/>
                <w:lang w:val="sr-Latn-RS"/>
              </w:rPr>
            </w:pPr>
            <w:r w:rsidRPr="00696230">
              <w:rPr>
                <w:rFonts w:cs="Arial"/>
                <w:b/>
                <w:bCs/>
                <w:color w:val="808080"/>
                <w:sz w:val="48"/>
                <w:szCs w:val="48"/>
                <w:lang w:val="sr-Latn-RS"/>
              </w:rPr>
              <w:t>STATISTICAL RELEASE</w:t>
            </w:r>
          </w:p>
        </w:tc>
        <w:tc>
          <w:tcPr>
            <w:tcW w:w="0" w:type="auto"/>
            <w:tcBorders>
              <w:top w:val="nil"/>
              <w:left w:val="nil"/>
              <w:right w:val="nil"/>
            </w:tcBorders>
            <w:shd w:val="clear" w:color="auto" w:fill="auto"/>
            <w:vAlign w:val="center"/>
          </w:tcPr>
          <w:p w:rsidR="00391A81" w:rsidRPr="00696230" w:rsidRDefault="00391A81" w:rsidP="00391A81">
            <w:pPr>
              <w:jc w:val="right"/>
              <w:rPr>
                <w:rFonts w:cs="Arial"/>
                <w:b/>
                <w:bCs/>
                <w:color w:val="808080"/>
                <w:sz w:val="12"/>
                <w:szCs w:val="12"/>
                <w:lang w:val="sr-Latn-RS"/>
              </w:rPr>
            </w:pPr>
            <w:r w:rsidRPr="00696230">
              <w:rPr>
                <w:rFonts w:cs="Arial"/>
                <w:b/>
                <w:bCs/>
                <w:color w:val="808080"/>
                <w:sz w:val="48"/>
                <w:szCs w:val="48"/>
                <w:lang w:val="sr-Latn-RS"/>
              </w:rPr>
              <w:t>RS10</w:t>
            </w:r>
          </w:p>
        </w:tc>
      </w:tr>
      <w:tr w:rsidR="00391A81" w:rsidRPr="00696230" w:rsidTr="00146319">
        <w:trPr>
          <w:cantSplit/>
          <w:trHeight w:hRule="exact" w:val="279"/>
        </w:trPr>
        <w:tc>
          <w:tcPr>
            <w:tcW w:w="0" w:type="auto"/>
            <w:gridSpan w:val="2"/>
            <w:tcBorders>
              <w:top w:val="nil"/>
              <w:left w:val="nil"/>
              <w:bottom w:val="nil"/>
              <w:right w:val="nil"/>
            </w:tcBorders>
            <w:vAlign w:val="center"/>
          </w:tcPr>
          <w:p w:rsidR="00391A81" w:rsidRPr="00696230" w:rsidRDefault="00391A81" w:rsidP="00D05D8C">
            <w:pPr>
              <w:rPr>
                <w:rFonts w:cs="Arial"/>
                <w:color w:val="FF0000"/>
                <w:lang w:val="sr-Latn-RS"/>
              </w:rPr>
            </w:pPr>
            <w:r w:rsidRPr="00696230">
              <w:rPr>
                <w:rFonts w:cs="Arial"/>
                <w:lang w:val="sr-Latn-RS"/>
              </w:rPr>
              <w:t xml:space="preserve">Number </w:t>
            </w:r>
            <w:r w:rsidR="00D05D8C" w:rsidRPr="00696230">
              <w:rPr>
                <w:rFonts w:cs="Arial"/>
                <w:lang w:val="sr-Latn-RS"/>
              </w:rPr>
              <w:t>135</w:t>
            </w:r>
            <w:r w:rsidRPr="00696230">
              <w:rPr>
                <w:rFonts w:cs="Arial"/>
                <w:lang w:val="sr-Latn-RS"/>
              </w:rPr>
              <w:t>- Year LX</w:t>
            </w:r>
            <w:r w:rsidR="005D0BFA" w:rsidRPr="00696230">
              <w:rPr>
                <w:rFonts w:cs="Arial"/>
                <w:lang w:val="sr-Latn-RS"/>
              </w:rPr>
              <w:t>X</w:t>
            </w:r>
            <w:r w:rsidRPr="00696230">
              <w:rPr>
                <w:rFonts w:cs="Arial"/>
                <w:lang w:val="sr-Latn-RS"/>
              </w:rPr>
              <w:t xml:space="preserve">, </w:t>
            </w:r>
            <w:r w:rsidR="00783A4C" w:rsidRPr="00696230">
              <w:rPr>
                <w:rFonts w:cs="Arial"/>
                <w:lang w:val="sr-Latn-RS"/>
              </w:rPr>
              <w:t>2</w:t>
            </w:r>
            <w:r w:rsidR="00D0048F" w:rsidRPr="00696230">
              <w:rPr>
                <w:rFonts w:cs="Arial"/>
                <w:lang w:val="sr-Latn-RS"/>
              </w:rPr>
              <w:t>9</w:t>
            </w:r>
            <w:r w:rsidRPr="00696230">
              <w:rPr>
                <w:rFonts w:cs="Arial"/>
                <w:lang w:val="sr-Latn-RS"/>
              </w:rPr>
              <w:t>/</w:t>
            </w:r>
            <w:r w:rsidR="00783A4C" w:rsidRPr="00696230">
              <w:rPr>
                <w:rFonts w:cs="Arial"/>
                <w:lang w:val="sr-Latn-RS"/>
              </w:rPr>
              <w:t>0</w:t>
            </w:r>
            <w:r w:rsidR="00D0048F" w:rsidRPr="00696230">
              <w:rPr>
                <w:rFonts w:cs="Arial"/>
                <w:lang w:val="sr-Latn-RS"/>
              </w:rPr>
              <w:t>5</w:t>
            </w:r>
            <w:r w:rsidRPr="00696230">
              <w:rPr>
                <w:rFonts w:cs="Arial"/>
                <w:lang w:val="sr-Latn-RS"/>
              </w:rPr>
              <w:t>/20</w:t>
            </w:r>
            <w:r w:rsidR="00783A4C" w:rsidRPr="00696230">
              <w:rPr>
                <w:rFonts w:cs="Arial"/>
                <w:lang w:val="sr-Latn-RS"/>
              </w:rPr>
              <w:t>20</w:t>
            </w:r>
          </w:p>
        </w:tc>
        <w:tc>
          <w:tcPr>
            <w:tcW w:w="0" w:type="auto"/>
            <w:tcBorders>
              <w:left w:val="nil"/>
              <w:bottom w:val="nil"/>
              <w:right w:val="nil"/>
            </w:tcBorders>
            <w:shd w:val="clear" w:color="auto" w:fill="auto"/>
            <w:vAlign w:val="center"/>
          </w:tcPr>
          <w:p w:rsidR="00391A81" w:rsidRPr="00696230" w:rsidRDefault="00391A81" w:rsidP="00391A81">
            <w:pPr>
              <w:jc w:val="right"/>
              <w:rPr>
                <w:rFonts w:cs="Arial"/>
                <w:b/>
                <w:bCs/>
                <w:color w:val="FF0000"/>
                <w:sz w:val="48"/>
                <w:szCs w:val="48"/>
                <w:lang w:val="sr-Latn-RS"/>
              </w:rPr>
            </w:pPr>
          </w:p>
        </w:tc>
      </w:tr>
      <w:tr w:rsidR="00391A81" w:rsidRPr="00696230" w:rsidTr="00146319">
        <w:trPr>
          <w:cantSplit/>
          <w:trHeight w:val="411"/>
        </w:trPr>
        <w:tc>
          <w:tcPr>
            <w:tcW w:w="0" w:type="auto"/>
            <w:gridSpan w:val="2"/>
            <w:tcBorders>
              <w:top w:val="nil"/>
              <w:left w:val="nil"/>
              <w:bottom w:val="single" w:sz="12" w:space="0" w:color="808080"/>
              <w:right w:val="nil"/>
            </w:tcBorders>
            <w:vAlign w:val="center"/>
          </w:tcPr>
          <w:p w:rsidR="00391A81" w:rsidRPr="00696230" w:rsidRDefault="00391A81" w:rsidP="00391A81">
            <w:pPr>
              <w:rPr>
                <w:rFonts w:cs="Arial"/>
                <w:b/>
                <w:bCs/>
                <w:sz w:val="24"/>
                <w:szCs w:val="24"/>
                <w:lang w:val="sr-Latn-RS"/>
              </w:rPr>
            </w:pPr>
            <w:r w:rsidRPr="00696230">
              <w:rPr>
                <w:rFonts w:cs="Arial"/>
                <w:b/>
                <w:bCs/>
                <w:sz w:val="24"/>
                <w:szCs w:val="24"/>
                <w:lang w:val="sr-Latn-RS"/>
              </w:rPr>
              <w:t xml:space="preserve">Labour Force Survey </w:t>
            </w:r>
          </w:p>
        </w:tc>
        <w:tc>
          <w:tcPr>
            <w:tcW w:w="0" w:type="auto"/>
            <w:tcBorders>
              <w:top w:val="nil"/>
              <w:left w:val="nil"/>
              <w:bottom w:val="single" w:sz="12" w:space="0" w:color="808080"/>
              <w:right w:val="nil"/>
            </w:tcBorders>
            <w:vAlign w:val="center"/>
          </w:tcPr>
          <w:p w:rsidR="00391A81" w:rsidRPr="00696230" w:rsidRDefault="00391A81" w:rsidP="00D05D8C">
            <w:pPr>
              <w:jc w:val="right"/>
              <w:rPr>
                <w:rFonts w:cs="Arial"/>
                <w:b/>
                <w:bCs/>
                <w:lang w:val="sr-Latn-RS"/>
              </w:rPr>
            </w:pPr>
            <w:r w:rsidRPr="00696230">
              <w:rPr>
                <w:rFonts w:cs="Arial"/>
                <w:lang w:val="sr-Latn-RS"/>
              </w:rPr>
              <w:t>SERB</w:t>
            </w:r>
            <w:r w:rsidR="00D05D8C" w:rsidRPr="00696230">
              <w:rPr>
                <w:rFonts w:cs="Arial"/>
                <w:lang w:val="sr-Latn-RS"/>
              </w:rPr>
              <w:t>135</w:t>
            </w:r>
            <w:r w:rsidRPr="00696230">
              <w:rPr>
                <w:rFonts w:cs="Arial"/>
                <w:lang w:val="sr-Latn-RS"/>
              </w:rPr>
              <w:t xml:space="preserve">RS10 </w:t>
            </w:r>
            <w:r w:rsidR="00066CE2" w:rsidRPr="00696230">
              <w:rPr>
                <w:rFonts w:cs="Arial"/>
                <w:lang w:val="sr-Latn-RS"/>
              </w:rPr>
              <w:t>29</w:t>
            </w:r>
            <w:r w:rsidR="00D0048F" w:rsidRPr="00696230">
              <w:rPr>
                <w:rFonts w:cs="Arial"/>
                <w:lang w:val="sr-Latn-RS"/>
              </w:rPr>
              <w:t>0520</w:t>
            </w:r>
          </w:p>
        </w:tc>
      </w:tr>
    </w:tbl>
    <w:p w:rsidR="00391A81" w:rsidRPr="00696230" w:rsidRDefault="00391A81" w:rsidP="00F20EB9">
      <w:pPr>
        <w:spacing w:before="600" w:after="480"/>
        <w:jc w:val="center"/>
        <w:rPr>
          <w:rFonts w:cs="Arial"/>
          <w:b/>
          <w:bCs/>
          <w:sz w:val="24"/>
          <w:szCs w:val="24"/>
          <w:lang w:val="sr-Latn-RS"/>
        </w:rPr>
      </w:pPr>
      <w:r w:rsidRPr="00696230">
        <w:rPr>
          <w:rFonts w:cs="Arial"/>
          <w:b/>
          <w:bCs/>
          <w:sz w:val="24"/>
          <w:szCs w:val="24"/>
          <w:lang w:val="sr-Latn-RS"/>
        </w:rPr>
        <w:t xml:space="preserve">Labour Force Survey, </w:t>
      </w:r>
      <w:r w:rsidR="00810978" w:rsidRPr="00696230">
        <w:rPr>
          <w:rFonts w:cs="Arial"/>
          <w:b/>
          <w:bCs/>
          <w:sz w:val="24"/>
          <w:szCs w:val="24"/>
          <w:lang w:val="sr-Latn-RS"/>
        </w:rPr>
        <w:t>I</w:t>
      </w:r>
      <w:r w:rsidRPr="00696230">
        <w:rPr>
          <w:rFonts w:cs="Arial"/>
          <w:b/>
          <w:bCs/>
          <w:sz w:val="24"/>
          <w:szCs w:val="24"/>
          <w:lang w:val="sr-Latn-RS"/>
        </w:rPr>
        <w:t xml:space="preserve"> quarter 20</w:t>
      </w:r>
      <w:r w:rsidR="00D0048F" w:rsidRPr="00696230">
        <w:rPr>
          <w:rFonts w:cs="Arial"/>
          <w:b/>
          <w:bCs/>
          <w:sz w:val="24"/>
          <w:szCs w:val="24"/>
          <w:lang w:val="sr-Latn-RS"/>
        </w:rPr>
        <w:t>20</w:t>
      </w:r>
    </w:p>
    <w:p w:rsidR="00391A81" w:rsidRPr="00696230" w:rsidRDefault="00391A81" w:rsidP="00F7497D">
      <w:pPr>
        <w:pStyle w:val="NormalWeb"/>
        <w:spacing w:beforeLines="0" w:afterLines="0" w:line="264" w:lineRule="auto"/>
        <w:ind w:firstLine="403"/>
        <w:jc w:val="both"/>
        <w:rPr>
          <w:rFonts w:ascii="Arial" w:hAnsi="Arial" w:cs="Arial"/>
          <w:lang w:val="sr-Latn-RS"/>
        </w:rPr>
      </w:pPr>
      <w:r w:rsidRPr="00696230">
        <w:rPr>
          <w:rFonts w:ascii="Arial" w:hAnsi="Arial" w:cs="Arial"/>
          <w:lang w:val="sr-Latn-RS"/>
        </w:rPr>
        <w:t xml:space="preserve">In the </w:t>
      </w:r>
      <w:r w:rsidR="00505A12" w:rsidRPr="00696230">
        <w:rPr>
          <w:rFonts w:ascii="Arial" w:hAnsi="Arial" w:cs="Arial"/>
          <w:lang w:val="sr-Latn-RS"/>
        </w:rPr>
        <w:t>first</w:t>
      </w:r>
      <w:r w:rsidRPr="00696230">
        <w:rPr>
          <w:rFonts w:ascii="Arial" w:hAnsi="Arial" w:cs="Arial"/>
          <w:lang w:val="sr-Latn-RS"/>
        </w:rPr>
        <w:t xml:space="preserve"> quarter of 20</w:t>
      </w:r>
      <w:r w:rsidR="00505A12" w:rsidRPr="00696230">
        <w:rPr>
          <w:rFonts w:ascii="Arial" w:hAnsi="Arial" w:cs="Arial"/>
          <w:lang w:val="sr-Latn-RS"/>
        </w:rPr>
        <w:t>20</w:t>
      </w:r>
      <w:r w:rsidRPr="00696230">
        <w:rPr>
          <w:rFonts w:ascii="Arial" w:hAnsi="Arial" w:cs="Arial"/>
          <w:lang w:val="sr-Latn-RS"/>
        </w:rPr>
        <w:t>, number of the employed amounted to 2 </w:t>
      </w:r>
      <w:r w:rsidR="00505A12" w:rsidRPr="00696230">
        <w:rPr>
          <w:rFonts w:ascii="Arial" w:hAnsi="Arial" w:cs="Arial"/>
          <w:lang w:val="sr-Latn-RS"/>
        </w:rPr>
        <w:t>877</w:t>
      </w:r>
      <w:r w:rsidRPr="00696230">
        <w:rPr>
          <w:rFonts w:ascii="Arial" w:hAnsi="Arial" w:cs="Arial"/>
          <w:lang w:val="sr-Latn-RS"/>
        </w:rPr>
        <w:t> </w:t>
      </w:r>
      <w:r w:rsidR="00505A12" w:rsidRPr="00696230">
        <w:rPr>
          <w:rFonts w:ascii="Arial" w:hAnsi="Arial" w:cs="Arial"/>
          <w:lang w:val="sr-Latn-RS"/>
        </w:rPr>
        <w:t>4</w:t>
      </w:r>
      <w:r w:rsidRPr="00696230">
        <w:rPr>
          <w:rFonts w:ascii="Arial" w:hAnsi="Arial" w:cs="Arial"/>
          <w:lang w:val="sr-Latn-RS"/>
        </w:rPr>
        <w:t xml:space="preserve">00, and number of the unemployed to </w:t>
      </w:r>
      <w:r w:rsidR="00077879" w:rsidRPr="00696230">
        <w:rPr>
          <w:rFonts w:ascii="Arial" w:hAnsi="Arial" w:cs="Arial"/>
          <w:lang w:val="sr-Latn-RS"/>
        </w:rPr>
        <w:t>3</w:t>
      </w:r>
      <w:r w:rsidR="00505A12" w:rsidRPr="00696230">
        <w:rPr>
          <w:rFonts w:ascii="Arial" w:hAnsi="Arial" w:cs="Arial"/>
          <w:lang w:val="sr-Latn-RS"/>
        </w:rPr>
        <w:t>1</w:t>
      </w:r>
      <w:r w:rsidR="00F1064B" w:rsidRPr="00696230">
        <w:rPr>
          <w:rFonts w:ascii="Arial" w:hAnsi="Arial" w:cs="Arial"/>
          <w:lang w:val="sr-Latn-RS"/>
        </w:rPr>
        <w:t>0</w:t>
      </w:r>
      <w:r w:rsidRPr="00696230">
        <w:rPr>
          <w:rFonts w:ascii="Arial" w:hAnsi="Arial" w:cs="Arial"/>
          <w:lang w:val="sr-Latn-RS"/>
        </w:rPr>
        <w:t> </w:t>
      </w:r>
      <w:r w:rsidR="00505A12" w:rsidRPr="00696230">
        <w:rPr>
          <w:rFonts w:ascii="Arial" w:hAnsi="Arial" w:cs="Arial"/>
          <w:lang w:val="sr-Latn-RS"/>
        </w:rPr>
        <w:t>3</w:t>
      </w:r>
      <w:r w:rsidRPr="00696230">
        <w:rPr>
          <w:rFonts w:ascii="Arial" w:hAnsi="Arial" w:cs="Arial"/>
          <w:lang w:val="sr-Latn-RS"/>
        </w:rPr>
        <w:t>00. Employment rate</w:t>
      </w:r>
      <w:r w:rsidR="00901882" w:rsidRPr="00696230">
        <w:rPr>
          <w:rFonts w:ascii="Arial" w:hAnsi="Arial" w:cs="Arial"/>
          <w:lang w:val="sr-Latn-RS"/>
        </w:rPr>
        <w:t xml:space="preserve"> for the </w:t>
      </w:r>
      <w:r w:rsidR="001156FD" w:rsidRPr="00696230">
        <w:rPr>
          <w:rFonts w:ascii="Arial" w:hAnsi="Arial" w:cs="Arial"/>
          <w:lang w:val="sr-Latn-RS"/>
        </w:rPr>
        <w:t xml:space="preserve">mentioned </w:t>
      </w:r>
      <w:r w:rsidR="00901882" w:rsidRPr="00696230">
        <w:rPr>
          <w:rFonts w:ascii="Arial" w:hAnsi="Arial" w:cs="Arial"/>
          <w:lang w:val="sr-Latn-RS"/>
        </w:rPr>
        <w:t xml:space="preserve">period </w:t>
      </w:r>
      <w:r w:rsidRPr="00696230">
        <w:rPr>
          <w:rFonts w:ascii="Arial" w:hAnsi="Arial" w:cs="Arial"/>
          <w:lang w:val="sr-Latn-RS"/>
        </w:rPr>
        <w:t>amount</w:t>
      </w:r>
      <w:r w:rsidR="001156FD" w:rsidRPr="00696230">
        <w:rPr>
          <w:rFonts w:ascii="Arial" w:hAnsi="Arial" w:cs="Arial"/>
          <w:lang w:val="sr-Latn-RS"/>
        </w:rPr>
        <w:t>ed</w:t>
      </w:r>
      <w:r w:rsidRPr="00696230">
        <w:rPr>
          <w:rFonts w:ascii="Arial" w:hAnsi="Arial" w:cs="Arial"/>
          <w:lang w:val="sr-Latn-RS"/>
        </w:rPr>
        <w:t xml:space="preserve"> to 4</w:t>
      </w:r>
      <w:r w:rsidR="00505A12" w:rsidRPr="00696230">
        <w:rPr>
          <w:rFonts w:ascii="Arial" w:hAnsi="Arial" w:cs="Arial"/>
          <w:lang w:val="sr-Latn-RS"/>
        </w:rPr>
        <w:t>8</w:t>
      </w:r>
      <w:r w:rsidRPr="00696230">
        <w:rPr>
          <w:rFonts w:ascii="Arial" w:hAnsi="Arial" w:cs="Arial"/>
          <w:lang w:val="sr-Latn-RS"/>
        </w:rPr>
        <w:t>.</w:t>
      </w:r>
      <w:r w:rsidR="00505A12" w:rsidRPr="00696230">
        <w:rPr>
          <w:rFonts w:ascii="Arial" w:hAnsi="Arial" w:cs="Arial"/>
          <w:lang w:val="sr-Latn-RS"/>
        </w:rPr>
        <w:t>7</w:t>
      </w:r>
      <w:r w:rsidRPr="00696230">
        <w:rPr>
          <w:rFonts w:ascii="Arial" w:hAnsi="Arial" w:cs="Arial"/>
          <w:lang w:val="sr-Latn-RS"/>
        </w:rPr>
        <w:t>%</w:t>
      </w:r>
      <w:r w:rsidR="00A92DE7" w:rsidRPr="00696230">
        <w:rPr>
          <w:rFonts w:ascii="Arial" w:hAnsi="Arial" w:cs="Arial"/>
          <w:lang w:val="sr-Latn-RS"/>
        </w:rPr>
        <w:t>,</w:t>
      </w:r>
      <w:r w:rsidR="00901882" w:rsidRPr="00696230">
        <w:rPr>
          <w:rFonts w:ascii="Arial" w:hAnsi="Arial" w:cs="Arial"/>
          <w:lang w:val="sr-Latn-RS"/>
        </w:rPr>
        <w:t xml:space="preserve"> while unemployment rate, in the same period, had the value</w:t>
      </w:r>
      <w:r w:rsidR="001156FD" w:rsidRPr="00696230">
        <w:rPr>
          <w:rFonts w:ascii="Arial" w:hAnsi="Arial" w:cs="Arial"/>
          <w:lang w:val="sr-Latn-RS"/>
        </w:rPr>
        <w:t xml:space="preserve"> of</w:t>
      </w:r>
      <w:r w:rsidR="00505A12" w:rsidRPr="00696230">
        <w:rPr>
          <w:rFonts w:ascii="Arial" w:hAnsi="Arial" w:cs="Arial"/>
          <w:lang w:val="sr-Latn-RS"/>
        </w:rPr>
        <w:t xml:space="preserve"> </w:t>
      </w:r>
      <w:r w:rsidR="00F1064B" w:rsidRPr="00696230">
        <w:rPr>
          <w:rFonts w:ascii="Arial" w:hAnsi="Arial" w:cs="Arial"/>
          <w:lang w:val="sr-Latn-RS"/>
        </w:rPr>
        <w:t>9</w:t>
      </w:r>
      <w:r w:rsidR="00901882" w:rsidRPr="00696230">
        <w:rPr>
          <w:rFonts w:ascii="Arial" w:hAnsi="Arial" w:cs="Arial"/>
          <w:lang w:val="sr-Latn-RS"/>
        </w:rPr>
        <w:t>.</w:t>
      </w:r>
      <w:r w:rsidR="00505A12" w:rsidRPr="00696230">
        <w:rPr>
          <w:rFonts w:ascii="Arial" w:hAnsi="Arial" w:cs="Arial"/>
          <w:lang w:val="sr-Latn-RS"/>
        </w:rPr>
        <w:t>7</w:t>
      </w:r>
      <w:r w:rsidR="00901882" w:rsidRPr="00696230">
        <w:rPr>
          <w:rFonts w:ascii="Arial" w:hAnsi="Arial" w:cs="Arial"/>
          <w:lang w:val="sr-Latn-RS"/>
        </w:rPr>
        <w:t>%</w:t>
      </w:r>
      <w:r w:rsidR="00FB2E36" w:rsidRPr="00696230">
        <w:rPr>
          <w:rFonts w:ascii="Arial" w:hAnsi="Arial" w:cs="Arial"/>
          <w:lang w:val="sr-Latn-RS"/>
        </w:rPr>
        <w:t>.</w:t>
      </w:r>
    </w:p>
    <w:p w:rsidR="00391A81" w:rsidRPr="00696230" w:rsidRDefault="00391A81" w:rsidP="006D2306">
      <w:pPr>
        <w:pStyle w:val="NormalWeb"/>
        <w:spacing w:beforeLines="0" w:before="480" w:afterLines="0" w:after="120"/>
        <w:jc w:val="center"/>
        <w:rPr>
          <w:rFonts w:ascii="Arial" w:hAnsi="Arial" w:cs="Arial"/>
          <w:lang w:val="sr-Latn-RS"/>
        </w:rPr>
      </w:pPr>
      <w:r w:rsidRPr="00696230">
        <w:rPr>
          <w:rFonts w:ascii="Arial" w:hAnsi="Arial" w:cs="Arial"/>
          <w:bCs/>
          <w:lang w:val="sr-Latn-RS"/>
        </w:rPr>
        <w:t>Graph 1</w:t>
      </w:r>
      <w:r w:rsidR="00505A12" w:rsidRPr="00696230">
        <w:rPr>
          <w:rFonts w:ascii="Arial" w:hAnsi="Arial" w:cs="Arial"/>
          <w:bCs/>
          <w:lang w:val="sr-Latn-RS"/>
        </w:rPr>
        <w:t xml:space="preserve"> </w:t>
      </w:r>
      <w:r w:rsidRPr="00696230">
        <w:rPr>
          <w:rFonts w:ascii="Arial" w:hAnsi="Arial" w:cs="Arial"/>
          <w:lang w:val="sr-Latn-RS"/>
        </w:rPr>
        <w:t>Trend of employment/unemployment rates (in %), population 15+, 201</w:t>
      </w:r>
      <w:r w:rsidR="00D0048F" w:rsidRPr="00696230">
        <w:rPr>
          <w:rFonts w:ascii="Arial" w:hAnsi="Arial" w:cs="Arial"/>
          <w:lang w:val="sr-Latn-RS"/>
        </w:rPr>
        <w:t>5</w:t>
      </w:r>
      <w:r w:rsidRPr="00696230">
        <w:rPr>
          <w:rFonts w:ascii="Arial" w:hAnsi="Arial" w:cs="Arial"/>
          <w:lang w:val="sr-Latn-RS"/>
        </w:rPr>
        <w:t>-20</w:t>
      </w:r>
      <w:r w:rsidR="00D0048F" w:rsidRPr="00696230">
        <w:rPr>
          <w:rFonts w:ascii="Arial" w:hAnsi="Arial" w:cs="Arial"/>
          <w:lang w:val="sr-Latn-RS"/>
        </w:rPr>
        <w:t>20</w:t>
      </w:r>
    </w:p>
    <w:p w:rsidR="00E263C3" w:rsidRPr="00696230" w:rsidRDefault="00D0048F" w:rsidP="00AE37FB">
      <w:pPr>
        <w:jc w:val="center"/>
        <w:rPr>
          <w:rFonts w:cs="Arial"/>
          <w:lang w:val="sr-Latn-RS"/>
        </w:rPr>
      </w:pPr>
      <w:r w:rsidRPr="00696230">
        <w:rPr>
          <w:rFonts w:cs="Arial"/>
          <w:noProof/>
          <w:lang w:val="en-US"/>
        </w:rPr>
        <w:drawing>
          <wp:inline distT="0" distB="0" distL="0" distR="0">
            <wp:extent cx="6479388" cy="2850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386"/>
                    <a:stretch/>
                  </pic:blipFill>
                  <pic:spPr bwMode="auto">
                    <a:xfrm>
                      <a:off x="0" y="0"/>
                      <a:ext cx="6479540" cy="2850582"/>
                    </a:xfrm>
                    <a:prstGeom prst="rect">
                      <a:avLst/>
                    </a:prstGeom>
                    <a:noFill/>
                    <a:ln>
                      <a:noFill/>
                    </a:ln>
                    <a:extLst>
                      <a:ext uri="{53640926-AAD7-44D8-BBD7-CCE9431645EC}">
                        <a14:shadowObscured xmlns:a14="http://schemas.microsoft.com/office/drawing/2010/main"/>
                      </a:ext>
                    </a:extLst>
                  </pic:spPr>
                </pic:pic>
              </a:graphicData>
            </a:graphic>
          </wp:inline>
        </w:drawing>
      </w:r>
    </w:p>
    <w:p w:rsidR="00F1064B" w:rsidRPr="00696230" w:rsidRDefault="00F1064B" w:rsidP="00F20EB9">
      <w:pPr>
        <w:spacing w:before="480" w:after="120" w:line="264" w:lineRule="auto"/>
        <w:jc w:val="both"/>
        <w:rPr>
          <w:rStyle w:val="Heading1Char"/>
          <w:rFonts w:ascii="Arial" w:hAnsi="Arial" w:cs="Arial"/>
          <w:b w:val="0"/>
          <w:i/>
          <w:color w:val="2E74B5"/>
          <w:sz w:val="22"/>
          <w:szCs w:val="22"/>
          <w:lang w:val="sr-Latn-RS"/>
        </w:rPr>
      </w:pPr>
      <w:r w:rsidRPr="00696230">
        <w:rPr>
          <w:rStyle w:val="Heading1Char"/>
          <w:rFonts w:ascii="Arial" w:hAnsi="Arial" w:cs="Arial"/>
          <w:b w:val="0"/>
          <w:iCs/>
          <w:color w:val="2E74B5"/>
          <w:sz w:val="22"/>
          <w:szCs w:val="22"/>
          <w:lang w:val="sr-Latn-RS"/>
        </w:rPr>
        <w:t>Comparison with the same quarter of the previous year</w:t>
      </w:r>
    </w:p>
    <w:p w:rsidR="00F1064B" w:rsidRPr="00696230" w:rsidRDefault="00F1064B" w:rsidP="00F1064B">
      <w:pPr>
        <w:pStyle w:val="NormalWeb"/>
        <w:spacing w:beforeLines="0" w:afterLines="0" w:line="288" w:lineRule="auto"/>
        <w:ind w:firstLine="403"/>
        <w:jc w:val="both"/>
        <w:rPr>
          <w:rFonts w:ascii="Arial" w:eastAsia="Times New Roman" w:hAnsi="Arial" w:cs="Arial"/>
          <w:lang w:val="sr-Latn-RS"/>
        </w:rPr>
      </w:pPr>
      <w:r w:rsidRPr="00696230">
        <w:rPr>
          <w:rFonts w:ascii="Arial" w:eastAsia="Times New Roman" w:hAnsi="Arial" w:cs="Arial"/>
          <w:lang w:val="sr-Latn-RS"/>
        </w:rPr>
        <w:t xml:space="preserve">Inter-annual increase of the number of the employed amounted to </w:t>
      </w:r>
      <w:r w:rsidR="00505A12" w:rsidRPr="00696230">
        <w:rPr>
          <w:rFonts w:ascii="Arial" w:eastAsia="Times New Roman" w:hAnsi="Arial" w:cs="Arial"/>
          <w:lang w:val="sr-Latn-RS"/>
        </w:rPr>
        <w:t>66</w:t>
      </w:r>
      <w:r w:rsidRPr="00696230">
        <w:rPr>
          <w:rFonts w:ascii="Arial" w:eastAsia="Times New Roman" w:hAnsi="Arial" w:cs="Arial"/>
          <w:lang w:val="sr-Latn-RS"/>
        </w:rPr>
        <w:t xml:space="preserve"> </w:t>
      </w:r>
      <w:r w:rsidR="00505A12" w:rsidRPr="00696230">
        <w:rPr>
          <w:rFonts w:ascii="Arial" w:eastAsia="Times New Roman" w:hAnsi="Arial" w:cs="Arial"/>
          <w:lang w:val="sr-Latn-RS"/>
        </w:rPr>
        <w:t>9</w:t>
      </w:r>
      <w:r w:rsidRPr="00696230">
        <w:rPr>
          <w:rFonts w:ascii="Arial" w:eastAsia="Times New Roman" w:hAnsi="Arial" w:cs="Arial"/>
          <w:lang w:val="sr-Latn-RS"/>
        </w:rPr>
        <w:t>00, while</w:t>
      </w:r>
      <w:r w:rsidR="00C6599E">
        <w:rPr>
          <w:rFonts w:ascii="Arial" w:eastAsia="Times New Roman" w:hAnsi="Arial" w:cs="Arial"/>
          <w:lang w:val="sr-Latn-RS"/>
        </w:rPr>
        <w:t xml:space="preserve"> </w:t>
      </w:r>
      <w:r w:rsidR="00C6599E" w:rsidRPr="00696230">
        <w:rPr>
          <w:rFonts w:ascii="Arial" w:eastAsia="Times New Roman" w:hAnsi="Arial" w:cs="Arial"/>
          <w:lang w:val="sr-Latn-RS"/>
        </w:rPr>
        <w:t>number of the unemployed</w:t>
      </w:r>
      <w:r w:rsidRPr="00696230">
        <w:rPr>
          <w:rFonts w:ascii="Arial" w:eastAsia="Times New Roman" w:hAnsi="Arial" w:cs="Arial"/>
          <w:lang w:val="sr-Latn-RS"/>
        </w:rPr>
        <w:t xml:space="preserve"> </w:t>
      </w:r>
      <w:r w:rsidR="000F046C" w:rsidRPr="00696230">
        <w:rPr>
          <w:rFonts w:ascii="Arial" w:eastAsia="Times New Roman" w:hAnsi="Arial" w:cs="Arial"/>
          <w:lang w:val="sr-Latn-RS"/>
        </w:rPr>
        <w:t>decrease</w:t>
      </w:r>
      <w:r w:rsidR="00C6599E">
        <w:rPr>
          <w:rFonts w:ascii="Arial" w:eastAsia="Times New Roman" w:hAnsi="Arial" w:cs="Arial"/>
          <w:lang w:val="sr-Latn-RS"/>
        </w:rPr>
        <w:t>d</w:t>
      </w:r>
      <w:r w:rsidR="000F046C" w:rsidRPr="00696230">
        <w:rPr>
          <w:rFonts w:ascii="Arial" w:eastAsia="Times New Roman" w:hAnsi="Arial" w:cs="Arial"/>
          <w:lang w:val="sr-Latn-RS"/>
        </w:rPr>
        <w:t xml:space="preserve"> to </w:t>
      </w:r>
      <w:r w:rsidR="00505A12" w:rsidRPr="00696230">
        <w:rPr>
          <w:rFonts w:ascii="Arial" w:eastAsia="Times New Roman" w:hAnsi="Arial" w:cs="Arial"/>
          <w:lang w:val="sr-Latn-RS"/>
        </w:rPr>
        <w:t>76</w:t>
      </w:r>
      <w:r w:rsidR="000F046C" w:rsidRPr="00696230">
        <w:rPr>
          <w:rFonts w:ascii="Arial" w:eastAsia="Times New Roman" w:hAnsi="Arial" w:cs="Arial"/>
          <w:lang w:val="sr-Latn-RS"/>
        </w:rPr>
        <w:t xml:space="preserve"> </w:t>
      </w:r>
      <w:r w:rsidR="00505A12" w:rsidRPr="00696230">
        <w:rPr>
          <w:rFonts w:ascii="Arial" w:eastAsia="Times New Roman" w:hAnsi="Arial" w:cs="Arial"/>
          <w:lang w:val="sr-Latn-RS"/>
        </w:rPr>
        <w:t>8</w:t>
      </w:r>
      <w:r w:rsidR="000F046C" w:rsidRPr="00696230">
        <w:rPr>
          <w:rFonts w:ascii="Arial" w:eastAsia="Times New Roman" w:hAnsi="Arial" w:cs="Arial"/>
          <w:lang w:val="sr-Latn-RS"/>
        </w:rPr>
        <w:t xml:space="preserve">00. </w:t>
      </w:r>
      <w:r w:rsidR="00505A12" w:rsidRPr="00696230">
        <w:rPr>
          <w:rFonts w:ascii="Arial" w:eastAsia="Times New Roman" w:hAnsi="Arial" w:cs="Arial"/>
          <w:lang w:val="sr-Latn-RS"/>
        </w:rPr>
        <w:t xml:space="preserve">Employment rate amounted to 48.7%, </w:t>
      </w:r>
      <w:r w:rsidR="00A272BD">
        <w:rPr>
          <w:rFonts w:ascii="Arial" w:eastAsia="Times New Roman" w:hAnsi="Arial" w:cs="Arial"/>
          <w:lang w:val="sr-Latn-RS"/>
        </w:rPr>
        <w:t>which is</w:t>
      </w:r>
      <w:r w:rsidR="00505A12" w:rsidRPr="00696230">
        <w:rPr>
          <w:rFonts w:ascii="Arial" w:eastAsia="Times New Roman" w:hAnsi="Arial" w:cs="Arial"/>
          <w:lang w:val="sr-Latn-RS"/>
        </w:rPr>
        <w:t xml:space="preserve"> the increase of 1.4 percentage points (p.</w:t>
      </w:r>
      <w:r w:rsidR="003C595F">
        <w:rPr>
          <w:rFonts w:ascii="Arial" w:eastAsia="Times New Roman" w:hAnsi="Arial" w:cs="Arial"/>
          <w:lang w:val="sr-Latn-RS"/>
        </w:rPr>
        <w:t xml:space="preserve"> </w:t>
      </w:r>
      <w:r w:rsidR="00505A12" w:rsidRPr="00696230">
        <w:rPr>
          <w:rFonts w:ascii="Arial" w:eastAsia="Times New Roman" w:hAnsi="Arial" w:cs="Arial"/>
          <w:lang w:val="sr-Latn-RS"/>
        </w:rPr>
        <w:t>p.) re</w:t>
      </w:r>
      <w:r w:rsidR="00C30CFC">
        <w:rPr>
          <w:rFonts w:ascii="Arial" w:eastAsia="Times New Roman" w:hAnsi="Arial" w:cs="Arial"/>
          <w:lang w:val="sr-Latn-RS"/>
        </w:rPr>
        <w:t>lative to the same period 2019, while u</w:t>
      </w:r>
      <w:r w:rsidR="000F046C" w:rsidRPr="00696230">
        <w:rPr>
          <w:rFonts w:ascii="Arial" w:eastAsia="Times New Roman" w:hAnsi="Arial" w:cs="Arial"/>
          <w:lang w:val="sr-Latn-RS"/>
        </w:rPr>
        <w:t xml:space="preserve">nemployment </w:t>
      </w:r>
      <w:r w:rsidR="00505A12" w:rsidRPr="00696230">
        <w:rPr>
          <w:rFonts w:ascii="Arial" w:eastAsia="Times New Roman" w:hAnsi="Arial" w:cs="Arial"/>
          <w:lang w:val="sr-Latn-RS"/>
        </w:rPr>
        <w:t>rate decreased by 2.4 p.</w:t>
      </w:r>
      <w:r w:rsidR="003C595F">
        <w:rPr>
          <w:rFonts w:ascii="Arial" w:eastAsia="Times New Roman" w:hAnsi="Arial" w:cs="Arial"/>
          <w:lang w:val="sr-Latn-RS"/>
        </w:rPr>
        <w:t xml:space="preserve"> </w:t>
      </w:r>
      <w:r w:rsidR="00505A12" w:rsidRPr="00696230">
        <w:rPr>
          <w:rFonts w:ascii="Arial" w:eastAsia="Times New Roman" w:hAnsi="Arial" w:cs="Arial"/>
          <w:lang w:val="sr-Latn-RS"/>
        </w:rPr>
        <w:t xml:space="preserve">p., reaching the level of 9.7%. </w:t>
      </w:r>
    </w:p>
    <w:p w:rsidR="00505A12" w:rsidRPr="00696230" w:rsidRDefault="000F046C" w:rsidP="000F046C">
      <w:pPr>
        <w:pStyle w:val="NormalWeb"/>
        <w:spacing w:beforeLines="0" w:afterLines="0" w:line="288" w:lineRule="auto"/>
        <w:ind w:firstLine="403"/>
        <w:jc w:val="both"/>
        <w:rPr>
          <w:rFonts w:ascii="Arial" w:eastAsia="Times New Roman" w:hAnsi="Arial" w:cs="Arial"/>
          <w:lang w:val="sr-Latn-RS"/>
        </w:rPr>
      </w:pPr>
      <w:r w:rsidRPr="00696230">
        <w:rPr>
          <w:rFonts w:ascii="Arial" w:eastAsia="Times New Roman" w:hAnsi="Arial" w:cs="Arial"/>
          <w:lang w:val="sr-Latn-RS"/>
        </w:rPr>
        <w:t>In scope of total employment,</w:t>
      </w:r>
      <w:r w:rsidR="005A2274">
        <w:rPr>
          <w:rFonts w:ascii="Arial" w:eastAsia="Times New Roman" w:hAnsi="Arial" w:cs="Arial"/>
          <w:lang w:val="sr-Latn-RS"/>
        </w:rPr>
        <w:t xml:space="preserve"> informal employment decreased </w:t>
      </w:r>
      <w:r w:rsidRPr="00696230">
        <w:rPr>
          <w:rFonts w:ascii="Arial" w:eastAsia="Times New Roman" w:hAnsi="Arial" w:cs="Arial"/>
          <w:lang w:val="sr-Latn-RS"/>
        </w:rPr>
        <w:t>by</w:t>
      </w:r>
      <w:r w:rsidR="00696230">
        <w:rPr>
          <w:rFonts w:ascii="Arial" w:eastAsia="Times New Roman" w:hAnsi="Arial" w:cs="Arial"/>
          <w:lang w:val="sr-Latn-RS"/>
        </w:rPr>
        <w:t> </w:t>
      </w:r>
      <w:r w:rsidR="00505A12" w:rsidRPr="00696230">
        <w:rPr>
          <w:rFonts w:ascii="Arial" w:eastAsia="Times New Roman" w:hAnsi="Arial" w:cs="Arial"/>
          <w:lang w:val="sr-Latn-RS"/>
        </w:rPr>
        <w:t>1</w:t>
      </w:r>
      <w:r w:rsidRPr="00696230">
        <w:rPr>
          <w:rFonts w:ascii="Arial" w:eastAsia="Times New Roman" w:hAnsi="Arial" w:cs="Arial"/>
          <w:lang w:val="sr-Latn-RS"/>
        </w:rPr>
        <w:t>4</w:t>
      </w:r>
      <w:r w:rsidR="00696230">
        <w:rPr>
          <w:rFonts w:ascii="Arial" w:eastAsia="Times New Roman" w:hAnsi="Arial" w:cs="Arial"/>
          <w:lang w:val="sr-Latn-RS"/>
        </w:rPr>
        <w:t> </w:t>
      </w:r>
      <w:r w:rsidR="00505A12" w:rsidRPr="00696230">
        <w:rPr>
          <w:rFonts w:ascii="Arial" w:eastAsia="Times New Roman" w:hAnsi="Arial" w:cs="Arial"/>
          <w:lang w:val="sr-Latn-RS"/>
        </w:rPr>
        <w:t>8</w:t>
      </w:r>
      <w:r w:rsidR="005A2274">
        <w:rPr>
          <w:rFonts w:ascii="Arial" w:eastAsia="Times New Roman" w:hAnsi="Arial" w:cs="Arial"/>
          <w:lang w:val="sr-Latn-RS"/>
        </w:rPr>
        <w:t xml:space="preserve">00, while </w:t>
      </w:r>
      <w:r w:rsidRPr="00696230">
        <w:rPr>
          <w:rFonts w:ascii="Arial" w:eastAsia="Times New Roman" w:hAnsi="Arial" w:cs="Arial"/>
          <w:lang w:val="sr-Latn-RS"/>
        </w:rPr>
        <w:t xml:space="preserve">formal employment </w:t>
      </w:r>
      <w:r w:rsidR="00925B34">
        <w:rPr>
          <w:rFonts w:ascii="Arial" w:eastAsia="Times New Roman" w:hAnsi="Arial" w:cs="Arial"/>
          <w:lang w:val="sr-Latn-RS"/>
        </w:rPr>
        <w:t xml:space="preserve">increased </w:t>
      </w:r>
      <w:r w:rsidRPr="00696230">
        <w:rPr>
          <w:rFonts w:ascii="Arial" w:eastAsia="Times New Roman" w:hAnsi="Arial" w:cs="Arial"/>
          <w:lang w:val="sr-Latn-RS"/>
        </w:rPr>
        <w:t xml:space="preserve">by </w:t>
      </w:r>
      <w:r w:rsidR="00505A12" w:rsidRPr="00696230">
        <w:rPr>
          <w:rFonts w:ascii="Arial" w:eastAsia="Times New Roman" w:hAnsi="Arial" w:cs="Arial"/>
          <w:lang w:val="sr-Latn-RS"/>
        </w:rPr>
        <w:t>81</w:t>
      </w:r>
      <w:r w:rsidR="00696230">
        <w:rPr>
          <w:rFonts w:ascii="Arial" w:eastAsia="Times New Roman" w:hAnsi="Arial" w:cs="Arial"/>
          <w:lang w:val="sr-Latn-RS"/>
        </w:rPr>
        <w:t> </w:t>
      </w:r>
      <w:r w:rsidR="00505A12" w:rsidRPr="00696230">
        <w:rPr>
          <w:rFonts w:ascii="Arial" w:eastAsia="Times New Roman" w:hAnsi="Arial" w:cs="Arial"/>
          <w:lang w:val="sr-Latn-RS"/>
        </w:rPr>
        <w:t>7</w:t>
      </w:r>
      <w:r w:rsidR="005A2274">
        <w:rPr>
          <w:rFonts w:ascii="Arial" w:eastAsia="Times New Roman" w:hAnsi="Arial" w:cs="Arial"/>
          <w:lang w:val="sr-Latn-RS"/>
        </w:rPr>
        <w:t>00</w:t>
      </w:r>
      <w:r w:rsidR="00505A12" w:rsidRPr="00696230">
        <w:rPr>
          <w:rFonts w:ascii="Arial" w:eastAsia="Times New Roman" w:hAnsi="Arial" w:cs="Arial"/>
          <w:lang w:val="sr-Latn-RS"/>
        </w:rPr>
        <w:t xml:space="preserve">. Informal employment </w:t>
      </w:r>
      <w:r w:rsidR="00D07D6A" w:rsidRPr="00696230">
        <w:rPr>
          <w:rFonts w:ascii="Arial" w:eastAsia="Times New Roman" w:hAnsi="Arial" w:cs="Arial"/>
          <w:lang w:val="sr-Latn-RS"/>
        </w:rPr>
        <w:t xml:space="preserve">rate </w:t>
      </w:r>
      <w:r w:rsidR="00505A12" w:rsidRPr="00696230">
        <w:rPr>
          <w:rFonts w:ascii="Arial" w:eastAsia="Times New Roman" w:hAnsi="Arial" w:cs="Arial"/>
          <w:lang w:val="sr-Latn-RS"/>
        </w:rPr>
        <w:t>decreased by 0.9 p.</w:t>
      </w:r>
      <w:r w:rsidR="00F5071E">
        <w:rPr>
          <w:rFonts w:ascii="Arial" w:eastAsia="Times New Roman" w:hAnsi="Arial" w:cs="Arial"/>
          <w:lang w:val="sr-Latn-RS"/>
        </w:rPr>
        <w:t xml:space="preserve"> </w:t>
      </w:r>
      <w:r w:rsidR="00505A12" w:rsidRPr="00696230">
        <w:rPr>
          <w:rFonts w:ascii="Arial" w:eastAsia="Times New Roman" w:hAnsi="Arial" w:cs="Arial"/>
          <w:lang w:val="sr-Latn-RS"/>
        </w:rPr>
        <w:t>p. and amounted to 16.2%.</w:t>
      </w:r>
    </w:p>
    <w:p w:rsidR="00C076CD" w:rsidRDefault="00D07D6A" w:rsidP="00D07D6A">
      <w:pPr>
        <w:pStyle w:val="NormalWeb"/>
        <w:spacing w:before="2" w:after="2" w:line="264" w:lineRule="auto"/>
        <w:ind w:firstLine="403"/>
        <w:jc w:val="both"/>
        <w:rPr>
          <w:rFonts w:ascii="Arial" w:eastAsia="Times New Roman" w:hAnsi="Arial" w:cs="Arial"/>
          <w:lang w:val="sr-Latn-RS"/>
        </w:rPr>
      </w:pPr>
      <w:r w:rsidRPr="00696230">
        <w:rPr>
          <w:rFonts w:ascii="Arial" w:eastAsia="Times New Roman" w:hAnsi="Arial" w:cs="Arial"/>
          <w:lang w:val="sr-Latn-RS"/>
        </w:rPr>
        <w:t xml:space="preserve">Comparing the results of the Labour Force Survey </w:t>
      </w:r>
      <w:r w:rsidR="007526C4">
        <w:rPr>
          <w:rFonts w:ascii="Arial" w:eastAsia="Times New Roman" w:hAnsi="Arial" w:cs="Arial"/>
          <w:lang w:val="sr-Latn-RS"/>
        </w:rPr>
        <w:t>for</w:t>
      </w:r>
      <w:r w:rsidRPr="00696230">
        <w:rPr>
          <w:rFonts w:ascii="Arial" w:eastAsia="Times New Roman" w:hAnsi="Arial" w:cs="Arial"/>
          <w:lang w:val="sr-Latn-RS"/>
        </w:rPr>
        <w:t xml:space="preserve"> the first quarter</w:t>
      </w:r>
      <w:r w:rsidR="00A93840">
        <w:rPr>
          <w:rFonts w:ascii="Arial" w:eastAsia="Times New Roman" w:hAnsi="Arial" w:cs="Arial"/>
          <w:lang w:val="sr-Latn-RS"/>
        </w:rPr>
        <w:t xml:space="preserve"> of</w:t>
      </w:r>
      <w:r w:rsidRPr="00696230">
        <w:rPr>
          <w:rFonts w:ascii="Arial" w:eastAsia="Times New Roman" w:hAnsi="Arial" w:cs="Arial"/>
          <w:lang w:val="sr-Latn-RS"/>
        </w:rPr>
        <w:t xml:space="preserve"> 2019 with the results </w:t>
      </w:r>
      <w:r w:rsidR="00663229">
        <w:rPr>
          <w:rFonts w:ascii="Arial" w:eastAsia="Times New Roman" w:hAnsi="Arial" w:cs="Arial"/>
          <w:lang w:val="sr-Latn-RS"/>
        </w:rPr>
        <w:t>for</w:t>
      </w:r>
      <w:r w:rsidRPr="00696230">
        <w:rPr>
          <w:rFonts w:ascii="Arial" w:eastAsia="Times New Roman" w:hAnsi="Arial" w:cs="Arial"/>
          <w:lang w:val="sr-Latn-RS"/>
        </w:rPr>
        <w:t xml:space="preserve"> the first quarter </w:t>
      </w:r>
      <w:r w:rsidR="0011594C">
        <w:rPr>
          <w:rFonts w:ascii="Arial" w:eastAsia="Times New Roman" w:hAnsi="Arial" w:cs="Arial"/>
          <w:lang w:val="sr-Latn-RS"/>
        </w:rPr>
        <w:t xml:space="preserve">of </w:t>
      </w:r>
      <w:r w:rsidRPr="00696230">
        <w:rPr>
          <w:rFonts w:ascii="Arial" w:eastAsia="Times New Roman" w:hAnsi="Arial" w:cs="Arial"/>
          <w:lang w:val="sr-Latn-RS"/>
        </w:rPr>
        <w:t>2020, unequal</w:t>
      </w:r>
      <w:r w:rsidR="00424192">
        <w:rPr>
          <w:rFonts w:ascii="Arial" w:eastAsia="Times New Roman" w:hAnsi="Arial" w:cs="Arial"/>
          <w:lang w:val="sr-Latn-RS"/>
        </w:rPr>
        <w:t xml:space="preserve"> increase in regional employment </w:t>
      </w:r>
      <w:r w:rsidR="009F3761">
        <w:rPr>
          <w:rFonts w:ascii="Arial" w:eastAsia="Times New Roman" w:hAnsi="Arial" w:cs="Arial"/>
          <w:lang w:val="sr-Latn-RS"/>
        </w:rPr>
        <w:t>is apparent</w:t>
      </w:r>
      <w:r w:rsidRPr="00696230">
        <w:rPr>
          <w:rFonts w:ascii="Arial" w:eastAsia="Times New Roman" w:hAnsi="Arial" w:cs="Arial"/>
          <w:lang w:val="sr-Latn-RS"/>
        </w:rPr>
        <w:t xml:space="preserve"> in the mention</w:t>
      </w:r>
      <w:r w:rsidR="00BF700D">
        <w:rPr>
          <w:rFonts w:ascii="Arial" w:eastAsia="Times New Roman" w:hAnsi="Arial" w:cs="Arial"/>
          <w:lang w:val="sr-Latn-RS"/>
        </w:rPr>
        <w:t>ed period. In Beogradski region</w:t>
      </w:r>
      <w:r w:rsidRPr="00696230">
        <w:rPr>
          <w:rFonts w:ascii="Arial" w:eastAsia="Times New Roman" w:hAnsi="Arial" w:cs="Arial"/>
          <w:lang w:val="sr-Latn-RS"/>
        </w:rPr>
        <w:t xml:space="preserve"> number of the employed increased by 41</w:t>
      </w:r>
      <w:r w:rsidR="00696230">
        <w:rPr>
          <w:rFonts w:ascii="Arial" w:eastAsia="Times New Roman" w:hAnsi="Arial" w:cs="Arial"/>
          <w:lang w:val="sr-Latn-RS"/>
        </w:rPr>
        <w:t> </w:t>
      </w:r>
      <w:r w:rsidRPr="00696230">
        <w:rPr>
          <w:rFonts w:ascii="Arial" w:eastAsia="Times New Roman" w:hAnsi="Arial" w:cs="Arial"/>
          <w:lang w:val="sr-Latn-RS"/>
        </w:rPr>
        <w:t xml:space="preserve">300, </w:t>
      </w:r>
      <w:r w:rsidR="00BF700D">
        <w:rPr>
          <w:rFonts w:ascii="Arial" w:eastAsia="Times New Roman" w:hAnsi="Arial" w:cs="Arial"/>
          <w:lang w:val="sr-Latn-RS"/>
        </w:rPr>
        <w:t>while</w:t>
      </w:r>
      <w:r w:rsidRPr="00696230">
        <w:rPr>
          <w:rFonts w:ascii="Arial" w:eastAsia="Times New Roman" w:hAnsi="Arial" w:cs="Arial"/>
          <w:lang w:val="sr-Latn-RS"/>
        </w:rPr>
        <w:t xml:space="preserve"> in R</w:t>
      </w:r>
      <w:r w:rsidR="00BF700D">
        <w:rPr>
          <w:rFonts w:ascii="Arial" w:eastAsia="Times New Roman" w:hAnsi="Arial" w:cs="Arial"/>
          <w:lang w:val="sr-Latn-RS"/>
        </w:rPr>
        <w:t>egion Sumadije i Zapadne Srbije</w:t>
      </w:r>
      <w:r w:rsidR="00710230">
        <w:rPr>
          <w:rFonts w:ascii="Arial" w:eastAsia="Times New Roman" w:hAnsi="Arial" w:cs="Arial"/>
          <w:lang w:val="sr-Latn-RS"/>
        </w:rPr>
        <w:t xml:space="preserve"> it</w:t>
      </w:r>
      <w:r w:rsidR="00BF700D">
        <w:rPr>
          <w:rFonts w:ascii="Arial" w:eastAsia="Times New Roman" w:hAnsi="Arial" w:cs="Arial"/>
          <w:lang w:val="sr-Latn-RS"/>
        </w:rPr>
        <w:t xml:space="preserve"> increased</w:t>
      </w:r>
      <w:r w:rsidRPr="00696230">
        <w:rPr>
          <w:rFonts w:ascii="Arial" w:eastAsia="Times New Roman" w:hAnsi="Arial" w:cs="Arial"/>
          <w:lang w:val="sr-Latn-RS"/>
        </w:rPr>
        <w:t xml:space="preserve"> by 31</w:t>
      </w:r>
      <w:r w:rsidR="00696230">
        <w:rPr>
          <w:rFonts w:ascii="Arial" w:eastAsia="Times New Roman" w:hAnsi="Arial" w:cs="Arial"/>
          <w:lang w:val="sr-Latn-RS"/>
        </w:rPr>
        <w:t> </w:t>
      </w:r>
      <w:r w:rsidR="007C2550">
        <w:rPr>
          <w:rFonts w:ascii="Arial" w:eastAsia="Times New Roman" w:hAnsi="Arial" w:cs="Arial"/>
          <w:lang w:val="sr-Latn-RS"/>
        </w:rPr>
        <w:t>600. Furthermore,</w:t>
      </w:r>
      <w:r w:rsidRPr="00696230">
        <w:rPr>
          <w:rFonts w:ascii="Arial" w:eastAsia="Times New Roman" w:hAnsi="Arial" w:cs="Arial"/>
          <w:lang w:val="sr-Latn-RS"/>
        </w:rPr>
        <w:t xml:space="preserve"> in Region Vojvodine, the number of the </w:t>
      </w:r>
      <w:r w:rsidR="00205B16" w:rsidRPr="00696230">
        <w:rPr>
          <w:rFonts w:ascii="Arial" w:eastAsia="Times New Roman" w:hAnsi="Arial" w:cs="Arial"/>
          <w:lang w:val="sr-Latn-RS"/>
        </w:rPr>
        <w:t>employed</w:t>
      </w:r>
      <w:r w:rsidRPr="00696230">
        <w:rPr>
          <w:rFonts w:ascii="Arial" w:eastAsia="Times New Roman" w:hAnsi="Arial" w:cs="Arial"/>
          <w:lang w:val="sr-Latn-RS"/>
        </w:rPr>
        <w:t xml:space="preserve"> remained on the same level,</w:t>
      </w:r>
      <w:r w:rsidR="00987E70">
        <w:rPr>
          <w:rFonts w:ascii="Arial" w:eastAsia="Times New Roman" w:hAnsi="Arial" w:cs="Arial"/>
          <w:lang w:val="sr-Latn-RS"/>
        </w:rPr>
        <w:t xml:space="preserve"> while</w:t>
      </w:r>
      <w:r w:rsidRPr="00696230">
        <w:rPr>
          <w:rFonts w:ascii="Arial" w:eastAsia="Times New Roman" w:hAnsi="Arial" w:cs="Arial"/>
          <w:lang w:val="sr-Latn-RS"/>
        </w:rPr>
        <w:t xml:space="preserve"> it decreased by 6 100 in Region J</w:t>
      </w:r>
      <w:r w:rsidR="005E4A88">
        <w:rPr>
          <w:rFonts w:ascii="Arial" w:eastAsia="Times New Roman" w:hAnsi="Arial" w:cs="Arial"/>
          <w:lang w:val="sr-Latn-RS"/>
        </w:rPr>
        <w:t xml:space="preserve">uzne i Istocne Srbije. </w:t>
      </w:r>
    </w:p>
    <w:p w:rsidR="00911288" w:rsidRDefault="00911288" w:rsidP="00D07D6A">
      <w:pPr>
        <w:pStyle w:val="NormalWeb"/>
        <w:spacing w:before="2" w:after="2" w:line="264" w:lineRule="auto"/>
        <w:ind w:firstLine="403"/>
        <w:jc w:val="both"/>
        <w:rPr>
          <w:rFonts w:ascii="Arial" w:eastAsia="Times New Roman" w:hAnsi="Arial" w:cs="Arial"/>
          <w:lang w:val="sr-Latn-RS"/>
        </w:rPr>
      </w:pPr>
    </w:p>
    <w:p w:rsidR="00C076CD" w:rsidRDefault="005E4A88" w:rsidP="00D07D6A">
      <w:pPr>
        <w:pStyle w:val="NormalWeb"/>
        <w:spacing w:before="2" w:after="2" w:line="264" w:lineRule="auto"/>
        <w:ind w:firstLine="403"/>
        <w:jc w:val="both"/>
        <w:rPr>
          <w:rFonts w:ascii="Arial" w:eastAsia="Times New Roman" w:hAnsi="Arial" w:cs="Arial"/>
          <w:lang w:val="sr-Latn-RS"/>
        </w:rPr>
      </w:pPr>
      <w:r>
        <w:rPr>
          <w:rFonts w:ascii="Arial" w:eastAsia="Times New Roman" w:hAnsi="Arial" w:cs="Arial"/>
          <w:lang w:val="sr-Latn-RS"/>
        </w:rPr>
        <w:t>Increase</w:t>
      </w:r>
      <w:r w:rsidR="00BB49EB">
        <w:rPr>
          <w:rFonts w:ascii="Arial" w:eastAsia="Times New Roman" w:hAnsi="Arial" w:cs="Arial"/>
          <w:lang w:val="sr-Latn-RS"/>
        </w:rPr>
        <w:t xml:space="preserve"> in </w:t>
      </w:r>
      <w:r w:rsidR="00D07D6A" w:rsidRPr="00696230">
        <w:rPr>
          <w:rFonts w:ascii="Arial" w:eastAsia="Times New Roman" w:hAnsi="Arial" w:cs="Arial"/>
          <w:lang w:val="sr-Latn-RS"/>
        </w:rPr>
        <w:t>employment was the most dominant in the population with secondary education (91</w:t>
      </w:r>
      <w:r w:rsidR="00696230">
        <w:rPr>
          <w:rFonts w:ascii="Arial" w:eastAsia="Times New Roman" w:hAnsi="Arial" w:cs="Arial"/>
          <w:lang w:val="sr-Latn-RS"/>
        </w:rPr>
        <w:t> </w:t>
      </w:r>
      <w:r w:rsidR="00D07D6A" w:rsidRPr="00696230">
        <w:rPr>
          <w:rFonts w:ascii="Arial" w:eastAsia="Times New Roman" w:hAnsi="Arial" w:cs="Arial"/>
          <w:lang w:val="sr-Latn-RS"/>
        </w:rPr>
        <w:t xml:space="preserve">600). </w:t>
      </w:r>
    </w:p>
    <w:p w:rsidR="00B8235C" w:rsidRDefault="00B8235C" w:rsidP="00D07D6A">
      <w:pPr>
        <w:pStyle w:val="NormalWeb"/>
        <w:spacing w:before="2" w:after="2" w:line="264" w:lineRule="auto"/>
        <w:ind w:firstLine="403"/>
        <w:jc w:val="both"/>
        <w:rPr>
          <w:rFonts w:ascii="Arial" w:eastAsia="Times New Roman" w:hAnsi="Arial" w:cs="Arial"/>
          <w:lang w:val="sr-Latn-RS"/>
        </w:rPr>
      </w:pPr>
    </w:p>
    <w:p w:rsidR="00D07D6A" w:rsidRPr="00696230" w:rsidRDefault="00D07D6A" w:rsidP="00D07D6A">
      <w:pPr>
        <w:pStyle w:val="NormalWeb"/>
        <w:spacing w:before="2" w:after="2" w:line="264" w:lineRule="auto"/>
        <w:ind w:firstLine="403"/>
        <w:jc w:val="both"/>
        <w:rPr>
          <w:rFonts w:ascii="Arial" w:eastAsia="Times New Roman" w:hAnsi="Arial" w:cs="Arial"/>
          <w:lang w:val="sr-Latn-RS"/>
        </w:rPr>
      </w:pPr>
      <w:r w:rsidRPr="00696230">
        <w:rPr>
          <w:rFonts w:ascii="Arial" w:eastAsia="Times New Roman" w:hAnsi="Arial" w:cs="Arial"/>
          <w:lang w:val="sr-Latn-RS"/>
        </w:rPr>
        <w:t>A half of the newly-employed related to the young up to the age of 35 (33 200).</w:t>
      </w:r>
    </w:p>
    <w:p w:rsidR="00B97C9D" w:rsidRDefault="00D07D6A" w:rsidP="00D07D6A">
      <w:pPr>
        <w:spacing w:before="120" w:after="120" w:line="264" w:lineRule="auto"/>
        <w:ind w:firstLine="403"/>
        <w:jc w:val="both"/>
        <w:rPr>
          <w:rFonts w:cs="Arial"/>
          <w:lang w:val="sr-Latn-RS"/>
        </w:rPr>
      </w:pPr>
      <w:r w:rsidRPr="00696230">
        <w:rPr>
          <w:rFonts w:cs="Arial"/>
          <w:lang w:val="sr-Latn-RS"/>
        </w:rPr>
        <w:t xml:space="preserve">Long-term </w:t>
      </w:r>
      <w:r w:rsidR="00205B16" w:rsidRPr="00696230">
        <w:rPr>
          <w:rFonts w:cs="Arial"/>
          <w:lang w:val="sr-Latn-RS"/>
        </w:rPr>
        <w:t>unemployment</w:t>
      </w:r>
      <w:r w:rsidR="005E4A88">
        <w:rPr>
          <w:rFonts w:cs="Arial"/>
          <w:lang w:val="sr-Latn-RS"/>
        </w:rPr>
        <w:t xml:space="preserve"> rate</w:t>
      </w:r>
      <w:r w:rsidRPr="00696230">
        <w:rPr>
          <w:rFonts w:cs="Arial"/>
          <w:lang w:val="sr-Latn-RS"/>
        </w:rPr>
        <w:t xml:space="preserve"> decreased </w:t>
      </w:r>
      <w:r w:rsidR="00B97C9D" w:rsidRPr="00696230">
        <w:rPr>
          <w:rFonts w:cs="Arial"/>
          <w:lang w:val="sr-Latn-RS"/>
        </w:rPr>
        <w:t>by 1.6 p.</w:t>
      </w:r>
      <w:r w:rsidR="00F5071E">
        <w:rPr>
          <w:rFonts w:cs="Arial"/>
          <w:lang w:val="sr-Latn-RS"/>
        </w:rPr>
        <w:t xml:space="preserve"> </w:t>
      </w:r>
      <w:r w:rsidR="00B97C9D" w:rsidRPr="00696230">
        <w:rPr>
          <w:rFonts w:cs="Arial"/>
          <w:lang w:val="sr-Latn-RS"/>
        </w:rPr>
        <w:t xml:space="preserve">p. </w:t>
      </w:r>
      <w:r w:rsidRPr="00696230">
        <w:rPr>
          <w:rFonts w:cs="Arial"/>
          <w:lang w:val="sr-Latn-RS"/>
        </w:rPr>
        <w:t xml:space="preserve">relative to the first quarter </w:t>
      </w:r>
      <w:r w:rsidR="00BB49EB">
        <w:rPr>
          <w:rFonts w:cs="Arial"/>
          <w:lang w:val="sr-Latn-RS"/>
        </w:rPr>
        <w:t xml:space="preserve">of </w:t>
      </w:r>
      <w:r w:rsidRPr="00696230">
        <w:rPr>
          <w:rFonts w:cs="Arial"/>
          <w:lang w:val="sr-Latn-RS"/>
        </w:rPr>
        <w:t>2019</w:t>
      </w:r>
      <w:r w:rsidR="00B97C9D" w:rsidRPr="00696230">
        <w:rPr>
          <w:rFonts w:cs="Arial"/>
          <w:lang w:val="sr-Latn-RS"/>
        </w:rPr>
        <w:t xml:space="preserve"> and in the first quarter</w:t>
      </w:r>
      <w:r w:rsidR="00F830D2">
        <w:rPr>
          <w:rFonts w:cs="Arial"/>
          <w:lang w:val="sr-Latn-RS"/>
        </w:rPr>
        <w:t xml:space="preserve"> of</w:t>
      </w:r>
      <w:r w:rsidR="00B97C9D" w:rsidRPr="00696230">
        <w:rPr>
          <w:rFonts w:cs="Arial"/>
          <w:lang w:val="sr-Latn-RS"/>
        </w:rPr>
        <w:t xml:space="preserve"> 2020, </w:t>
      </w:r>
      <w:r w:rsidR="008D00E1">
        <w:rPr>
          <w:rFonts w:cs="Arial"/>
          <w:lang w:val="sr-Latn-RS"/>
        </w:rPr>
        <w:t>this rate</w:t>
      </w:r>
      <w:r w:rsidR="00B97C9D" w:rsidRPr="00696230">
        <w:rPr>
          <w:rFonts w:cs="Arial"/>
          <w:lang w:val="sr-Latn-RS"/>
        </w:rPr>
        <w:t xml:space="preserve"> amounted to 5.5%.</w:t>
      </w:r>
    </w:p>
    <w:p w:rsidR="00C9036F" w:rsidRDefault="00C9036F" w:rsidP="00F830D2">
      <w:pPr>
        <w:rPr>
          <w:rFonts w:cs="Arial"/>
          <w:lang w:val="en-US"/>
        </w:rPr>
      </w:pPr>
    </w:p>
    <w:p w:rsidR="00B97C9D" w:rsidRPr="00F830D2" w:rsidRDefault="00F830D2" w:rsidP="00C9036F">
      <w:pPr>
        <w:ind w:firstLine="397"/>
        <w:rPr>
          <w:rFonts w:ascii="Segoe UI" w:hAnsi="Segoe UI" w:cs="Segoe UI"/>
          <w:lang w:val="en-US"/>
        </w:rPr>
      </w:pPr>
      <w:r w:rsidRPr="00F830D2">
        <w:rPr>
          <w:rFonts w:cs="Arial"/>
          <w:lang w:val="en-US"/>
        </w:rPr>
        <w:lastRenderedPageBreak/>
        <w:t xml:space="preserve">Compared with the first quarter 2019, </w:t>
      </w:r>
      <w:r w:rsidR="00414DE5" w:rsidRPr="00414DE5">
        <w:rPr>
          <w:rFonts w:cs="Arial"/>
          <w:lang w:val="en-US"/>
        </w:rPr>
        <w:t xml:space="preserve">within </w:t>
      </w:r>
      <w:r w:rsidRPr="00F830D2">
        <w:rPr>
          <w:rFonts w:cs="Arial"/>
          <w:lang w:val="en-US"/>
        </w:rPr>
        <w:t>the group of young aged 15-24, in the first quarter 2020, total population decreased by 10 900</w:t>
      </w:r>
      <w:r>
        <w:rPr>
          <w:rFonts w:cs="Arial"/>
          <w:lang w:val="en-US"/>
        </w:rPr>
        <w:t>,</w:t>
      </w:r>
      <w:r w:rsidRPr="00F830D2">
        <w:rPr>
          <w:rFonts w:cs="Arial"/>
          <w:lang w:val="en-US"/>
        </w:rPr>
        <w:t xml:space="preserve"> while number of the employed increased by 16 300</w:t>
      </w:r>
      <w:r w:rsidR="00BE421C">
        <w:rPr>
          <w:rFonts w:cs="Arial"/>
          <w:lang w:val="en-US"/>
        </w:rPr>
        <w:t>,</w:t>
      </w:r>
      <w:r w:rsidRPr="00F830D2">
        <w:rPr>
          <w:rFonts w:cs="Arial"/>
          <w:lang w:val="en-US"/>
        </w:rPr>
        <w:t> </w:t>
      </w:r>
      <w:r w:rsidR="008A6B81" w:rsidRPr="00F830D2">
        <w:rPr>
          <w:rFonts w:cs="Arial"/>
          <w:lang w:val="en-US"/>
        </w:rPr>
        <w:t>simultaneously</w:t>
      </w:r>
      <w:r w:rsidR="00B97C9D" w:rsidRPr="00696230">
        <w:rPr>
          <w:rFonts w:cs="Arial"/>
          <w:lang w:val="sr-Latn-RS"/>
        </w:rPr>
        <w:t>. Due to the mentioned changes, unemployment rate was by 5.1 p.</w:t>
      </w:r>
      <w:r w:rsidR="00F5071E">
        <w:rPr>
          <w:rFonts w:cs="Arial"/>
          <w:lang w:val="sr-Latn-RS"/>
        </w:rPr>
        <w:t xml:space="preserve"> </w:t>
      </w:r>
      <w:r w:rsidR="00B97C9D" w:rsidRPr="00696230">
        <w:rPr>
          <w:rFonts w:cs="Arial"/>
          <w:lang w:val="sr-Latn-RS"/>
        </w:rPr>
        <w:t>p</w:t>
      </w:r>
      <w:r w:rsidR="00AE2555">
        <w:rPr>
          <w:rFonts w:cs="Arial"/>
          <w:lang w:val="sr-Latn-RS"/>
        </w:rPr>
        <w:t>. lower relative to the same perio</w:t>
      </w:r>
      <w:r w:rsidR="00B97C9D" w:rsidRPr="00696230">
        <w:rPr>
          <w:rFonts w:cs="Arial"/>
          <w:lang w:val="sr-Latn-RS"/>
        </w:rPr>
        <w:t>d</w:t>
      </w:r>
      <w:r w:rsidR="00AE2555">
        <w:rPr>
          <w:rFonts w:cs="Arial"/>
          <w:lang w:val="sr-Latn-RS"/>
        </w:rPr>
        <w:t xml:space="preserve"> of</w:t>
      </w:r>
      <w:r w:rsidR="00B97C9D" w:rsidRPr="00696230">
        <w:rPr>
          <w:rFonts w:cs="Arial"/>
          <w:lang w:val="sr-Latn-RS"/>
        </w:rPr>
        <w:t xml:space="preserve"> 2019, and </w:t>
      </w:r>
      <w:r w:rsidR="000501DC">
        <w:rPr>
          <w:rFonts w:cs="Arial"/>
          <w:lang w:val="sr-Latn-RS"/>
        </w:rPr>
        <w:t>reached the value of</w:t>
      </w:r>
      <w:r w:rsidR="00B97C9D" w:rsidRPr="00696230">
        <w:rPr>
          <w:rFonts w:cs="Arial"/>
          <w:lang w:val="sr-Latn-RS"/>
        </w:rPr>
        <w:t xml:space="preserve"> 25.5%. </w:t>
      </w:r>
    </w:p>
    <w:p w:rsidR="00B97C9D" w:rsidRPr="00696230" w:rsidRDefault="00B97C9D" w:rsidP="00B97C9D">
      <w:pPr>
        <w:spacing w:before="120" w:after="120" w:line="264" w:lineRule="auto"/>
        <w:ind w:firstLine="403"/>
        <w:jc w:val="both"/>
        <w:rPr>
          <w:rFonts w:cs="Arial"/>
          <w:lang w:val="sr-Latn-RS"/>
        </w:rPr>
      </w:pPr>
      <w:bookmarkStart w:id="0" w:name="_GoBack"/>
      <w:bookmarkEnd w:id="0"/>
      <w:r w:rsidRPr="00696230">
        <w:rPr>
          <w:rFonts w:cs="Arial"/>
          <w:lang w:val="sr-Latn-RS"/>
        </w:rPr>
        <w:t>The so called NEET rate,</w:t>
      </w:r>
      <w:r w:rsidR="002F373F">
        <w:rPr>
          <w:rFonts w:cs="Arial"/>
          <w:lang w:val="sr-Latn-RS"/>
        </w:rPr>
        <w:t xml:space="preserve"> which represents</w:t>
      </w:r>
      <w:r w:rsidRPr="00696230">
        <w:rPr>
          <w:rFonts w:cs="Arial"/>
          <w:lang w:val="sr-Latn-RS"/>
        </w:rPr>
        <w:t xml:space="preserve"> share of the young aged 15-24 who neither work nor attend school in total population of young amounted to 14.6% and </w:t>
      </w:r>
      <w:r w:rsidR="00C17C8C" w:rsidRPr="00696230">
        <w:rPr>
          <w:rFonts w:cs="Arial"/>
          <w:lang w:val="sr-Latn-RS"/>
        </w:rPr>
        <w:t>decreased by 0.2 p.</w:t>
      </w:r>
      <w:r w:rsidR="00C17C8C">
        <w:rPr>
          <w:rFonts w:cs="Arial"/>
          <w:lang w:val="sr-Latn-RS"/>
        </w:rPr>
        <w:t xml:space="preserve"> </w:t>
      </w:r>
      <w:r w:rsidR="00C17C8C" w:rsidRPr="00696230">
        <w:rPr>
          <w:rFonts w:cs="Arial"/>
          <w:lang w:val="sr-Latn-RS"/>
        </w:rPr>
        <w:t xml:space="preserve">p. </w:t>
      </w:r>
      <w:r w:rsidR="00C17C8C">
        <w:rPr>
          <w:rFonts w:cs="Arial"/>
          <w:lang w:val="sr-Latn-RS"/>
        </w:rPr>
        <w:t xml:space="preserve">, </w:t>
      </w:r>
      <w:r w:rsidRPr="00696230">
        <w:rPr>
          <w:rFonts w:cs="Arial"/>
          <w:lang w:val="sr-Latn-RS"/>
        </w:rPr>
        <w:t>relative to the same period</w:t>
      </w:r>
      <w:r w:rsidR="00C17C8C">
        <w:rPr>
          <w:rFonts w:cs="Arial"/>
          <w:lang w:val="sr-Latn-RS"/>
        </w:rPr>
        <w:t xml:space="preserve"> of 2019</w:t>
      </w:r>
      <w:r w:rsidRPr="00696230">
        <w:rPr>
          <w:rFonts w:cs="Arial"/>
          <w:lang w:val="sr-Latn-RS"/>
        </w:rPr>
        <w:t xml:space="preserve">. </w:t>
      </w:r>
    </w:p>
    <w:p w:rsidR="009D7810" w:rsidRPr="00696230" w:rsidRDefault="00B97C9D" w:rsidP="00B97C9D">
      <w:pPr>
        <w:spacing w:before="120" w:after="120" w:line="264" w:lineRule="auto"/>
        <w:ind w:firstLine="403"/>
        <w:jc w:val="both"/>
        <w:rPr>
          <w:lang w:val="sr-Latn-RS"/>
        </w:rPr>
      </w:pPr>
      <w:r w:rsidRPr="00696230">
        <w:rPr>
          <w:lang w:val="sr-Latn-RS"/>
        </w:rPr>
        <w:t xml:space="preserve">Percentage of </w:t>
      </w:r>
      <w:r w:rsidR="00981611">
        <w:rPr>
          <w:lang w:val="sr-Latn-RS"/>
        </w:rPr>
        <w:t>the young aged 18-24 who, at best</w:t>
      </w:r>
      <w:r w:rsidRPr="00696230">
        <w:rPr>
          <w:lang w:val="sr-Latn-RS"/>
        </w:rPr>
        <w:t xml:space="preserve">, completed primary school and did not continue further </w:t>
      </w:r>
      <w:r w:rsidRPr="00613C40">
        <w:rPr>
          <w:lang w:val="sr-Latn-RS"/>
        </w:rPr>
        <w:t xml:space="preserve">education </w:t>
      </w:r>
      <w:r w:rsidR="00613C40" w:rsidRPr="00613C40">
        <w:rPr>
          <w:lang w:val="sr-Latn-RS"/>
        </w:rPr>
        <w:t>(</w:t>
      </w:r>
      <w:r w:rsidR="00745B7D" w:rsidRPr="00613C40">
        <w:rPr>
          <w:rFonts w:cs="Arial"/>
          <w:lang w:val="sr-Latn-RS"/>
        </w:rPr>
        <w:t>in</w:t>
      </w:r>
      <w:r w:rsidR="00745B7D" w:rsidRPr="00696230">
        <w:rPr>
          <w:rFonts w:cs="Arial"/>
          <w:lang w:val="sr-Latn-RS"/>
        </w:rPr>
        <w:t xml:space="preserve"> the last four weeks they were not engaged in education or training</w:t>
      </w:r>
      <w:r w:rsidR="00DF72AE">
        <w:rPr>
          <w:lang w:val="sr-Latn-RS"/>
        </w:rPr>
        <w:t xml:space="preserve">), decreased </w:t>
      </w:r>
      <w:r w:rsidR="009D7810" w:rsidRPr="00696230">
        <w:rPr>
          <w:lang w:val="sr-Latn-RS"/>
        </w:rPr>
        <w:t>compared with the first quarter</w:t>
      </w:r>
      <w:r w:rsidR="00DF72AE">
        <w:rPr>
          <w:lang w:val="sr-Latn-RS"/>
        </w:rPr>
        <w:t xml:space="preserve"> of</w:t>
      </w:r>
      <w:r w:rsidR="009D7810" w:rsidRPr="00696230">
        <w:rPr>
          <w:lang w:val="sr-Latn-RS"/>
        </w:rPr>
        <w:t xml:space="preserve"> 2019, and amounted to 6.4%.</w:t>
      </w:r>
    </w:p>
    <w:p w:rsidR="00745B7D" w:rsidRPr="00696230" w:rsidRDefault="00745B7D" w:rsidP="00696230">
      <w:pPr>
        <w:spacing w:before="480" w:after="120" w:line="264" w:lineRule="auto"/>
        <w:jc w:val="both"/>
        <w:rPr>
          <w:rStyle w:val="Heading1Char"/>
          <w:rFonts w:ascii="Arial" w:hAnsi="Arial" w:cs="Arial"/>
          <w:iCs/>
          <w:color w:val="2E74B5"/>
          <w:sz w:val="22"/>
          <w:szCs w:val="22"/>
          <w:lang w:val="sr-Latn-RS"/>
        </w:rPr>
      </w:pPr>
      <w:r w:rsidRPr="00696230">
        <w:rPr>
          <w:rStyle w:val="Heading1Char"/>
          <w:rFonts w:ascii="Arial" w:hAnsi="Arial" w:cs="Arial"/>
          <w:b w:val="0"/>
          <w:iCs/>
          <w:color w:val="2E74B5"/>
          <w:sz w:val="22"/>
          <w:szCs w:val="22"/>
          <w:lang w:val="sr-Latn-RS"/>
        </w:rPr>
        <w:t>Comparison with the previous quarter</w:t>
      </w:r>
      <w:r w:rsidRPr="00696230">
        <w:rPr>
          <w:rStyle w:val="Heading1Char"/>
          <w:rFonts w:ascii="Arial" w:hAnsi="Arial" w:cs="Arial"/>
          <w:iCs/>
          <w:color w:val="2E74B5"/>
          <w:sz w:val="22"/>
          <w:szCs w:val="22"/>
          <w:lang w:val="sr-Latn-RS"/>
        </w:rPr>
        <w:t xml:space="preserve"> </w:t>
      </w:r>
    </w:p>
    <w:p w:rsidR="00DA3F28" w:rsidRDefault="00745B7D" w:rsidP="00777E7E">
      <w:pPr>
        <w:pStyle w:val="NormalWeb"/>
        <w:spacing w:beforeLines="0" w:afterLines="0" w:line="288" w:lineRule="auto"/>
        <w:ind w:firstLine="403"/>
        <w:jc w:val="both"/>
        <w:rPr>
          <w:rFonts w:ascii="Arial" w:eastAsia="Times New Roman" w:hAnsi="Arial" w:cs="Arial"/>
          <w:lang w:val="sr-Latn-RS"/>
        </w:rPr>
      </w:pPr>
      <w:r w:rsidRPr="00696230">
        <w:rPr>
          <w:rFonts w:ascii="Arial" w:eastAsia="Times New Roman" w:hAnsi="Arial" w:cs="Arial"/>
          <w:lang w:val="sr-Latn-RS"/>
        </w:rPr>
        <w:t>In the first quarter</w:t>
      </w:r>
      <w:r w:rsidR="002548FC">
        <w:rPr>
          <w:rFonts w:ascii="Arial" w:eastAsia="Times New Roman" w:hAnsi="Arial" w:cs="Arial"/>
          <w:lang w:val="sr-Latn-RS"/>
        </w:rPr>
        <w:t xml:space="preserve"> of</w:t>
      </w:r>
      <w:r w:rsidRPr="00696230">
        <w:rPr>
          <w:rFonts w:ascii="Arial" w:eastAsia="Times New Roman" w:hAnsi="Arial" w:cs="Arial"/>
          <w:lang w:val="sr-Latn-RS"/>
        </w:rPr>
        <w:t xml:space="preserve"> 2020, compared with the fourth quarter </w:t>
      </w:r>
      <w:r w:rsidR="002548FC">
        <w:rPr>
          <w:rFonts w:ascii="Arial" w:eastAsia="Times New Roman" w:hAnsi="Arial" w:cs="Arial"/>
          <w:lang w:val="sr-Latn-RS"/>
        </w:rPr>
        <w:t>of 2019, employment</w:t>
      </w:r>
      <w:r w:rsidRPr="00696230">
        <w:rPr>
          <w:rFonts w:ascii="Arial" w:eastAsia="Times New Roman" w:hAnsi="Arial" w:cs="Arial"/>
          <w:lang w:val="sr-Latn-RS"/>
        </w:rPr>
        <w:t xml:space="preserve"> decreased by 60</w:t>
      </w:r>
      <w:r w:rsidR="00696230">
        <w:rPr>
          <w:rFonts w:ascii="Arial" w:eastAsia="Times New Roman" w:hAnsi="Arial" w:cs="Arial"/>
          <w:lang w:val="sr-Latn-RS"/>
        </w:rPr>
        <w:t> </w:t>
      </w:r>
      <w:r w:rsidRPr="00696230">
        <w:rPr>
          <w:rFonts w:ascii="Arial" w:eastAsia="Times New Roman" w:hAnsi="Arial" w:cs="Arial"/>
          <w:lang w:val="sr-Latn-RS"/>
        </w:rPr>
        <w:t>800, whereof</w:t>
      </w:r>
      <w:r w:rsidR="008B60B4">
        <w:rPr>
          <w:rFonts w:ascii="Arial" w:eastAsia="Times New Roman" w:hAnsi="Arial" w:cs="Arial"/>
          <w:lang w:val="sr-Latn-RS"/>
        </w:rPr>
        <w:t xml:space="preserve"> by 51 400 in informal sector. </w:t>
      </w:r>
    </w:p>
    <w:p w:rsidR="00DA3F28" w:rsidRDefault="00DA3F28" w:rsidP="00777E7E">
      <w:pPr>
        <w:pStyle w:val="NormalWeb"/>
        <w:spacing w:beforeLines="0" w:afterLines="0" w:line="288" w:lineRule="auto"/>
        <w:ind w:firstLine="403"/>
        <w:jc w:val="both"/>
        <w:rPr>
          <w:rFonts w:ascii="Arial" w:eastAsia="Times New Roman" w:hAnsi="Arial" w:cs="Arial"/>
          <w:lang w:val="sr-Latn-RS"/>
        </w:rPr>
      </w:pPr>
    </w:p>
    <w:p w:rsidR="00777E7E" w:rsidRDefault="002548FC" w:rsidP="00777E7E">
      <w:pPr>
        <w:pStyle w:val="NormalWeb"/>
        <w:spacing w:beforeLines="0" w:afterLines="0" w:line="288" w:lineRule="auto"/>
        <w:ind w:firstLine="403"/>
        <w:jc w:val="both"/>
        <w:rPr>
          <w:rFonts w:ascii="Arial" w:eastAsia="Times New Roman" w:hAnsi="Arial" w:cs="Arial"/>
          <w:lang w:val="sr-Latn-RS"/>
        </w:rPr>
      </w:pPr>
      <w:r>
        <w:rPr>
          <w:rFonts w:ascii="Arial" w:eastAsia="Times New Roman" w:hAnsi="Arial" w:cs="Arial"/>
          <w:lang w:val="sr-Latn-RS"/>
        </w:rPr>
        <w:t>Decrease in</w:t>
      </w:r>
      <w:r w:rsidR="00B05B03" w:rsidRPr="00696230">
        <w:rPr>
          <w:rFonts w:ascii="Arial" w:eastAsia="Times New Roman" w:hAnsi="Arial" w:cs="Arial"/>
          <w:lang w:val="sr-Latn-RS"/>
        </w:rPr>
        <w:t xml:space="preserve"> </w:t>
      </w:r>
      <w:r w:rsidR="00745B7D" w:rsidRPr="00696230">
        <w:rPr>
          <w:rFonts w:ascii="Arial" w:eastAsia="Times New Roman" w:hAnsi="Arial" w:cs="Arial"/>
          <w:lang w:val="sr-Latn-RS"/>
        </w:rPr>
        <w:t>employment</w:t>
      </w:r>
      <w:r>
        <w:rPr>
          <w:rFonts w:ascii="Arial" w:eastAsia="Times New Roman" w:hAnsi="Arial" w:cs="Arial"/>
          <w:lang w:val="sr-Latn-RS"/>
        </w:rPr>
        <w:t xml:space="preserve"> was</w:t>
      </w:r>
      <w:r w:rsidR="00745B7D" w:rsidRPr="00696230">
        <w:rPr>
          <w:rFonts w:ascii="Arial" w:eastAsia="Times New Roman" w:hAnsi="Arial" w:cs="Arial"/>
          <w:lang w:val="sr-Latn-RS"/>
        </w:rPr>
        <w:t xml:space="preserve"> </w:t>
      </w:r>
      <w:r w:rsidR="00B05B03" w:rsidRPr="00696230">
        <w:rPr>
          <w:rFonts w:ascii="Arial" w:eastAsia="Times New Roman" w:hAnsi="Arial" w:cs="Arial"/>
          <w:lang w:val="sr-Latn-RS"/>
        </w:rPr>
        <w:t>primarily related to males, p</w:t>
      </w:r>
      <w:r w:rsidR="00A83320" w:rsidRPr="00696230">
        <w:rPr>
          <w:rFonts w:ascii="Arial" w:eastAsia="Times New Roman" w:hAnsi="Arial" w:cs="Arial"/>
          <w:lang w:val="sr-Latn-RS"/>
        </w:rPr>
        <w:t>e</w:t>
      </w:r>
      <w:r w:rsidR="00B05B03" w:rsidRPr="00696230">
        <w:rPr>
          <w:rFonts w:ascii="Arial" w:eastAsia="Times New Roman" w:hAnsi="Arial" w:cs="Arial"/>
          <w:lang w:val="sr-Latn-RS"/>
        </w:rPr>
        <w:t xml:space="preserve">rsons aged 55-64, as well as </w:t>
      </w:r>
      <w:r w:rsidR="00205B16" w:rsidRPr="00696230">
        <w:rPr>
          <w:rFonts w:ascii="Arial" w:eastAsia="Times New Roman" w:hAnsi="Arial" w:cs="Arial"/>
          <w:lang w:val="sr-Latn-RS"/>
        </w:rPr>
        <w:t>those</w:t>
      </w:r>
      <w:r w:rsidR="00B05B03" w:rsidRPr="00696230">
        <w:rPr>
          <w:rFonts w:ascii="Arial" w:eastAsia="Times New Roman" w:hAnsi="Arial" w:cs="Arial"/>
          <w:lang w:val="sr-Latn-RS"/>
        </w:rPr>
        <w:t xml:space="preserve"> with</w:t>
      </w:r>
      <w:r w:rsidR="00607E0F">
        <w:rPr>
          <w:rFonts w:ascii="Arial" w:eastAsia="Times New Roman" w:hAnsi="Arial" w:cs="Arial"/>
          <w:lang w:val="sr-Latn-RS"/>
        </w:rPr>
        <w:t xml:space="preserve"> </w:t>
      </w:r>
      <w:r w:rsidR="00607E0F" w:rsidRPr="00696230">
        <w:rPr>
          <w:rFonts w:ascii="Arial" w:eastAsia="Times New Roman" w:hAnsi="Arial" w:cs="Arial"/>
          <w:lang w:val="sr-Latn-RS"/>
        </w:rPr>
        <w:t>completed</w:t>
      </w:r>
      <w:r w:rsidR="00A16D64">
        <w:rPr>
          <w:rFonts w:ascii="Arial" w:eastAsia="Times New Roman" w:hAnsi="Arial" w:cs="Arial"/>
          <w:lang w:val="sr-Latn-RS"/>
        </w:rPr>
        <w:t xml:space="preserve"> secondary education</w:t>
      </w:r>
      <w:r w:rsidR="00B05B03" w:rsidRPr="00696230">
        <w:rPr>
          <w:rFonts w:ascii="Arial" w:eastAsia="Times New Roman" w:hAnsi="Arial" w:cs="Arial"/>
          <w:lang w:val="sr-Latn-RS"/>
        </w:rPr>
        <w:t xml:space="preserve">, while in the category of persons with tertiary education, employment was increased. </w:t>
      </w:r>
    </w:p>
    <w:p w:rsidR="00DC7999" w:rsidRDefault="00DC7999" w:rsidP="00777E7E">
      <w:pPr>
        <w:pStyle w:val="NormalWeb"/>
        <w:spacing w:beforeLines="0" w:afterLines="0" w:line="288" w:lineRule="auto"/>
        <w:ind w:firstLine="403"/>
        <w:jc w:val="both"/>
        <w:rPr>
          <w:rFonts w:ascii="Arial" w:eastAsia="Times New Roman" w:hAnsi="Arial" w:cs="Arial"/>
          <w:lang w:val="sr-Latn-RS"/>
        </w:rPr>
      </w:pPr>
    </w:p>
    <w:p w:rsidR="00696230" w:rsidRPr="00696230" w:rsidRDefault="00B05B03" w:rsidP="00777E7E">
      <w:pPr>
        <w:pStyle w:val="NormalWeb"/>
        <w:spacing w:beforeLines="0" w:afterLines="0" w:line="288" w:lineRule="auto"/>
        <w:ind w:firstLine="403"/>
        <w:jc w:val="both"/>
        <w:rPr>
          <w:rFonts w:ascii="Arial" w:eastAsia="Times New Roman" w:hAnsi="Arial" w:cs="Arial"/>
          <w:lang w:val="sr-Latn-RS"/>
        </w:rPr>
      </w:pPr>
      <w:r w:rsidRPr="00696230">
        <w:rPr>
          <w:rFonts w:ascii="Arial" w:eastAsia="Times New Roman" w:hAnsi="Arial" w:cs="Arial"/>
          <w:lang w:val="sr-Latn-RS"/>
        </w:rPr>
        <w:t xml:space="preserve">Employment </w:t>
      </w:r>
      <w:r w:rsidR="00745B7D" w:rsidRPr="00696230">
        <w:rPr>
          <w:rFonts w:ascii="Arial" w:eastAsia="Times New Roman" w:hAnsi="Arial" w:cs="Arial"/>
          <w:lang w:val="sr-Latn-RS"/>
        </w:rPr>
        <w:t xml:space="preserve">was decreased </w:t>
      </w:r>
      <w:r w:rsidRPr="00696230">
        <w:rPr>
          <w:rFonts w:ascii="Arial" w:eastAsia="Times New Roman" w:hAnsi="Arial" w:cs="Arial"/>
          <w:lang w:val="sr-Latn-RS"/>
        </w:rPr>
        <w:t xml:space="preserve">in Region </w:t>
      </w:r>
      <w:r w:rsidR="00205B16" w:rsidRPr="00696230">
        <w:rPr>
          <w:rFonts w:ascii="Arial" w:eastAsia="Times New Roman" w:hAnsi="Arial" w:cs="Arial"/>
          <w:lang w:val="sr-Latn-RS"/>
        </w:rPr>
        <w:t>Juzne</w:t>
      </w:r>
      <w:r w:rsidRPr="00696230">
        <w:rPr>
          <w:rFonts w:ascii="Arial" w:eastAsia="Times New Roman" w:hAnsi="Arial" w:cs="Arial"/>
          <w:lang w:val="sr-Latn-RS"/>
        </w:rPr>
        <w:t xml:space="preserve"> I Istocne Srbije </w:t>
      </w:r>
      <w:r w:rsidR="005B76B4">
        <w:rPr>
          <w:rFonts w:ascii="Arial" w:eastAsia="Times New Roman" w:hAnsi="Arial" w:cs="Arial"/>
          <w:lang w:val="sr-Cyrl-RS"/>
        </w:rPr>
        <w:t>(-</w:t>
      </w:r>
      <w:r w:rsidRPr="00696230">
        <w:rPr>
          <w:rFonts w:ascii="Arial" w:eastAsia="Times New Roman" w:hAnsi="Arial" w:cs="Arial"/>
          <w:lang w:val="sr-Latn-RS"/>
        </w:rPr>
        <w:t xml:space="preserve"> 31</w:t>
      </w:r>
      <w:r w:rsidR="00696230">
        <w:rPr>
          <w:rFonts w:ascii="Arial" w:eastAsia="Times New Roman" w:hAnsi="Arial" w:cs="Arial"/>
          <w:lang w:val="sr-Latn-RS"/>
        </w:rPr>
        <w:t> </w:t>
      </w:r>
      <w:r w:rsidR="00E26579" w:rsidRPr="00696230">
        <w:rPr>
          <w:rFonts w:ascii="Arial" w:eastAsia="Times New Roman" w:hAnsi="Arial" w:cs="Arial"/>
          <w:lang w:val="sr-Latn-RS"/>
        </w:rPr>
        <w:t>0</w:t>
      </w:r>
      <w:r w:rsidRPr="00696230">
        <w:rPr>
          <w:rFonts w:ascii="Arial" w:eastAsia="Times New Roman" w:hAnsi="Arial" w:cs="Arial"/>
          <w:lang w:val="sr-Latn-RS"/>
        </w:rPr>
        <w:t>00</w:t>
      </w:r>
      <w:r w:rsidR="005B76B4">
        <w:rPr>
          <w:rFonts w:ascii="Arial" w:eastAsia="Times New Roman" w:hAnsi="Arial" w:cs="Arial"/>
          <w:lang w:val="sr-Cyrl-RS"/>
        </w:rPr>
        <w:t>)</w:t>
      </w:r>
      <w:r w:rsidRPr="00696230">
        <w:rPr>
          <w:rFonts w:ascii="Arial" w:eastAsia="Times New Roman" w:hAnsi="Arial" w:cs="Arial"/>
          <w:lang w:val="sr-Latn-RS"/>
        </w:rPr>
        <w:t xml:space="preserve">, </w:t>
      </w:r>
      <w:r w:rsidR="001279E3" w:rsidRPr="00696230">
        <w:rPr>
          <w:rFonts w:ascii="Arial" w:eastAsia="Times New Roman" w:hAnsi="Arial" w:cs="Arial"/>
          <w:lang w:val="sr-Latn-RS"/>
        </w:rPr>
        <w:t>R</w:t>
      </w:r>
      <w:r w:rsidR="00047F19" w:rsidRPr="00696230">
        <w:rPr>
          <w:rFonts w:ascii="Arial" w:eastAsia="Times New Roman" w:hAnsi="Arial" w:cs="Arial"/>
          <w:lang w:val="sr-Latn-RS"/>
        </w:rPr>
        <w:t>egion Vojvodine</w:t>
      </w:r>
      <w:r w:rsidRPr="00696230">
        <w:rPr>
          <w:rFonts w:ascii="Arial" w:eastAsia="Times New Roman" w:hAnsi="Arial" w:cs="Arial"/>
          <w:lang w:val="sr-Latn-RS"/>
        </w:rPr>
        <w:t xml:space="preserve"> </w:t>
      </w:r>
      <w:r w:rsidR="005B76B4">
        <w:rPr>
          <w:rFonts w:ascii="Arial" w:eastAsia="Times New Roman" w:hAnsi="Arial" w:cs="Arial"/>
          <w:lang w:val="sr-Cyrl-RS"/>
        </w:rPr>
        <w:t>(-</w:t>
      </w:r>
      <w:r w:rsidRPr="00696230">
        <w:rPr>
          <w:rFonts w:ascii="Arial" w:eastAsia="Times New Roman" w:hAnsi="Arial" w:cs="Arial"/>
          <w:lang w:val="sr-Latn-RS"/>
        </w:rPr>
        <w:t>27 900</w:t>
      </w:r>
      <w:r w:rsidR="005B76B4">
        <w:rPr>
          <w:rFonts w:ascii="Arial" w:eastAsia="Times New Roman" w:hAnsi="Arial" w:cs="Arial"/>
          <w:lang w:val="sr-Cyrl-RS"/>
        </w:rPr>
        <w:t>)</w:t>
      </w:r>
      <w:r w:rsidRPr="00696230">
        <w:rPr>
          <w:rFonts w:ascii="Arial" w:eastAsia="Times New Roman" w:hAnsi="Arial" w:cs="Arial"/>
          <w:lang w:val="sr-Latn-RS"/>
        </w:rPr>
        <w:t xml:space="preserve">, </w:t>
      </w:r>
      <w:r w:rsidR="002E5AE9">
        <w:rPr>
          <w:rFonts w:ascii="Arial" w:eastAsia="Times New Roman" w:hAnsi="Arial" w:cs="Arial"/>
          <w:lang w:val="sr-Latn-RS"/>
        </w:rPr>
        <w:t>as well as Region Sumadije i Zapadne Srbije (-13</w:t>
      </w:r>
      <w:r w:rsidR="0094283F">
        <w:rPr>
          <w:rFonts w:ascii="Arial" w:eastAsia="Times New Roman" w:hAnsi="Arial" w:cs="Arial"/>
          <w:lang w:val="sr-Cyrl-RS"/>
        </w:rPr>
        <w:t xml:space="preserve"> </w:t>
      </w:r>
      <w:r w:rsidR="002E5AE9">
        <w:rPr>
          <w:rFonts w:ascii="Arial" w:eastAsia="Times New Roman" w:hAnsi="Arial" w:cs="Arial"/>
          <w:lang w:val="sr-Latn-RS"/>
        </w:rPr>
        <w:t xml:space="preserve">800), </w:t>
      </w:r>
      <w:r w:rsidR="00154B07">
        <w:rPr>
          <w:rFonts w:ascii="Arial" w:eastAsia="Times New Roman" w:hAnsi="Arial" w:cs="Arial"/>
          <w:lang w:val="sr-Latn-RS"/>
        </w:rPr>
        <w:t>whereas</w:t>
      </w:r>
      <w:r w:rsidRPr="00696230">
        <w:rPr>
          <w:rFonts w:ascii="Arial" w:eastAsia="Times New Roman" w:hAnsi="Arial" w:cs="Arial"/>
          <w:lang w:val="sr-Latn-RS"/>
        </w:rPr>
        <w:t xml:space="preserve"> in Beogradski Region, </w:t>
      </w:r>
      <w:r w:rsidR="001279E3" w:rsidRPr="00696230">
        <w:rPr>
          <w:rFonts w:ascii="Arial" w:eastAsia="Times New Roman" w:hAnsi="Arial" w:cs="Arial"/>
          <w:lang w:val="sr-Latn-RS"/>
        </w:rPr>
        <w:t xml:space="preserve">the </w:t>
      </w:r>
      <w:r w:rsidRPr="00696230">
        <w:rPr>
          <w:rFonts w:ascii="Arial" w:eastAsia="Times New Roman" w:hAnsi="Arial" w:cs="Arial"/>
          <w:lang w:val="sr-Latn-RS"/>
        </w:rPr>
        <w:t>number of employed</w:t>
      </w:r>
      <w:r w:rsidR="00696230">
        <w:rPr>
          <w:rFonts w:ascii="Arial" w:eastAsia="Times New Roman" w:hAnsi="Arial" w:cs="Arial"/>
          <w:lang w:val="sr-Latn-RS"/>
        </w:rPr>
        <w:t xml:space="preserve"> </w:t>
      </w:r>
      <w:r w:rsidRPr="00696230">
        <w:rPr>
          <w:rFonts w:ascii="Arial" w:eastAsia="Times New Roman" w:hAnsi="Arial" w:cs="Arial"/>
          <w:lang w:val="sr-Latn-RS"/>
        </w:rPr>
        <w:t xml:space="preserve">increased </w:t>
      </w:r>
      <w:r w:rsidR="005B76B4">
        <w:rPr>
          <w:rFonts w:ascii="Arial" w:eastAsia="Times New Roman" w:hAnsi="Arial" w:cs="Arial"/>
          <w:lang w:val="sr-Cyrl-RS"/>
        </w:rPr>
        <w:t>(+</w:t>
      </w:r>
      <w:r w:rsidRPr="00696230">
        <w:rPr>
          <w:rFonts w:ascii="Arial" w:eastAsia="Times New Roman" w:hAnsi="Arial" w:cs="Arial"/>
          <w:lang w:val="sr-Latn-RS"/>
        </w:rPr>
        <w:t>11</w:t>
      </w:r>
      <w:r w:rsidR="005B76B4">
        <w:rPr>
          <w:rFonts w:ascii="Arial" w:eastAsia="Times New Roman" w:hAnsi="Arial" w:cs="Arial"/>
          <w:lang w:val="sr-Cyrl-RS"/>
        </w:rPr>
        <w:t> </w:t>
      </w:r>
      <w:r w:rsidR="002911F4" w:rsidRPr="00696230">
        <w:rPr>
          <w:rFonts w:ascii="Arial" w:eastAsia="Times New Roman" w:hAnsi="Arial" w:cs="Arial"/>
          <w:lang w:val="sr-Latn-RS"/>
        </w:rPr>
        <w:t xml:space="preserve"> 9</w:t>
      </w:r>
      <w:r w:rsidRPr="00696230">
        <w:rPr>
          <w:rFonts w:ascii="Arial" w:eastAsia="Times New Roman" w:hAnsi="Arial" w:cs="Arial"/>
          <w:lang w:val="sr-Latn-RS"/>
        </w:rPr>
        <w:t>00</w:t>
      </w:r>
      <w:r w:rsidR="005B76B4">
        <w:rPr>
          <w:rFonts w:ascii="Arial" w:eastAsia="Times New Roman" w:hAnsi="Arial" w:cs="Arial"/>
          <w:lang w:val="sr-Cyrl-RS"/>
        </w:rPr>
        <w:t>)</w:t>
      </w:r>
      <w:r w:rsidRPr="00696230">
        <w:rPr>
          <w:rFonts w:ascii="Arial" w:eastAsia="Times New Roman" w:hAnsi="Arial" w:cs="Arial"/>
          <w:lang w:val="sr-Latn-RS"/>
        </w:rPr>
        <w:t>.</w:t>
      </w:r>
    </w:p>
    <w:p w:rsidR="00A83320" w:rsidRPr="006D2306" w:rsidRDefault="000725A5" w:rsidP="000725A5">
      <w:pPr>
        <w:spacing w:before="120" w:after="120"/>
        <w:rPr>
          <w:rFonts w:eastAsia="Calibri" w:cs="Arial"/>
          <w:lang w:val="sr-Latn-RS"/>
        </w:rPr>
      </w:pPr>
      <w:r>
        <w:rPr>
          <w:rFonts w:eastAsia="Calibri" w:cs="Arial"/>
          <w:lang w:val="sr-Latn-RS"/>
        </w:rPr>
        <w:t xml:space="preserve">       </w:t>
      </w:r>
      <w:r w:rsidR="009A24AE">
        <w:rPr>
          <w:rFonts w:eastAsia="Calibri" w:cs="Arial"/>
          <w:lang w:val="sr-Latn-RS"/>
        </w:rPr>
        <w:t>Beside decrease in the employment</w:t>
      </w:r>
      <w:r w:rsidR="00A83320" w:rsidRPr="006D2306">
        <w:rPr>
          <w:rFonts w:eastAsia="Calibri" w:cs="Arial"/>
          <w:lang w:val="sr-Latn-RS"/>
        </w:rPr>
        <w:t>, unemployment decrease</w:t>
      </w:r>
      <w:r w:rsidR="00D023D0">
        <w:rPr>
          <w:rFonts w:eastAsia="Calibri" w:cs="Arial"/>
          <w:lang w:val="sr-Latn-RS"/>
        </w:rPr>
        <w:t>d</w:t>
      </w:r>
      <w:r w:rsidR="00A83320" w:rsidRPr="006D2306">
        <w:rPr>
          <w:rFonts w:eastAsia="Calibri" w:cs="Arial"/>
          <w:lang w:val="sr-Latn-RS"/>
        </w:rPr>
        <w:t xml:space="preserve"> (-3 700) and inactivity increase</w:t>
      </w:r>
      <w:r w:rsidR="00245052">
        <w:rPr>
          <w:rFonts w:eastAsia="Calibri" w:cs="Arial"/>
          <w:lang w:val="sr-Latn-RS"/>
        </w:rPr>
        <w:t>d</w:t>
      </w:r>
      <w:r w:rsidR="00A83320" w:rsidRPr="006D2306">
        <w:rPr>
          <w:rFonts w:eastAsia="Calibri" w:cs="Arial"/>
          <w:lang w:val="sr-Latn-RS"/>
        </w:rPr>
        <w:t xml:space="preserve"> (+57 200).</w:t>
      </w:r>
    </w:p>
    <w:p w:rsidR="00A83320" w:rsidRPr="00696230" w:rsidRDefault="00C1542E" w:rsidP="00C1542E">
      <w:pPr>
        <w:spacing w:before="120" w:after="120" w:line="264" w:lineRule="auto"/>
        <w:jc w:val="both"/>
        <w:rPr>
          <w:rFonts w:eastAsia="Calibri" w:cs="Arial"/>
          <w:lang w:val="sr-Latn-RS"/>
        </w:rPr>
      </w:pPr>
      <w:r>
        <w:rPr>
          <w:rFonts w:eastAsia="Calibri" w:cs="Arial"/>
          <w:lang w:val="sr-Latn-RS"/>
        </w:rPr>
        <w:t xml:space="preserve">       C</w:t>
      </w:r>
      <w:r w:rsidR="00A83320" w:rsidRPr="00696230">
        <w:rPr>
          <w:rFonts w:eastAsia="Calibri" w:cs="Arial"/>
          <w:lang w:val="sr-Latn-RS"/>
        </w:rPr>
        <w:t>ompared with the previous quarter, employment rate decreased by 1.0 p.</w:t>
      </w:r>
      <w:r w:rsidR="00B90F02">
        <w:rPr>
          <w:rFonts w:eastAsia="Calibri" w:cs="Arial"/>
          <w:lang w:val="sr-Latn-RS"/>
        </w:rPr>
        <w:t xml:space="preserve"> </w:t>
      </w:r>
      <w:r w:rsidR="00A83320" w:rsidRPr="00696230">
        <w:rPr>
          <w:rFonts w:eastAsia="Calibri" w:cs="Arial"/>
          <w:lang w:val="sr-Latn-RS"/>
        </w:rPr>
        <w:t xml:space="preserve">p., while </w:t>
      </w:r>
      <w:r w:rsidR="00205B16" w:rsidRPr="00696230">
        <w:rPr>
          <w:rFonts w:eastAsia="Calibri" w:cs="Arial"/>
          <w:lang w:val="sr-Latn-RS"/>
        </w:rPr>
        <w:t>unemployment</w:t>
      </w:r>
      <w:r w:rsidR="00A83320" w:rsidRPr="00696230">
        <w:rPr>
          <w:rFonts w:eastAsia="Calibri" w:cs="Arial"/>
          <w:lang w:val="sr-Latn-RS"/>
        </w:rPr>
        <w:t xml:space="preserve"> rate remained </w:t>
      </w:r>
      <w:r w:rsidR="00382789">
        <w:rPr>
          <w:rFonts w:eastAsia="Calibri" w:cs="Arial"/>
          <w:lang w:val="sr-Latn-RS"/>
        </w:rPr>
        <w:t>the same</w:t>
      </w:r>
      <w:r w:rsidR="00A83320" w:rsidRPr="00696230">
        <w:rPr>
          <w:rFonts w:eastAsia="Calibri" w:cs="Arial"/>
          <w:lang w:val="sr-Latn-RS"/>
        </w:rPr>
        <w:t>, and amounted to 9.7% in the first quarter</w:t>
      </w:r>
      <w:r w:rsidR="00035020">
        <w:rPr>
          <w:rFonts w:eastAsia="Calibri" w:cs="Arial"/>
          <w:lang w:val="sr-Latn-RS"/>
        </w:rPr>
        <w:t xml:space="preserve"> of</w:t>
      </w:r>
      <w:r w:rsidR="00A83320" w:rsidRPr="00696230">
        <w:rPr>
          <w:rFonts w:eastAsia="Calibri" w:cs="Arial"/>
          <w:lang w:val="sr-Latn-RS"/>
        </w:rPr>
        <w:t xml:space="preserve"> 2020.</w:t>
      </w:r>
    </w:p>
    <w:p w:rsidR="00A83320" w:rsidRPr="00696230" w:rsidRDefault="00A83320" w:rsidP="00A83320">
      <w:pPr>
        <w:spacing w:before="120" w:after="120" w:line="264" w:lineRule="auto"/>
        <w:ind w:firstLine="403"/>
        <w:jc w:val="both"/>
        <w:rPr>
          <w:rFonts w:cs="Arial"/>
          <w:lang w:val="sr-Latn-RS"/>
        </w:rPr>
      </w:pPr>
      <w:r w:rsidRPr="00696230">
        <w:rPr>
          <w:rFonts w:eastAsia="Calibri" w:cs="Arial"/>
          <w:lang w:val="sr-Latn-RS"/>
        </w:rPr>
        <w:t xml:space="preserve"> </w:t>
      </w:r>
      <w:r w:rsidRPr="00696230">
        <w:rPr>
          <w:rFonts w:cs="Arial"/>
          <w:lang w:val="sr-Latn-RS"/>
        </w:rPr>
        <w:t xml:space="preserve">Within </w:t>
      </w:r>
      <w:r w:rsidR="00426756">
        <w:rPr>
          <w:rFonts w:cs="Arial"/>
          <w:lang w:val="sr-Latn-RS"/>
        </w:rPr>
        <w:t xml:space="preserve">the share of the young (15-24), </w:t>
      </w:r>
      <w:r w:rsidRPr="00696230">
        <w:rPr>
          <w:rFonts w:cs="Arial"/>
          <w:lang w:val="sr-Latn-RS"/>
        </w:rPr>
        <w:t xml:space="preserve">employment and </w:t>
      </w:r>
      <w:r w:rsidR="00205B16" w:rsidRPr="00696230">
        <w:rPr>
          <w:rFonts w:cs="Arial"/>
          <w:lang w:val="sr-Latn-RS"/>
        </w:rPr>
        <w:t>unemployment</w:t>
      </w:r>
      <w:r w:rsidR="00426756">
        <w:rPr>
          <w:rFonts w:cs="Arial"/>
          <w:lang w:val="sr-Latn-RS"/>
        </w:rPr>
        <w:t xml:space="preserve"> was decreased</w:t>
      </w:r>
      <w:r w:rsidRPr="00696230">
        <w:rPr>
          <w:rFonts w:cs="Arial"/>
          <w:lang w:val="sr-Latn-RS"/>
        </w:rPr>
        <w:t xml:space="preserve"> on behalf of  inactivity. Regarding this category, inactivity rate increased by 2.6 p.</w:t>
      </w:r>
      <w:r w:rsidR="00B90F02">
        <w:rPr>
          <w:rFonts w:cs="Arial"/>
          <w:lang w:val="sr-Latn-RS"/>
        </w:rPr>
        <w:t xml:space="preserve"> </w:t>
      </w:r>
      <w:r w:rsidRPr="00696230">
        <w:rPr>
          <w:rFonts w:cs="Arial"/>
          <w:lang w:val="sr-Latn-RS"/>
        </w:rPr>
        <w:t>p.,</w:t>
      </w:r>
      <w:r w:rsidR="00696230">
        <w:rPr>
          <w:rFonts w:cs="Arial"/>
          <w:lang w:val="sr-Latn-RS"/>
        </w:rPr>
        <w:t xml:space="preserve"> </w:t>
      </w:r>
      <w:r w:rsidRPr="00696230">
        <w:rPr>
          <w:rFonts w:cs="Arial"/>
          <w:lang w:val="sr-Latn-RS"/>
        </w:rPr>
        <w:t>while rates of employment and unemployment decreased by 0.8 and 3.6 p.</w:t>
      </w:r>
      <w:r w:rsidR="00B90F02">
        <w:rPr>
          <w:rFonts w:cs="Arial"/>
          <w:lang w:val="sr-Latn-RS"/>
        </w:rPr>
        <w:t xml:space="preserve"> </w:t>
      </w:r>
      <w:r w:rsidRPr="00696230">
        <w:rPr>
          <w:rFonts w:cs="Arial"/>
          <w:lang w:val="sr-Latn-RS"/>
        </w:rPr>
        <w:t>p., respectively.</w:t>
      </w:r>
    </w:p>
    <w:p w:rsidR="002259A7" w:rsidRPr="00696230" w:rsidRDefault="00CF5B94" w:rsidP="00A83320">
      <w:pPr>
        <w:spacing w:before="120" w:after="120" w:line="264" w:lineRule="auto"/>
        <w:ind w:firstLine="397"/>
        <w:jc w:val="both"/>
        <w:rPr>
          <w:rFonts w:eastAsiaTheme="minorHAnsi" w:cs="Arial"/>
          <w:lang w:val="sr-Latn-RS"/>
        </w:rPr>
      </w:pPr>
      <w:r>
        <w:rPr>
          <w:rFonts w:eastAsiaTheme="minorHAnsi" w:cs="Arial"/>
          <w:lang w:val="sr-Latn-RS"/>
        </w:rPr>
        <w:t xml:space="preserve">The </w:t>
      </w:r>
      <w:r w:rsidRPr="00900CD2">
        <w:rPr>
          <w:rFonts w:eastAsiaTheme="minorHAnsi" w:cs="Arial"/>
          <w:lang w:val="sr-Latn-RS"/>
        </w:rPr>
        <w:t>corona</w:t>
      </w:r>
      <w:r w:rsidR="002259A7" w:rsidRPr="00900CD2">
        <w:rPr>
          <w:rFonts w:eastAsiaTheme="minorHAnsi" w:cs="Arial"/>
          <w:lang w:val="sr-Latn-RS"/>
        </w:rPr>
        <w:t xml:space="preserve"> virus pandemic</w:t>
      </w:r>
      <w:r w:rsidR="002259A7" w:rsidRPr="00696230">
        <w:rPr>
          <w:rFonts w:eastAsiaTheme="minorHAnsi" w:cs="Arial"/>
          <w:lang w:val="sr-Latn-RS"/>
        </w:rPr>
        <w:t xml:space="preserve"> affected our country at the end of the first quarter of 2020, which is why its impact on </w:t>
      </w:r>
      <w:r w:rsidR="00205B16" w:rsidRPr="00696230">
        <w:rPr>
          <w:rFonts w:eastAsiaTheme="minorHAnsi" w:cs="Arial"/>
          <w:lang w:val="sr-Latn-RS"/>
        </w:rPr>
        <w:t>labour</w:t>
      </w:r>
      <w:r w:rsidR="002259A7" w:rsidRPr="00696230">
        <w:rPr>
          <w:rFonts w:eastAsiaTheme="minorHAnsi" w:cs="Arial"/>
          <w:lang w:val="sr-Latn-RS"/>
        </w:rPr>
        <w:t xml:space="preserve"> market trends in that period is negligible. Changes in the first quarter of 2020 compared to the fourth quarter of 2019, which could be partially related to the pandemic, but also to the seasonal influence, are the increase in the inactivity rate by 1 p. p., as well as changes in the employment structure.</w:t>
      </w:r>
    </w:p>
    <w:p w:rsidR="002259A7" w:rsidRPr="00696230" w:rsidRDefault="0076445B" w:rsidP="002259A7">
      <w:pPr>
        <w:spacing w:before="120" w:after="120" w:line="264" w:lineRule="auto"/>
        <w:ind w:firstLine="397"/>
        <w:jc w:val="both"/>
        <w:rPr>
          <w:rFonts w:eastAsiaTheme="minorHAnsi" w:cs="Arial"/>
          <w:lang w:val="sr-Latn-RS"/>
        </w:rPr>
      </w:pPr>
      <w:r>
        <w:rPr>
          <w:rFonts w:eastAsiaTheme="minorHAnsi" w:cs="Arial"/>
          <w:lang w:val="sr-Latn-RS"/>
        </w:rPr>
        <w:t xml:space="preserve">According to the </w:t>
      </w:r>
      <w:r w:rsidR="005876E5" w:rsidRPr="005876E5">
        <w:rPr>
          <w:rFonts w:eastAsiaTheme="minorHAnsi" w:cs="Arial"/>
          <w:lang w:val="sr-Latn-RS"/>
        </w:rPr>
        <w:t xml:space="preserve">professional </w:t>
      </w:r>
      <w:r w:rsidR="00703FA3">
        <w:rPr>
          <w:rFonts w:eastAsiaTheme="minorHAnsi" w:cs="Arial"/>
          <w:lang w:val="sr-Latn-RS"/>
        </w:rPr>
        <w:t>status</w:t>
      </w:r>
      <w:r w:rsidR="00E3448D">
        <w:rPr>
          <w:rFonts w:eastAsiaTheme="minorHAnsi" w:cs="Arial"/>
          <w:lang w:val="sr-Latn-RS"/>
        </w:rPr>
        <w:t>, i</w:t>
      </w:r>
      <w:r w:rsidR="002259A7" w:rsidRPr="00696230">
        <w:rPr>
          <w:rFonts w:eastAsiaTheme="minorHAnsi" w:cs="Arial"/>
          <w:lang w:val="sr-Latn-RS"/>
        </w:rPr>
        <w:t>n</w:t>
      </w:r>
      <w:r w:rsidR="00D16463">
        <w:rPr>
          <w:rFonts w:eastAsiaTheme="minorHAnsi" w:cs="Arial"/>
          <w:lang w:val="sr-Latn-RS"/>
        </w:rPr>
        <w:t xml:space="preserve"> the</w:t>
      </w:r>
      <w:r w:rsidR="00FD76A4">
        <w:rPr>
          <w:rFonts w:eastAsiaTheme="minorHAnsi" w:cs="Arial"/>
          <w:lang w:val="sr-Latn-RS"/>
        </w:rPr>
        <w:t xml:space="preserve"> </w:t>
      </w:r>
      <w:r w:rsidR="002259A7" w:rsidRPr="00696230">
        <w:rPr>
          <w:rFonts w:eastAsiaTheme="minorHAnsi" w:cs="Arial"/>
          <w:lang w:val="sr-Latn-RS"/>
        </w:rPr>
        <w:t>scope of formal employment</w:t>
      </w:r>
      <w:r w:rsidR="00000028">
        <w:rPr>
          <w:rFonts w:eastAsiaTheme="minorHAnsi" w:cs="Arial"/>
          <w:lang w:val="sr-Latn-RS"/>
        </w:rPr>
        <w:t>,</w:t>
      </w:r>
      <w:r w:rsidR="002259A7" w:rsidRPr="00696230">
        <w:rPr>
          <w:rFonts w:eastAsiaTheme="minorHAnsi" w:cs="Arial"/>
          <w:lang w:val="sr-Latn-RS"/>
        </w:rPr>
        <w:t xml:space="preserve"> excluding agriculture, there was a decrease in the number of self-employed, owners of companies and entrepreneurs, by 17</w:t>
      </w:r>
      <w:r w:rsidR="00696230">
        <w:rPr>
          <w:rFonts w:eastAsiaTheme="minorHAnsi" w:cs="Arial"/>
          <w:lang w:val="sr-Latn-RS"/>
        </w:rPr>
        <w:t> </w:t>
      </w:r>
      <w:r w:rsidR="002259A7" w:rsidRPr="00696230">
        <w:rPr>
          <w:rFonts w:eastAsiaTheme="minorHAnsi" w:cs="Arial"/>
          <w:lang w:val="sr-Latn-RS"/>
        </w:rPr>
        <w:t>700, and an increase in the number of employees by 17</w:t>
      </w:r>
      <w:r w:rsidR="00696230">
        <w:rPr>
          <w:rFonts w:eastAsiaTheme="minorHAnsi" w:cs="Arial"/>
          <w:lang w:val="sr-Latn-RS"/>
        </w:rPr>
        <w:t> </w:t>
      </w:r>
      <w:r w:rsidR="002259A7" w:rsidRPr="00696230">
        <w:rPr>
          <w:rFonts w:eastAsiaTheme="minorHAnsi" w:cs="Arial"/>
          <w:lang w:val="sr-Latn-RS"/>
        </w:rPr>
        <w:t>900, compared to the fourth quarter of 2019</w:t>
      </w:r>
      <w:r w:rsidR="00E62922">
        <w:rPr>
          <w:rFonts w:eastAsiaTheme="minorHAnsi" w:cs="Arial"/>
          <w:lang w:val="sr-Latn-RS"/>
        </w:rPr>
        <w:t>.</w:t>
      </w:r>
    </w:p>
    <w:p w:rsidR="00A27492" w:rsidRPr="00696230" w:rsidRDefault="00A27492" w:rsidP="00A27492">
      <w:pPr>
        <w:spacing w:before="120" w:after="120" w:line="264" w:lineRule="auto"/>
        <w:ind w:firstLine="397"/>
        <w:jc w:val="both"/>
        <w:rPr>
          <w:rFonts w:eastAsia="Calibri" w:cs="Arial"/>
          <w:lang w:val="sr-Latn-RS"/>
        </w:rPr>
      </w:pPr>
      <w:r w:rsidRPr="00696230">
        <w:rPr>
          <w:rFonts w:eastAsia="Calibri" w:cs="Arial"/>
          <w:lang w:val="sr-Latn-RS"/>
        </w:rPr>
        <w:t>In the same period, within informal employment</w:t>
      </w:r>
      <w:r w:rsidR="006A5690">
        <w:rPr>
          <w:rFonts w:eastAsia="Calibri" w:cs="Arial"/>
          <w:lang w:val="sr-Latn-RS"/>
        </w:rPr>
        <w:t>,</w:t>
      </w:r>
      <w:r w:rsidRPr="00696230">
        <w:rPr>
          <w:rFonts w:eastAsia="Calibri" w:cs="Arial"/>
          <w:lang w:val="sr-Latn-RS"/>
        </w:rPr>
        <w:t xml:space="preserve"> excluding agriculture, the number </w:t>
      </w:r>
      <w:r w:rsidRPr="00613C40">
        <w:rPr>
          <w:rFonts w:eastAsia="Calibri" w:cs="Arial"/>
          <w:lang w:val="sr-Latn-RS"/>
        </w:rPr>
        <w:t xml:space="preserve">of </w:t>
      </w:r>
      <w:r w:rsidR="00B90F02" w:rsidRPr="00613C40">
        <w:rPr>
          <w:rFonts w:eastAsia="Calibri" w:cs="Arial"/>
          <w:lang w:val="sr-Latn-RS"/>
        </w:rPr>
        <w:t>employees</w:t>
      </w:r>
      <w:r w:rsidRPr="00696230">
        <w:rPr>
          <w:rFonts w:eastAsia="Calibri" w:cs="Arial"/>
          <w:lang w:val="sr-Latn-RS"/>
        </w:rPr>
        <w:t xml:space="preserve"> decreased by 11 800, while the number of self-employed, who perform other forms of self-employment (painters, potters and other craftsmen, taxi drivers, private tutors, etc.) decreased by 30 900.</w:t>
      </w:r>
    </w:p>
    <w:p w:rsidR="008F53C9" w:rsidRPr="00696230" w:rsidRDefault="008F53C9" w:rsidP="008F53C9">
      <w:pPr>
        <w:spacing w:before="480" w:after="120" w:line="264" w:lineRule="auto"/>
        <w:jc w:val="both"/>
        <w:rPr>
          <w:rStyle w:val="Heading1Char"/>
          <w:rFonts w:ascii="Arial" w:hAnsi="Arial" w:cs="Arial"/>
          <w:b w:val="0"/>
          <w:iCs/>
          <w:color w:val="2E74B5"/>
          <w:sz w:val="22"/>
          <w:szCs w:val="22"/>
          <w:lang w:val="sr-Latn-RS"/>
        </w:rPr>
      </w:pPr>
      <w:r w:rsidRPr="00696230">
        <w:rPr>
          <w:rStyle w:val="Heading1Char"/>
          <w:rFonts w:ascii="Arial" w:hAnsi="Arial" w:cs="Arial"/>
          <w:b w:val="0"/>
          <w:iCs/>
          <w:color w:val="2E74B5"/>
          <w:sz w:val="22"/>
          <w:szCs w:val="22"/>
          <w:lang w:val="sr-Latn-RS"/>
        </w:rPr>
        <w:t>Main indicators, I quarter</w:t>
      </w:r>
      <w:r w:rsidR="00FB3EC9">
        <w:rPr>
          <w:rStyle w:val="Heading1Char"/>
          <w:rFonts w:ascii="Arial" w:hAnsi="Arial" w:cs="Arial"/>
          <w:b w:val="0"/>
          <w:iCs/>
          <w:color w:val="2E74B5"/>
          <w:sz w:val="22"/>
          <w:szCs w:val="22"/>
          <w:lang w:val="sr-Latn-RS"/>
        </w:rPr>
        <w:t xml:space="preserve"> of</w:t>
      </w:r>
      <w:r w:rsidRPr="00696230">
        <w:rPr>
          <w:rStyle w:val="Heading1Char"/>
          <w:rFonts w:ascii="Arial" w:hAnsi="Arial" w:cs="Arial"/>
          <w:b w:val="0"/>
          <w:iCs/>
          <w:color w:val="2E74B5"/>
          <w:sz w:val="22"/>
          <w:szCs w:val="22"/>
          <w:lang w:val="sr-Latn-RS"/>
        </w:rPr>
        <w:t xml:space="preserve"> 20</w:t>
      </w:r>
      <w:r w:rsidR="00D0048F" w:rsidRPr="00696230">
        <w:rPr>
          <w:rStyle w:val="Heading1Char"/>
          <w:rFonts w:ascii="Arial" w:hAnsi="Arial" w:cs="Arial"/>
          <w:b w:val="0"/>
          <w:iCs/>
          <w:color w:val="2E74B5"/>
          <w:sz w:val="22"/>
          <w:szCs w:val="22"/>
          <w:lang w:val="sr-Latn-RS"/>
        </w:rPr>
        <w:t>20</w:t>
      </w:r>
    </w:p>
    <w:p w:rsidR="00B05442" w:rsidRPr="00696230" w:rsidRDefault="008F53C9" w:rsidP="00030DBF">
      <w:pPr>
        <w:spacing w:before="240" w:after="120" w:line="264" w:lineRule="auto"/>
        <w:ind w:firstLine="403"/>
        <w:jc w:val="both"/>
        <w:rPr>
          <w:rFonts w:cs="Arial"/>
          <w:lang w:val="sr-Latn-RS"/>
        </w:rPr>
      </w:pPr>
      <w:r w:rsidRPr="00696230">
        <w:rPr>
          <w:rFonts w:cs="Arial"/>
          <w:b/>
          <w:lang w:val="sr-Latn-RS"/>
        </w:rPr>
        <w:t>A</w:t>
      </w:r>
      <w:r w:rsidR="00930544" w:rsidRPr="00696230">
        <w:rPr>
          <w:rFonts w:cs="Arial"/>
          <w:b/>
          <w:lang w:val="sr-Latn-RS"/>
        </w:rPr>
        <w:t>ctivity rate</w:t>
      </w:r>
      <w:r w:rsidR="00930544" w:rsidRPr="00696230">
        <w:rPr>
          <w:rFonts w:cs="Arial"/>
          <w:lang w:val="sr-Latn-RS"/>
        </w:rPr>
        <w:t xml:space="preserve"> </w:t>
      </w:r>
      <w:r w:rsidR="001422DF">
        <w:rPr>
          <w:rFonts w:cs="Arial"/>
          <w:lang w:val="sr-Latn-RS"/>
        </w:rPr>
        <w:t>in the</w:t>
      </w:r>
      <w:r w:rsidR="00930544" w:rsidRPr="00696230">
        <w:rPr>
          <w:rFonts w:cs="Arial"/>
          <w:lang w:val="sr-Latn-RS"/>
        </w:rPr>
        <w:t xml:space="preserve"> population aged 15 and over</w:t>
      </w:r>
      <w:r w:rsidR="001422DF">
        <w:rPr>
          <w:rFonts w:cs="Arial"/>
          <w:lang w:val="sr-Latn-RS"/>
        </w:rPr>
        <w:t>,</w:t>
      </w:r>
      <w:r w:rsidR="00930544" w:rsidRPr="00696230">
        <w:rPr>
          <w:rFonts w:cs="Arial"/>
          <w:lang w:val="sr-Latn-RS"/>
        </w:rPr>
        <w:t xml:space="preserve"> </w:t>
      </w:r>
      <w:r w:rsidR="00C658FD">
        <w:rPr>
          <w:rFonts w:cs="Arial"/>
          <w:lang w:val="sr-Latn-RS"/>
        </w:rPr>
        <w:t>over</w:t>
      </w:r>
      <w:r w:rsidR="00901882" w:rsidRPr="00696230">
        <w:rPr>
          <w:rFonts w:cs="Arial"/>
          <w:lang w:val="sr-Latn-RS"/>
        </w:rPr>
        <w:t xml:space="preserve"> the </w:t>
      </w:r>
      <w:r w:rsidR="0078259C" w:rsidRPr="00696230">
        <w:rPr>
          <w:rFonts w:cs="Arial"/>
          <w:lang w:val="sr-Latn-RS"/>
        </w:rPr>
        <w:t>first</w:t>
      </w:r>
      <w:r w:rsidR="00901882" w:rsidRPr="00696230">
        <w:rPr>
          <w:rFonts w:cs="Arial"/>
          <w:lang w:val="sr-Latn-RS"/>
        </w:rPr>
        <w:t xml:space="preserve"> quarter</w:t>
      </w:r>
      <w:r w:rsidR="00D51CE5">
        <w:rPr>
          <w:rFonts w:cs="Arial"/>
          <w:lang w:val="sr-Latn-RS"/>
        </w:rPr>
        <w:t xml:space="preserve"> of</w:t>
      </w:r>
      <w:r w:rsidR="001156FD" w:rsidRPr="00696230">
        <w:rPr>
          <w:rFonts w:cs="Arial"/>
          <w:lang w:val="sr-Latn-RS"/>
        </w:rPr>
        <w:t xml:space="preserve"> 20</w:t>
      </w:r>
      <w:r w:rsidR="0078259C" w:rsidRPr="00696230">
        <w:rPr>
          <w:rFonts w:cs="Arial"/>
          <w:lang w:val="sr-Latn-RS"/>
        </w:rPr>
        <w:t xml:space="preserve">20 </w:t>
      </w:r>
      <w:r w:rsidR="00930544" w:rsidRPr="00696230">
        <w:rPr>
          <w:rFonts w:cs="Arial"/>
          <w:lang w:val="sr-Latn-RS"/>
        </w:rPr>
        <w:t>amounted to 5</w:t>
      </w:r>
      <w:r w:rsidR="001156FD" w:rsidRPr="00696230">
        <w:rPr>
          <w:rFonts w:cs="Arial"/>
          <w:lang w:val="sr-Latn-RS"/>
        </w:rPr>
        <w:t>4</w:t>
      </w:r>
      <w:r w:rsidR="00930544" w:rsidRPr="00696230">
        <w:rPr>
          <w:rFonts w:cs="Arial"/>
          <w:lang w:val="sr-Latn-RS"/>
        </w:rPr>
        <w:t>%, where the activity rate of males was 6</w:t>
      </w:r>
      <w:r w:rsidR="0078259C" w:rsidRPr="00696230">
        <w:rPr>
          <w:rFonts w:cs="Arial"/>
          <w:lang w:val="sr-Latn-RS"/>
        </w:rPr>
        <w:t>1</w:t>
      </w:r>
      <w:r w:rsidR="00930544" w:rsidRPr="00696230">
        <w:rPr>
          <w:rFonts w:cs="Arial"/>
          <w:lang w:val="sr-Latn-RS"/>
        </w:rPr>
        <w:t>.</w:t>
      </w:r>
      <w:r w:rsidR="00030DBF" w:rsidRPr="00696230">
        <w:rPr>
          <w:rFonts w:cs="Arial"/>
          <w:lang w:val="sr-Latn-RS"/>
        </w:rPr>
        <w:t>3</w:t>
      </w:r>
      <w:r w:rsidR="00930544" w:rsidRPr="00696230">
        <w:rPr>
          <w:rFonts w:cs="Arial"/>
          <w:lang w:val="sr-Latn-RS"/>
        </w:rPr>
        <w:t>%, and of females 4</w:t>
      </w:r>
      <w:r w:rsidR="00FB2E36" w:rsidRPr="00696230">
        <w:rPr>
          <w:rFonts w:cs="Arial"/>
          <w:lang w:val="sr-Latn-RS"/>
        </w:rPr>
        <w:t>7</w:t>
      </w:r>
      <w:r w:rsidR="00930544" w:rsidRPr="00696230">
        <w:rPr>
          <w:rFonts w:cs="Arial"/>
          <w:lang w:val="sr-Latn-RS"/>
        </w:rPr>
        <w:t>.</w:t>
      </w:r>
      <w:r w:rsidR="0078259C" w:rsidRPr="00696230">
        <w:rPr>
          <w:rFonts w:cs="Arial"/>
          <w:lang w:val="sr-Latn-RS"/>
        </w:rPr>
        <w:t>2</w:t>
      </w:r>
      <w:r w:rsidR="00930544" w:rsidRPr="00696230">
        <w:rPr>
          <w:rFonts w:cs="Arial"/>
          <w:lang w:val="sr-Latn-RS"/>
        </w:rPr>
        <w:t xml:space="preserve">%. </w:t>
      </w:r>
      <w:r w:rsidR="0078259C" w:rsidRPr="00696230">
        <w:rPr>
          <w:rFonts w:cs="Arial"/>
          <w:lang w:val="sr-Latn-RS"/>
        </w:rPr>
        <w:t>Compared to the other regions, t</w:t>
      </w:r>
      <w:r w:rsidR="00391A81" w:rsidRPr="00696230">
        <w:rPr>
          <w:rFonts w:cs="Arial"/>
          <w:lang w:val="sr-Latn-RS"/>
        </w:rPr>
        <w:t>he activity rate w</w:t>
      </w:r>
      <w:r w:rsidR="00077879" w:rsidRPr="00696230">
        <w:rPr>
          <w:rFonts w:cs="Arial"/>
          <w:lang w:val="sr-Latn-RS"/>
        </w:rPr>
        <w:t>as</w:t>
      </w:r>
      <w:r w:rsidR="0078259C" w:rsidRPr="00696230">
        <w:rPr>
          <w:rFonts w:cs="Arial"/>
          <w:lang w:val="sr-Latn-RS"/>
        </w:rPr>
        <w:t xml:space="preserve"> </w:t>
      </w:r>
      <w:r w:rsidR="00077879" w:rsidRPr="00696230">
        <w:rPr>
          <w:rFonts w:cs="Arial"/>
          <w:lang w:val="sr-Latn-RS"/>
        </w:rPr>
        <w:t xml:space="preserve">the greatest </w:t>
      </w:r>
      <w:r w:rsidR="001156FD" w:rsidRPr="00696230">
        <w:rPr>
          <w:rFonts w:cs="Arial"/>
          <w:lang w:val="sr-Latn-RS"/>
        </w:rPr>
        <w:t>in</w:t>
      </w:r>
      <w:r w:rsidR="0078259C" w:rsidRPr="00696230">
        <w:rPr>
          <w:rFonts w:cs="Arial"/>
          <w:lang w:val="sr-Latn-RS"/>
        </w:rPr>
        <w:t xml:space="preserve"> Beogradski region (57.2%), followed by </w:t>
      </w:r>
      <w:r w:rsidR="00030DBF" w:rsidRPr="00696230">
        <w:rPr>
          <w:rFonts w:cs="Arial"/>
          <w:lang w:val="sr-Latn-RS"/>
        </w:rPr>
        <w:t>Region Šumadije</w:t>
      </w:r>
      <w:r w:rsidR="0078259C" w:rsidRPr="00696230">
        <w:rPr>
          <w:rFonts w:cs="Arial"/>
          <w:lang w:val="sr-Latn-RS"/>
        </w:rPr>
        <w:t xml:space="preserve"> I </w:t>
      </w:r>
      <w:r w:rsidR="00030DBF" w:rsidRPr="00696230">
        <w:rPr>
          <w:rFonts w:cs="Arial"/>
          <w:lang w:val="sr-Latn-RS"/>
        </w:rPr>
        <w:t>Zapadne</w:t>
      </w:r>
      <w:r w:rsidR="0078259C" w:rsidRPr="00696230">
        <w:rPr>
          <w:rFonts w:cs="Arial"/>
          <w:lang w:val="sr-Latn-RS"/>
        </w:rPr>
        <w:t xml:space="preserve"> </w:t>
      </w:r>
      <w:r w:rsidR="00030DBF" w:rsidRPr="00696230">
        <w:rPr>
          <w:rFonts w:cs="Arial"/>
          <w:lang w:val="sr-Latn-RS"/>
        </w:rPr>
        <w:t>Srbije</w:t>
      </w:r>
      <w:r w:rsidR="0078259C" w:rsidRPr="00696230">
        <w:rPr>
          <w:rFonts w:cs="Arial"/>
          <w:lang w:val="sr-Latn-RS"/>
        </w:rPr>
        <w:t xml:space="preserve"> </w:t>
      </w:r>
      <w:r w:rsidR="00077879" w:rsidRPr="00696230">
        <w:rPr>
          <w:rFonts w:cs="Arial"/>
          <w:lang w:val="sr-Latn-RS"/>
        </w:rPr>
        <w:t>(5</w:t>
      </w:r>
      <w:r w:rsidR="0078259C" w:rsidRPr="00696230">
        <w:rPr>
          <w:rFonts w:cs="Arial"/>
          <w:lang w:val="sr-Latn-RS"/>
        </w:rPr>
        <w:t>5</w:t>
      </w:r>
      <w:r w:rsidR="00077879" w:rsidRPr="00696230">
        <w:rPr>
          <w:rFonts w:cs="Arial"/>
          <w:lang w:val="sr-Latn-RS"/>
        </w:rPr>
        <w:t>.</w:t>
      </w:r>
      <w:r w:rsidR="0078259C" w:rsidRPr="00696230">
        <w:rPr>
          <w:rFonts w:cs="Arial"/>
          <w:lang w:val="sr-Latn-RS"/>
        </w:rPr>
        <w:t>8</w:t>
      </w:r>
      <w:r w:rsidR="00077879" w:rsidRPr="00696230">
        <w:rPr>
          <w:rFonts w:cs="Arial"/>
          <w:lang w:val="sr-Latn-RS"/>
        </w:rPr>
        <w:t>%)</w:t>
      </w:r>
      <w:r w:rsidR="00030DBF" w:rsidRPr="00696230">
        <w:rPr>
          <w:rFonts w:cs="Arial"/>
          <w:lang w:val="sr-Latn-RS"/>
        </w:rPr>
        <w:t xml:space="preserve">. </w:t>
      </w:r>
      <w:r w:rsidR="00077879" w:rsidRPr="00696230">
        <w:rPr>
          <w:rFonts w:cs="Arial"/>
          <w:lang w:val="sr-Latn-RS"/>
        </w:rPr>
        <w:t xml:space="preserve">In Region </w:t>
      </w:r>
      <w:r w:rsidR="00030DBF" w:rsidRPr="00696230">
        <w:rPr>
          <w:rFonts w:cs="Arial"/>
          <w:lang w:val="sr-Latn-RS"/>
        </w:rPr>
        <w:t xml:space="preserve">Vojvodine and Region </w:t>
      </w:r>
      <w:r w:rsidR="00077879" w:rsidRPr="00696230">
        <w:rPr>
          <w:rFonts w:cs="Arial"/>
          <w:lang w:val="sr-Latn-RS"/>
        </w:rPr>
        <w:t>Južne</w:t>
      </w:r>
      <w:r w:rsidR="001C5FB3">
        <w:rPr>
          <w:rFonts w:cs="Arial"/>
          <w:lang w:val="sr-Latn-RS"/>
        </w:rPr>
        <w:t xml:space="preserve"> i</w:t>
      </w:r>
      <w:r w:rsidR="0078259C" w:rsidRPr="00696230">
        <w:rPr>
          <w:rFonts w:cs="Arial"/>
          <w:lang w:val="sr-Latn-RS"/>
        </w:rPr>
        <w:t xml:space="preserve"> </w:t>
      </w:r>
      <w:r w:rsidR="00077879" w:rsidRPr="00696230">
        <w:rPr>
          <w:rFonts w:cs="Arial"/>
          <w:lang w:val="sr-Latn-RS"/>
        </w:rPr>
        <w:t>Istočne</w:t>
      </w:r>
      <w:r w:rsidR="001C5FB3">
        <w:rPr>
          <w:rFonts w:cs="Arial"/>
          <w:lang w:val="sr-Latn-RS"/>
        </w:rPr>
        <w:t xml:space="preserve"> </w:t>
      </w:r>
      <w:r w:rsidR="00077879" w:rsidRPr="00696230">
        <w:rPr>
          <w:rFonts w:cs="Arial"/>
          <w:lang w:val="sr-Latn-RS"/>
        </w:rPr>
        <w:t>Srbije</w:t>
      </w:r>
      <w:r w:rsidR="0078259C" w:rsidRPr="00696230">
        <w:rPr>
          <w:rFonts w:cs="Arial"/>
          <w:lang w:val="sr-Latn-RS"/>
        </w:rPr>
        <w:t xml:space="preserve"> </w:t>
      </w:r>
      <w:r w:rsidR="00077879" w:rsidRPr="00696230">
        <w:rPr>
          <w:rFonts w:cs="Arial"/>
          <w:lang w:val="sr-Latn-RS"/>
        </w:rPr>
        <w:t>activity rate</w:t>
      </w:r>
      <w:r w:rsidR="00030DBF" w:rsidRPr="00696230">
        <w:rPr>
          <w:rFonts w:cs="Arial"/>
          <w:lang w:val="sr-Latn-RS"/>
        </w:rPr>
        <w:t>s</w:t>
      </w:r>
      <w:r w:rsidR="00077879" w:rsidRPr="00696230">
        <w:rPr>
          <w:rFonts w:cs="Arial"/>
          <w:lang w:val="sr-Latn-RS"/>
        </w:rPr>
        <w:t xml:space="preserve"> w</w:t>
      </w:r>
      <w:r w:rsidR="00030DBF" w:rsidRPr="00696230">
        <w:rPr>
          <w:rFonts w:cs="Arial"/>
          <w:lang w:val="sr-Latn-RS"/>
        </w:rPr>
        <w:t>ere the lowest,</w:t>
      </w:r>
      <w:r w:rsidR="00077879" w:rsidRPr="00696230">
        <w:rPr>
          <w:rFonts w:cs="Arial"/>
          <w:lang w:val="sr-Latn-RS"/>
        </w:rPr>
        <w:t xml:space="preserve"> 5</w:t>
      </w:r>
      <w:r w:rsidR="0078259C" w:rsidRPr="00696230">
        <w:rPr>
          <w:rFonts w:cs="Arial"/>
          <w:lang w:val="sr-Latn-RS"/>
        </w:rPr>
        <w:t>2</w:t>
      </w:r>
      <w:r w:rsidR="00077879" w:rsidRPr="00696230">
        <w:rPr>
          <w:rFonts w:cs="Arial"/>
          <w:lang w:val="sr-Latn-RS"/>
        </w:rPr>
        <w:t>.</w:t>
      </w:r>
      <w:r w:rsidR="0078259C" w:rsidRPr="00696230">
        <w:rPr>
          <w:rFonts w:cs="Arial"/>
          <w:lang w:val="sr-Latn-RS"/>
        </w:rPr>
        <w:t>0</w:t>
      </w:r>
      <w:r w:rsidR="00077879" w:rsidRPr="00696230">
        <w:rPr>
          <w:rFonts w:cs="Arial"/>
          <w:lang w:val="sr-Latn-RS"/>
        </w:rPr>
        <w:t xml:space="preserve">% and </w:t>
      </w:r>
      <w:r w:rsidR="0051113F" w:rsidRPr="00696230">
        <w:rPr>
          <w:rFonts w:cs="Arial"/>
          <w:lang w:val="sr-Latn-RS"/>
        </w:rPr>
        <w:t>5</w:t>
      </w:r>
      <w:r w:rsidR="0078259C" w:rsidRPr="00696230">
        <w:rPr>
          <w:rFonts w:cs="Arial"/>
          <w:lang w:val="sr-Latn-RS"/>
        </w:rPr>
        <w:t>0</w:t>
      </w:r>
      <w:r w:rsidR="0051113F" w:rsidRPr="00696230">
        <w:rPr>
          <w:rFonts w:cs="Arial"/>
          <w:lang w:val="sr-Latn-RS"/>
        </w:rPr>
        <w:t>.</w:t>
      </w:r>
      <w:r w:rsidR="00030DBF" w:rsidRPr="00696230">
        <w:rPr>
          <w:rFonts w:cs="Arial"/>
          <w:lang w:val="sr-Latn-RS"/>
        </w:rPr>
        <w:t>4</w:t>
      </w:r>
      <w:r w:rsidR="0051113F" w:rsidRPr="00696230">
        <w:rPr>
          <w:rFonts w:cs="Arial"/>
          <w:lang w:val="sr-Latn-RS"/>
        </w:rPr>
        <w:t>%</w:t>
      </w:r>
      <w:r w:rsidR="00030DBF" w:rsidRPr="00696230">
        <w:rPr>
          <w:rFonts w:cs="Arial"/>
          <w:lang w:val="sr-Latn-RS"/>
        </w:rPr>
        <w:t xml:space="preserve">, </w:t>
      </w:r>
      <w:r w:rsidR="00961739" w:rsidRPr="00696230">
        <w:rPr>
          <w:rFonts w:cs="Arial"/>
          <w:lang w:val="sr-Latn-RS"/>
        </w:rPr>
        <w:t>respectively</w:t>
      </w:r>
      <w:r w:rsidR="00B05442" w:rsidRPr="00696230">
        <w:rPr>
          <w:rFonts w:cs="Arial"/>
          <w:lang w:val="sr-Latn-RS"/>
        </w:rPr>
        <w:t>.</w:t>
      </w:r>
    </w:p>
    <w:p w:rsidR="00391A81" w:rsidRPr="00696230" w:rsidRDefault="0078259C" w:rsidP="00ED093B">
      <w:pPr>
        <w:spacing w:before="120" w:after="120" w:line="264" w:lineRule="auto"/>
        <w:ind w:firstLine="403"/>
        <w:jc w:val="both"/>
        <w:rPr>
          <w:rFonts w:cs="Arial"/>
          <w:lang w:val="sr-Latn-RS"/>
        </w:rPr>
      </w:pPr>
      <w:r w:rsidRPr="00696230">
        <w:rPr>
          <w:rFonts w:cs="Arial"/>
          <w:b/>
          <w:lang w:val="sr-Latn-RS"/>
        </w:rPr>
        <w:t>Em</w:t>
      </w:r>
      <w:r w:rsidR="00391A81" w:rsidRPr="00696230">
        <w:rPr>
          <w:rFonts w:cs="Arial"/>
          <w:b/>
          <w:lang w:val="sr-Latn-RS"/>
        </w:rPr>
        <w:t xml:space="preserve">ployment rate </w:t>
      </w:r>
      <w:r w:rsidR="00A50B0F">
        <w:rPr>
          <w:rFonts w:cs="Arial"/>
          <w:lang w:val="sr-Latn-RS"/>
        </w:rPr>
        <w:t>in the</w:t>
      </w:r>
      <w:r w:rsidR="00391A81" w:rsidRPr="00696230">
        <w:rPr>
          <w:rFonts w:cs="Arial"/>
          <w:lang w:val="sr-Latn-RS"/>
        </w:rPr>
        <w:t xml:space="preserve"> population aged 15 and over amounted to</w:t>
      </w:r>
      <w:r w:rsidR="00077879" w:rsidRPr="00696230">
        <w:rPr>
          <w:rFonts w:cs="Arial"/>
          <w:lang w:val="sr-Latn-RS"/>
        </w:rPr>
        <w:t xml:space="preserve"> 4</w:t>
      </w:r>
      <w:r w:rsidRPr="00696230">
        <w:rPr>
          <w:rFonts w:cs="Arial"/>
          <w:lang w:val="sr-Latn-RS"/>
        </w:rPr>
        <w:t>8</w:t>
      </w:r>
      <w:r w:rsidR="00391A81" w:rsidRPr="00696230">
        <w:rPr>
          <w:rFonts w:cs="Arial"/>
          <w:lang w:val="sr-Latn-RS"/>
        </w:rPr>
        <w:t>.</w:t>
      </w:r>
      <w:r w:rsidRPr="00696230">
        <w:rPr>
          <w:rFonts w:cs="Arial"/>
          <w:lang w:val="sr-Latn-RS"/>
        </w:rPr>
        <w:t>7</w:t>
      </w:r>
      <w:r w:rsidR="00B05442" w:rsidRPr="00696230">
        <w:rPr>
          <w:rFonts w:cs="Arial"/>
          <w:lang w:val="sr-Latn-RS"/>
        </w:rPr>
        <w:t xml:space="preserve">%, </w:t>
      </w:r>
      <w:r w:rsidR="00391A81" w:rsidRPr="00696230">
        <w:rPr>
          <w:rFonts w:cs="Arial"/>
          <w:lang w:val="sr-Latn-RS"/>
        </w:rPr>
        <w:t>i.e. 5</w:t>
      </w:r>
      <w:r w:rsidRPr="00696230">
        <w:rPr>
          <w:rFonts w:cs="Arial"/>
          <w:lang w:val="sr-Latn-RS"/>
        </w:rPr>
        <w:t>5</w:t>
      </w:r>
      <w:r w:rsidR="00391A81" w:rsidRPr="00696230">
        <w:rPr>
          <w:rFonts w:cs="Arial"/>
          <w:lang w:val="sr-Latn-RS"/>
        </w:rPr>
        <w:t>.</w:t>
      </w:r>
      <w:r w:rsidRPr="00696230">
        <w:rPr>
          <w:rFonts w:cs="Arial"/>
          <w:lang w:val="sr-Latn-RS"/>
        </w:rPr>
        <w:t>5</w:t>
      </w:r>
      <w:r w:rsidR="00391A81" w:rsidRPr="00696230">
        <w:rPr>
          <w:rFonts w:cs="Arial"/>
          <w:lang w:val="sr-Latn-RS"/>
        </w:rPr>
        <w:t xml:space="preserve">% regarding males and </w:t>
      </w:r>
      <w:r w:rsidR="00FB2E36" w:rsidRPr="00696230">
        <w:rPr>
          <w:rFonts w:cs="Arial"/>
          <w:lang w:val="sr-Latn-RS"/>
        </w:rPr>
        <w:t>4</w:t>
      </w:r>
      <w:r w:rsidRPr="00696230">
        <w:rPr>
          <w:rFonts w:cs="Arial"/>
          <w:lang w:val="sr-Latn-RS"/>
        </w:rPr>
        <w:t>2</w:t>
      </w:r>
      <w:r w:rsidR="00391A81" w:rsidRPr="00696230">
        <w:rPr>
          <w:rFonts w:cs="Arial"/>
          <w:lang w:val="sr-Latn-RS"/>
        </w:rPr>
        <w:t>.</w:t>
      </w:r>
      <w:r w:rsidRPr="00696230">
        <w:rPr>
          <w:rFonts w:cs="Arial"/>
          <w:lang w:val="sr-Latn-RS"/>
        </w:rPr>
        <w:t>4</w:t>
      </w:r>
      <w:r w:rsidR="00B05442" w:rsidRPr="00696230">
        <w:rPr>
          <w:rFonts w:cs="Arial"/>
          <w:lang w:val="sr-Latn-RS"/>
        </w:rPr>
        <w:t>%</w:t>
      </w:r>
      <w:r w:rsidR="00391A81" w:rsidRPr="00696230">
        <w:rPr>
          <w:rFonts w:cs="Arial"/>
          <w:lang w:val="sr-Latn-RS"/>
        </w:rPr>
        <w:t xml:space="preserve"> regarding females</w:t>
      </w:r>
      <w:r w:rsidR="00B05442" w:rsidRPr="00696230">
        <w:rPr>
          <w:rFonts w:cs="Arial"/>
          <w:lang w:val="sr-Latn-RS"/>
        </w:rPr>
        <w:t xml:space="preserve">. </w:t>
      </w:r>
      <w:r w:rsidR="00391A81" w:rsidRPr="00696230">
        <w:rPr>
          <w:rFonts w:cs="Arial"/>
          <w:lang w:val="sr-Latn-RS"/>
        </w:rPr>
        <w:t>The greatest employment rate was noted in</w:t>
      </w:r>
      <w:r w:rsidRPr="00696230">
        <w:rPr>
          <w:rFonts w:cs="Arial"/>
          <w:lang w:val="sr-Latn-RS"/>
        </w:rPr>
        <w:t xml:space="preserve"> </w:t>
      </w:r>
      <w:r w:rsidR="0051113F" w:rsidRPr="00696230">
        <w:rPr>
          <w:rFonts w:cs="Arial"/>
          <w:lang w:val="sr-Latn-RS"/>
        </w:rPr>
        <w:t>Beogradski region (5</w:t>
      </w:r>
      <w:r w:rsidRPr="00696230">
        <w:rPr>
          <w:rFonts w:cs="Arial"/>
          <w:lang w:val="sr-Latn-RS"/>
        </w:rPr>
        <w:t>3</w:t>
      </w:r>
      <w:r w:rsidR="0051113F" w:rsidRPr="00696230">
        <w:rPr>
          <w:rFonts w:cs="Arial"/>
          <w:lang w:val="sr-Latn-RS"/>
        </w:rPr>
        <w:t>.</w:t>
      </w:r>
      <w:r w:rsidRPr="00696230">
        <w:rPr>
          <w:rFonts w:cs="Arial"/>
          <w:lang w:val="sr-Latn-RS"/>
        </w:rPr>
        <w:t>1</w:t>
      </w:r>
      <w:r w:rsidR="0051113F" w:rsidRPr="00696230">
        <w:rPr>
          <w:rFonts w:cs="Arial"/>
          <w:lang w:val="sr-Latn-RS"/>
        </w:rPr>
        <w:t xml:space="preserve">%), followed by </w:t>
      </w:r>
      <w:r w:rsidR="00F03B80" w:rsidRPr="00696230">
        <w:rPr>
          <w:rFonts w:cs="Arial"/>
          <w:lang w:val="sr-Latn-RS"/>
        </w:rPr>
        <w:t>Region Šumadije</w:t>
      </w:r>
      <w:r w:rsidR="000258CF">
        <w:rPr>
          <w:rFonts w:cs="Arial"/>
          <w:lang w:val="sr-Latn-RS"/>
        </w:rPr>
        <w:t xml:space="preserve"> i</w:t>
      </w:r>
      <w:r w:rsidRPr="00696230">
        <w:rPr>
          <w:rFonts w:cs="Arial"/>
          <w:lang w:val="sr-Latn-RS"/>
        </w:rPr>
        <w:t xml:space="preserve"> </w:t>
      </w:r>
      <w:r w:rsidR="00F03B80" w:rsidRPr="00696230">
        <w:rPr>
          <w:rFonts w:cs="Arial"/>
          <w:lang w:val="sr-Latn-RS"/>
        </w:rPr>
        <w:t>Zapadne</w:t>
      </w:r>
      <w:r w:rsidRPr="00696230">
        <w:rPr>
          <w:rFonts w:cs="Arial"/>
          <w:lang w:val="sr-Latn-RS"/>
        </w:rPr>
        <w:t xml:space="preserve"> </w:t>
      </w:r>
      <w:r w:rsidR="00F03B80" w:rsidRPr="00696230">
        <w:rPr>
          <w:rFonts w:cs="Arial"/>
          <w:lang w:val="sr-Latn-RS"/>
        </w:rPr>
        <w:t xml:space="preserve">Srbije and </w:t>
      </w:r>
      <w:r w:rsidR="0051113F" w:rsidRPr="00696230">
        <w:rPr>
          <w:rFonts w:cs="Arial"/>
          <w:lang w:val="sr-Latn-RS"/>
        </w:rPr>
        <w:t>Region Vojvodine (</w:t>
      </w:r>
      <w:r w:rsidRPr="00696230">
        <w:rPr>
          <w:rFonts w:cs="Arial"/>
          <w:lang w:val="sr-Latn-RS"/>
        </w:rPr>
        <w:t>49</w:t>
      </w:r>
      <w:r w:rsidR="0051113F" w:rsidRPr="00696230">
        <w:rPr>
          <w:rFonts w:cs="Arial"/>
          <w:lang w:val="sr-Latn-RS"/>
        </w:rPr>
        <w:t>.</w:t>
      </w:r>
      <w:r w:rsidRPr="00696230">
        <w:rPr>
          <w:rFonts w:cs="Arial"/>
          <w:lang w:val="sr-Latn-RS"/>
        </w:rPr>
        <w:t>4</w:t>
      </w:r>
      <w:r w:rsidR="0051113F" w:rsidRPr="00696230">
        <w:rPr>
          <w:rFonts w:cs="Arial"/>
          <w:lang w:val="sr-Latn-RS"/>
        </w:rPr>
        <w:t>% and 4</w:t>
      </w:r>
      <w:r w:rsidRPr="00696230">
        <w:rPr>
          <w:rFonts w:cs="Arial"/>
          <w:lang w:val="sr-Latn-RS"/>
        </w:rPr>
        <w:t>7</w:t>
      </w:r>
      <w:r w:rsidR="0051113F" w:rsidRPr="00696230">
        <w:rPr>
          <w:rFonts w:cs="Arial"/>
          <w:lang w:val="sr-Latn-RS"/>
        </w:rPr>
        <w:t>.</w:t>
      </w:r>
      <w:r w:rsidRPr="00696230">
        <w:rPr>
          <w:rFonts w:cs="Arial"/>
          <w:lang w:val="sr-Latn-RS"/>
        </w:rPr>
        <w:t>6</w:t>
      </w:r>
      <w:r w:rsidR="0051113F" w:rsidRPr="00696230">
        <w:rPr>
          <w:rFonts w:cs="Arial"/>
          <w:lang w:val="sr-Latn-RS"/>
        </w:rPr>
        <w:t>%, respectively).</w:t>
      </w:r>
      <w:r w:rsidRPr="00696230">
        <w:rPr>
          <w:rFonts w:cs="Arial"/>
          <w:lang w:val="sr-Latn-RS"/>
        </w:rPr>
        <w:t xml:space="preserve"> </w:t>
      </w:r>
      <w:r w:rsidR="0051113F" w:rsidRPr="00696230">
        <w:rPr>
          <w:rFonts w:cs="Arial"/>
          <w:lang w:val="sr-Latn-RS"/>
        </w:rPr>
        <w:t>Employment rate was the lowest</w:t>
      </w:r>
      <w:r w:rsidR="00391A81" w:rsidRPr="00696230">
        <w:rPr>
          <w:rFonts w:cs="Arial"/>
          <w:lang w:val="sr-Latn-RS"/>
        </w:rPr>
        <w:t xml:space="preserve"> in Region Južne</w:t>
      </w:r>
      <w:r w:rsidR="008105E7">
        <w:rPr>
          <w:rFonts w:cs="Arial"/>
          <w:lang w:val="sr-Latn-RS"/>
        </w:rPr>
        <w:t xml:space="preserve"> i</w:t>
      </w:r>
      <w:r w:rsidRPr="00696230">
        <w:rPr>
          <w:rFonts w:cs="Arial"/>
          <w:lang w:val="sr-Latn-RS"/>
        </w:rPr>
        <w:t xml:space="preserve"> </w:t>
      </w:r>
      <w:r w:rsidR="00391A81" w:rsidRPr="00696230">
        <w:rPr>
          <w:rFonts w:cs="Arial"/>
          <w:lang w:val="sr-Latn-RS"/>
        </w:rPr>
        <w:t>Istočne</w:t>
      </w:r>
      <w:r w:rsidRPr="00696230">
        <w:rPr>
          <w:rFonts w:cs="Arial"/>
          <w:lang w:val="sr-Latn-RS"/>
        </w:rPr>
        <w:t xml:space="preserve"> </w:t>
      </w:r>
      <w:r w:rsidR="00391A81" w:rsidRPr="00696230">
        <w:rPr>
          <w:rFonts w:cs="Arial"/>
          <w:lang w:val="sr-Latn-RS"/>
        </w:rPr>
        <w:t>Srbije</w:t>
      </w:r>
      <w:r w:rsidR="00F03B80" w:rsidRPr="00696230">
        <w:rPr>
          <w:rFonts w:cs="Arial"/>
          <w:lang w:val="sr-Latn-RS"/>
        </w:rPr>
        <w:t xml:space="preserve">, </w:t>
      </w:r>
      <w:r w:rsidR="00391A81" w:rsidRPr="00696230">
        <w:rPr>
          <w:rFonts w:cs="Arial"/>
          <w:lang w:val="sr-Latn-RS"/>
        </w:rPr>
        <w:t>4</w:t>
      </w:r>
      <w:r w:rsidRPr="00696230">
        <w:rPr>
          <w:rFonts w:cs="Arial"/>
          <w:lang w:val="sr-Latn-RS"/>
        </w:rPr>
        <w:t>4</w:t>
      </w:r>
      <w:r w:rsidR="00391A81" w:rsidRPr="00696230">
        <w:rPr>
          <w:rFonts w:cs="Arial"/>
          <w:lang w:val="sr-Latn-RS"/>
        </w:rPr>
        <w:t>.</w:t>
      </w:r>
      <w:r w:rsidRPr="00696230">
        <w:rPr>
          <w:rFonts w:cs="Arial"/>
          <w:lang w:val="sr-Latn-RS"/>
        </w:rPr>
        <w:t>2</w:t>
      </w:r>
      <w:r w:rsidR="00F03B80" w:rsidRPr="00696230">
        <w:rPr>
          <w:rFonts w:cs="Arial"/>
          <w:lang w:val="sr-Latn-RS"/>
        </w:rPr>
        <w:t>%</w:t>
      </w:r>
      <w:r w:rsidR="00391A81" w:rsidRPr="00696230">
        <w:rPr>
          <w:rFonts w:cs="Arial"/>
          <w:lang w:val="sr-Latn-RS"/>
        </w:rPr>
        <w:t>.</w:t>
      </w:r>
    </w:p>
    <w:p w:rsidR="00B05442" w:rsidRPr="00696230" w:rsidRDefault="00391A81" w:rsidP="00ED093B">
      <w:pPr>
        <w:spacing w:before="120" w:after="120" w:line="264" w:lineRule="auto"/>
        <w:ind w:firstLine="403"/>
        <w:jc w:val="both"/>
        <w:rPr>
          <w:rFonts w:cs="Arial"/>
          <w:b/>
          <w:lang w:val="sr-Latn-RS"/>
        </w:rPr>
      </w:pPr>
      <w:r w:rsidRPr="00696230">
        <w:rPr>
          <w:rFonts w:cs="Arial"/>
          <w:b/>
          <w:lang w:val="sr-Latn-RS"/>
        </w:rPr>
        <w:lastRenderedPageBreak/>
        <w:t xml:space="preserve">Informal employment rate </w:t>
      </w:r>
      <w:r w:rsidR="004F3C08">
        <w:rPr>
          <w:rFonts w:cs="Arial"/>
          <w:lang w:val="sr-Latn-RS"/>
        </w:rPr>
        <w:t xml:space="preserve">in the mentioned quarter, </w:t>
      </w:r>
      <w:r w:rsidR="00635461">
        <w:rPr>
          <w:rFonts w:cs="Arial"/>
          <w:lang w:val="sr-Latn-RS"/>
        </w:rPr>
        <w:t>which includes</w:t>
      </w:r>
      <w:r w:rsidR="00833207">
        <w:rPr>
          <w:rFonts w:cs="Arial"/>
          <w:lang w:val="sr-Latn-RS"/>
        </w:rPr>
        <w:t xml:space="preserve"> </w:t>
      </w:r>
      <w:r w:rsidRPr="00696230">
        <w:rPr>
          <w:rFonts w:cs="Arial"/>
          <w:lang w:val="sr-Latn-RS"/>
        </w:rPr>
        <w:t>all activities</w:t>
      </w:r>
      <w:r w:rsidR="00942369">
        <w:rPr>
          <w:rFonts w:cs="Arial"/>
          <w:lang w:val="sr-Latn-RS"/>
        </w:rPr>
        <w:t>,</w:t>
      </w:r>
      <w:r w:rsidRPr="00696230">
        <w:rPr>
          <w:rFonts w:cs="Arial"/>
          <w:lang w:val="sr-Latn-RS"/>
        </w:rPr>
        <w:t xml:space="preserve"> was </w:t>
      </w:r>
      <w:r w:rsidR="00852349" w:rsidRPr="00696230">
        <w:rPr>
          <w:rFonts w:cs="Arial"/>
          <w:lang w:val="sr-Latn-RS"/>
        </w:rPr>
        <w:t>1</w:t>
      </w:r>
      <w:r w:rsidR="0078259C" w:rsidRPr="00696230">
        <w:rPr>
          <w:rFonts w:cs="Arial"/>
          <w:lang w:val="sr-Latn-RS"/>
        </w:rPr>
        <w:t>6</w:t>
      </w:r>
      <w:r w:rsidRPr="00696230">
        <w:rPr>
          <w:rFonts w:cs="Arial"/>
          <w:lang w:val="sr-Latn-RS"/>
        </w:rPr>
        <w:t>.</w:t>
      </w:r>
      <w:r w:rsidR="0078259C" w:rsidRPr="00696230">
        <w:rPr>
          <w:rFonts w:cs="Arial"/>
          <w:lang w:val="sr-Latn-RS"/>
        </w:rPr>
        <w:t>2</w:t>
      </w:r>
      <w:r w:rsidR="00B05442" w:rsidRPr="00696230">
        <w:rPr>
          <w:rFonts w:cs="Arial"/>
          <w:lang w:val="sr-Latn-RS"/>
        </w:rPr>
        <w:t xml:space="preserve">%, </w:t>
      </w:r>
      <w:r w:rsidRPr="00696230">
        <w:rPr>
          <w:rFonts w:cs="Arial"/>
          <w:lang w:val="sr-Latn-RS"/>
        </w:rPr>
        <w:t>whereof informal sector related to employment in agricultural activities</w:t>
      </w:r>
      <w:r w:rsidR="00F82D1F" w:rsidRPr="00696230">
        <w:rPr>
          <w:rStyle w:val="FootnoteReference"/>
          <w:rFonts w:cs="Arial"/>
          <w:lang w:val="sr-Latn-RS"/>
        </w:rPr>
        <w:footnoteReference w:id="1"/>
      </w:r>
      <w:r w:rsidR="004A5A34">
        <w:rPr>
          <w:rFonts w:cs="Arial"/>
          <w:lang w:val="sr-Latn-RS"/>
        </w:rPr>
        <w:t xml:space="preserve"> </w:t>
      </w:r>
      <w:r w:rsidR="00084400" w:rsidRPr="00696230">
        <w:rPr>
          <w:rFonts w:cs="Arial"/>
          <w:lang w:val="sr-Latn-RS"/>
        </w:rPr>
        <w:t xml:space="preserve">recorded the rate of </w:t>
      </w:r>
      <w:r w:rsidR="00030DBF" w:rsidRPr="00696230">
        <w:rPr>
          <w:rFonts w:cs="Arial"/>
          <w:lang w:val="sr-Latn-RS"/>
        </w:rPr>
        <w:t>5</w:t>
      </w:r>
      <w:r w:rsidR="0078259C" w:rsidRPr="00696230">
        <w:rPr>
          <w:rFonts w:cs="Arial"/>
          <w:lang w:val="sr-Latn-RS"/>
        </w:rPr>
        <w:t>7</w:t>
      </w:r>
      <w:r w:rsidR="00084400" w:rsidRPr="00696230">
        <w:rPr>
          <w:rFonts w:cs="Arial"/>
          <w:lang w:val="sr-Latn-RS"/>
        </w:rPr>
        <w:t>.</w:t>
      </w:r>
      <w:r w:rsidR="0078259C" w:rsidRPr="00696230">
        <w:rPr>
          <w:rFonts w:cs="Arial"/>
          <w:lang w:val="sr-Latn-RS"/>
        </w:rPr>
        <w:t>0</w:t>
      </w:r>
      <w:r w:rsidR="00423729">
        <w:rPr>
          <w:rFonts w:cs="Arial"/>
          <w:lang w:val="sr-Latn-RS"/>
        </w:rPr>
        <w:t>%. I</w:t>
      </w:r>
      <w:r w:rsidR="00084400" w:rsidRPr="00696230">
        <w:rPr>
          <w:rFonts w:cs="Arial"/>
          <w:lang w:val="sr-Latn-RS"/>
        </w:rPr>
        <w:t xml:space="preserve">n activities </w:t>
      </w:r>
      <w:r w:rsidR="002A0F49" w:rsidRPr="00696230">
        <w:rPr>
          <w:rFonts w:cs="Arial"/>
          <w:lang w:val="sr-Latn-RS"/>
        </w:rPr>
        <w:t>excluding</w:t>
      </w:r>
      <w:r w:rsidR="00084400" w:rsidRPr="00696230">
        <w:rPr>
          <w:rFonts w:cs="Arial"/>
          <w:lang w:val="sr-Latn-RS"/>
        </w:rPr>
        <w:t xml:space="preserve"> agriculture, </w:t>
      </w:r>
      <w:r w:rsidR="003B2BF0">
        <w:rPr>
          <w:rFonts w:cs="Arial"/>
          <w:lang w:val="sr-Latn-RS"/>
        </w:rPr>
        <w:t>this</w:t>
      </w:r>
      <w:r w:rsidR="00F7497D" w:rsidRPr="00696230">
        <w:rPr>
          <w:rFonts w:cs="Arial"/>
          <w:lang w:val="sr-Latn-RS"/>
        </w:rPr>
        <w:t xml:space="preserve"> rate had the value of </w:t>
      </w:r>
      <w:r w:rsidR="0078259C" w:rsidRPr="00696230">
        <w:rPr>
          <w:rFonts w:cs="Arial"/>
          <w:lang w:val="sr-Latn-RS"/>
        </w:rPr>
        <w:t>6</w:t>
      </w:r>
      <w:r w:rsidR="00F7497D" w:rsidRPr="00696230">
        <w:rPr>
          <w:rFonts w:cs="Arial"/>
          <w:lang w:val="sr-Latn-RS"/>
        </w:rPr>
        <w:t>.</w:t>
      </w:r>
      <w:r w:rsidR="0078259C" w:rsidRPr="00696230">
        <w:rPr>
          <w:rFonts w:cs="Arial"/>
          <w:lang w:val="sr-Latn-RS"/>
        </w:rPr>
        <w:t>6</w:t>
      </w:r>
      <w:r w:rsidR="00F7497D" w:rsidRPr="00696230">
        <w:rPr>
          <w:rFonts w:cs="Arial"/>
          <w:lang w:val="sr-Latn-RS"/>
        </w:rPr>
        <w:t>%.</w:t>
      </w:r>
    </w:p>
    <w:p w:rsidR="00391A81" w:rsidRPr="00696230" w:rsidRDefault="00391A81" w:rsidP="00ED093B">
      <w:pPr>
        <w:spacing w:before="120" w:after="120" w:line="264" w:lineRule="auto"/>
        <w:ind w:firstLine="403"/>
        <w:jc w:val="both"/>
        <w:rPr>
          <w:rFonts w:cs="Arial"/>
          <w:lang w:val="sr-Latn-RS"/>
        </w:rPr>
      </w:pPr>
      <w:r w:rsidRPr="00696230">
        <w:rPr>
          <w:rFonts w:cs="Arial"/>
          <w:b/>
          <w:lang w:val="sr-Latn-RS"/>
        </w:rPr>
        <w:t>Unemployment rate</w:t>
      </w:r>
      <w:r w:rsidRPr="00696230">
        <w:rPr>
          <w:rFonts w:cs="Arial"/>
          <w:lang w:val="sr-Latn-RS"/>
        </w:rPr>
        <w:t xml:space="preserve"> </w:t>
      </w:r>
      <w:r w:rsidR="00516DF9">
        <w:rPr>
          <w:rFonts w:cs="Arial"/>
          <w:lang w:val="sr-Latn-RS"/>
        </w:rPr>
        <w:t>in the</w:t>
      </w:r>
      <w:r w:rsidRPr="00696230">
        <w:rPr>
          <w:rFonts w:cs="Arial"/>
          <w:lang w:val="sr-Latn-RS"/>
        </w:rPr>
        <w:t xml:space="preserve"> population aged 15 and over amounted to </w:t>
      </w:r>
      <w:r w:rsidR="00030DBF" w:rsidRPr="00696230">
        <w:rPr>
          <w:rFonts w:cs="Arial"/>
          <w:lang w:val="sr-Latn-RS"/>
        </w:rPr>
        <w:t>9</w:t>
      </w:r>
      <w:r w:rsidRPr="00696230">
        <w:rPr>
          <w:rFonts w:cs="Arial"/>
          <w:lang w:val="sr-Latn-RS"/>
        </w:rPr>
        <w:t>.</w:t>
      </w:r>
      <w:r w:rsidR="0078259C" w:rsidRPr="00696230">
        <w:rPr>
          <w:rFonts w:cs="Arial"/>
          <w:lang w:val="sr-Latn-RS"/>
        </w:rPr>
        <w:t>7</w:t>
      </w:r>
      <w:r w:rsidR="00C0716F" w:rsidRPr="00696230">
        <w:rPr>
          <w:rFonts w:cs="Arial"/>
          <w:lang w:val="sr-Latn-RS"/>
        </w:rPr>
        <w:t xml:space="preserve">%, i.e. </w:t>
      </w:r>
      <w:r w:rsidR="0078259C" w:rsidRPr="00696230">
        <w:rPr>
          <w:rFonts w:cs="Arial"/>
          <w:lang w:val="sr-Latn-RS"/>
        </w:rPr>
        <w:t>9</w:t>
      </w:r>
      <w:r w:rsidR="00C0716F" w:rsidRPr="00696230">
        <w:rPr>
          <w:rFonts w:cs="Arial"/>
          <w:lang w:val="sr-Latn-RS"/>
        </w:rPr>
        <w:t>.</w:t>
      </w:r>
      <w:r w:rsidR="0078259C" w:rsidRPr="00696230">
        <w:rPr>
          <w:rFonts w:cs="Arial"/>
          <w:lang w:val="sr-Latn-RS"/>
        </w:rPr>
        <w:t>3</w:t>
      </w:r>
      <w:r w:rsidRPr="00696230">
        <w:rPr>
          <w:rFonts w:cs="Arial"/>
          <w:lang w:val="sr-Latn-RS"/>
        </w:rPr>
        <w:t>% regarding males and 1</w:t>
      </w:r>
      <w:r w:rsidR="00030DBF" w:rsidRPr="00696230">
        <w:rPr>
          <w:rFonts w:cs="Arial"/>
          <w:lang w:val="sr-Latn-RS"/>
        </w:rPr>
        <w:t>0</w:t>
      </w:r>
      <w:r w:rsidRPr="00696230">
        <w:rPr>
          <w:rFonts w:cs="Arial"/>
          <w:lang w:val="sr-Latn-RS"/>
        </w:rPr>
        <w:t>.</w:t>
      </w:r>
      <w:r w:rsidR="0078259C" w:rsidRPr="00696230">
        <w:rPr>
          <w:rFonts w:cs="Arial"/>
          <w:lang w:val="sr-Latn-RS"/>
        </w:rPr>
        <w:t>2</w:t>
      </w:r>
      <w:r w:rsidRPr="00696230">
        <w:rPr>
          <w:rFonts w:cs="Arial"/>
          <w:lang w:val="sr-Latn-RS"/>
        </w:rPr>
        <w:t xml:space="preserve">% regarding females. Observed by regions, the </w:t>
      </w:r>
      <w:r w:rsidR="00084400" w:rsidRPr="00696230">
        <w:rPr>
          <w:rFonts w:cs="Arial"/>
          <w:lang w:val="sr-Latn-RS"/>
        </w:rPr>
        <w:t>lowest rate was recorded in</w:t>
      </w:r>
      <w:r w:rsidR="0078259C" w:rsidRPr="00696230">
        <w:rPr>
          <w:rFonts w:cs="Arial"/>
          <w:lang w:val="sr-Latn-RS"/>
        </w:rPr>
        <w:t xml:space="preserve"> </w:t>
      </w:r>
      <w:r w:rsidR="00852349" w:rsidRPr="00696230">
        <w:rPr>
          <w:rFonts w:cs="Arial"/>
          <w:lang w:val="sr-Latn-RS"/>
        </w:rPr>
        <w:t>Beogradski region (</w:t>
      </w:r>
      <w:r w:rsidR="00C0716F" w:rsidRPr="00696230">
        <w:rPr>
          <w:rFonts w:cs="Arial"/>
          <w:lang w:val="sr-Latn-RS"/>
        </w:rPr>
        <w:t>7</w:t>
      </w:r>
      <w:r w:rsidR="00852349" w:rsidRPr="00696230">
        <w:rPr>
          <w:rFonts w:cs="Arial"/>
          <w:lang w:val="sr-Latn-RS"/>
        </w:rPr>
        <w:t>.</w:t>
      </w:r>
      <w:r w:rsidR="009D3D0D" w:rsidRPr="00696230">
        <w:rPr>
          <w:rFonts w:cs="Arial"/>
          <w:lang w:val="sr-Latn-RS"/>
        </w:rPr>
        <w:t>1</w:t>
      </w:r>
      <w:r w:rsidR="00852349" w:rsidRPr="00696230">
        <w:rPr>
          <w:rFonts w:cs="Arial"/>
          <w:lang w:val="sr-Latn-RS"/>
        </w:rPr>
        <w:t>%</w:t>
      </w:r>
      <w:r w:rsidR="00220476" w:rsidRPr="00696230">
        <w:rPr>
          <w:rFonts w:cs="Arial"/>
          <w:lang w:val="sr-Latn-RS"/>
        </w:rPr>
        <w:t>)</w:t>
      </w:r>
      <w:r w:rsidR="009D3D0D" w:rsidRPr="00696230">
        <w:rPr>
          <w:rFonts w:cs="Arial"/>
          <w:lang w:val="sr-Latn-RS"/>
        </w:rPr>
        <w:t xml:space="preserve">, </w:t>
      </w:r>
      <w:r w:rsidR="00852349" w:rsidRPr="00696230">
        <w:rPr>
          <w:rFonts w:cs="Arial"/>
          <w:lang w:val="sr-Latn-RS"/>
        </w:rPr>
        <w:t xml:space="preserve">followed by </w:t>
      </w:r>
      <w:r w:rsidR="00084400" w:rsidRPr="00696230">
        <w:rPr>
          <w:rFonts w:cs="Arial"/>
          <w:lang w:val="sr-Latn-RS"/>
        </w:rPr>
        <w:t>Region Vojvodine (</w:t>
      </w:r>
      <w:r w:rsidR="00220476" w:rsidRPr="00696230">
        <w:rPr>
          <w:rFonts w:cs="Arial"/>
          <w:lang w:val="sr-Latn-RS"/>
        </w:rPr>
        <w:t>8.</w:t>
      </w:r>
      <w:r w:rsidR="009D3D0D" w:rsidRPr="00696230">
        <w:rPr>
          <w:rFonts w:cs="Arial"/>
          <w:lang w:val="sr-Latn-RS"/>
        </w:rPr>
        <w:t>4</w:t>
      </w:r>
      <w:r w:rsidR="00220476" w:rsidRPr="00696230">
        <w:rPr>
          <w:rFonts w:cs="Arial"/>
          <w:lang w:val="sr-Latn-RS"/>
        </w:rPr>
        <w:t>%)</w:t>
      </w:r>
      <w:r w:rsidR="00084400" w:rsidRPr="00696230">
        <w:rPr>
          <w:rFonts w:cs="Arial"/>
          <w:lang w:val="sr-Latn-RS"/>
        </w:rPr>
        <w:t xml:space="preserve"> and Region Šumadije</w:t>
      </w:r>
      <w:r w:rsidR="009D3D0D" w:rsidRPr="00696230">
        <w:rPr>
          <w:rFonts w:cs="Arial"/>
          <w:lang w:val="sr-Latn-RS"/>
        </w:rPr>
        <w:t xml:space="preserve"> I </w:t>
      </w:r>
      <w:r w:rsidR="00084400" w:rsidRPr="00696230">
        <w:rPr>
          <w:rFonts w:cs="Arial"/>
          <w:lang w:val="sr-Latn-RS"/>
        </w:rPr>
        <w:t>Zapadne</w:t>
      </w:r>
      <w:r w:rsidR="009D3D0D" w:rsidRPr="00696230">
        <w:rPr>
          <w:rFonts w:cs="Arial"/>
          <w:lang w:val="sr-Latn-RS"/>
        </w:rPr>
        <w:t xml:space="preserve"> </w:t>
      </w:r>
      <w:r w:rsidR="00084400" w:rsidRPr="00696230">
        <w:rPr>
          <w:rFonts w:cs="Arial"/>
          <w:lang w:val="sr-Latn-RS"/>
        </w:rPr>
        <w:t>Srbije (1</w:t>
      </w:r>
      <w:r w:rsidR="009D3D0D" w:rsidRPr="00696230">
        <w:rPr>
          <w:rFonts w:cs="Arial"/>
          <w:lang w:val="sr-Latn-RS"/>
        </w:rPr>
        <w:t>1</w:t>
      </w:r>
      <w:r w:rsidR="00084400" w:rsidRPr="00696230">
        <w:rPr>
          <w:rFonts w:cs="Arial"/>
          <w:lang w:val="sr-Latn-RS"/>
        </w:rPr>
        <w:t>.</w:t>
      </w:r>
      <w:r w:rsidR="009D3D0D" w:rsidRPr="00696230">
        <w:rPr>
          <w:rFonts w:cs="Arial"/>
          <w:lang w:val="sr-Latn-RS"/>
        </w:rPr>
        <w:t>5</w:t>
      </w:r>
      <w:r w:rsidR="00084400" w:rsidRPr="00696230">
        <w:rPr>
          <w:rFonts w:cs="Arial"/>
          <w:lang w:val="sr-Latn-RS"/>
        </w:rPr>
        <w:t>%). I</w:t>
      </w:r>
      <w:r w:rsidRPr="00696230">
        <w:rPr>
          <w:rFonts w:cs="Arial"/>
          <w:lang w:val="sr-Latn-RS"/>
        </w:rPr>
        <w:t>n Region Južne</w:t>
      </w:r>
      <w:r w:rsidR="009D3D0D" w:rsidRPr="00696230">
        <w:rPr>
          <w:rFonts w:cs="Arial"/>
          <w:lang w:val="sr-Latn-RS"/>
        </w:rPr>
        <w:t xml:space="preserve"> I </w:t>
      </w:r>
      <w:r w:rsidRPr="00696230">
        <w:rPr>
          <w:rFonts w:cs="Arial"/>
          <w:lang w:val="sr-Latn-RS"/>
        </w:rPr>
        <w:t>Istočne</w:t>
      </w:r>
      <w:r w:rsidR="009D3D0D" w:rsidRPr="00696230">
        <w:rPr>
          <w:rFonts w:cs="Arial"/>
          <w:lang w:val="sr-Latn-RS"/>
        </w:rPr>
        <w:t xml:space="preserve"> </w:t>
      </w:r>
      <w:r w:rsidRPr="00696230">
        <w:rPr>
          <w:rFonts w:cs="Arial"/>
          <w:lang w:val="sr-Latn-RS"/>
        </w:rPr>
        <w:t>Srbije</w:t>
      </w:r>
      <w:r w:rsidR="004D77EB">
        <w:rPr>
          <w:rFonts w:cs="Arial"/>
          <w:lang w:val="sr-Latn-RS"/>
        </w:rPr>
        <w:t xml:space="preserve"> </w:t>
      </w:r>
      <w:r w:rsidR="004D77EB" w:rsidRPr="00696230">
        <w:rPr>
          <w:rFonts w:cs="Arial"/>
          <w:lang w:val="sr-Latn-RS"/>
        </w:rPr>
        <w:t>was</w:t>
      </w:r>
      <w:r w:rsidR="009D3D0D" w:rsidRPr="00696230">
        <w:rPr>
          <w:rFonts w:cs="Arial"/>
          <w:lang w:val="sr-Latn-RS"/>
        </w:rPr>
        <w:t xml:space="preserve"> </w:t>
      </w:r>
      <w:r w:rsidR="00084400" w:rsidRPr="00696230">
        <w:rPr>
          <w:rFonts w:cs="Arial"/>
          <w:lang w:val="sr-Latn-RS"/>
        </w:rPr>
        <w:t>record</w:t>
      </w:r>
      <w:r w:rsidR="00C0716F" w:rsidRPr="00696230">
        <w:rPr>
          <w:rFonts w:cs="Arial"/>
          <w:lang w:val="sr-Latn-RS"/>
        </w:rPr>
        <w:t>ed</w:t>
      </w:r>
      <w:r w:rsidR="009D3D0D" w:rsidRPr="00696230">
        <w:rPr>
          <w:rFonts w:cs="Arial"/>
          <w:lang w:val="sr-Latn-RS"/>
        </w:rPr>
        <w:t xml:space="preserve"> </w:t>
      </w:r>
      <w:r w:rsidR="00084400" w:rsidRPr="00696230">
        <w:rPr>
          <w:rFonts w:cs="Arial"/>
          <w:lang w:val="sr-Latn-RS"/>
        </w:rPr>
        <w:t xml:space="preserve">the </w:t>
      </w:r>
      <w:r w:rsidR="003223A6">
        <w:rPr>
          <w:rFonts w:cs="Arial"/>
          <w:lang w:val="sr-Latn-RS"/>
        </w:rPr>
        <w:t xml:space="preserve">most </w:t>
      </w:r>
      <w:r w:rsidR="004D77EB">
        <w:rPr>
          <w:rFonts w:cs="Arial"/>
          <w:lang w:val="sr-Latn-RS"/>
        </w:rPr>
        <w:t>difficult</w:t>
      </w:r>
      <w:r w:rsidR="00030DBF" w:rsidRPr="00696230">
        <w:rPr>
          <w:rFonts w:cs="Arial"/>
          <w:lang w:val="sr-Latn-RS"/>
        </w:rPr>
        <w:t xml:space="preserve"> situation regarding </w:t>
      </w:r>
      <w:r w:rsidR="00961739" w:rsidRPr="00696230">
        <w:rPr>
          <w:rFonts w:cs="Arial"/>
          <w:lang w:val="sr-Latn-RS"/>
        </w:rPr>
        <w:t>labour</w:t>
      </w:r>
      <w:r w:rsidR="00030DBF" w:rsidRPr="00696230">
        <w:rPr>
          <w:rFonts w:cs="Arial"/>
          <w:lang w:val="sr-Latn-RS"/>
        </w:rPr>
        <w:t xml:space="preserve"> market, resulting </w:t>
      </w:r>
      <w:r w:rsidR="00703192">
        <w:rPr>
          <w:rFonts w:cs="Arial"/>
          <w:lang w:val="sr-Latn-RS"/>
        </w:rPr>
        <w:t>with</w:t>
      </w:r>
      <w:r w:rsidR="00030DBF" w:rsidRPr="00696230">
        <w:rPr>
          <w:rFonts w:cs="Arial"/>
          <w:lang w:val="sr-Latn-RS"/>
        </w:rPr>
        <w:t xml:space="preserve"> the greatest</w:t>
      </w:r>
      <w:r w:rsidR="00084400" w:rsidRPr="00696230">
        <w:rPr>
          <w:rFonts w:cs="Arial"/>
          <w:lang w:val="sr-Latn-RS"/>
        </w:rPr>
        <w:t xml:space="preserve"> </w:t>
      </w:r>
      <w:r w:rsidR="009D3D0D" w:rsidRPr="00696230">
        <w:rPr>
          <w:rFonts w:cs="Arial"/>
          <w:lang w:val="sr-Latn-RS"/>
        </w:rPr>
        <w:t xml:space="preserve">percentage of the unemployed, as shown </w:t>
      </w:r>
      <w:r w:rsidR="00570D86">
        <w:rPr>
          <w:rFonts w:cs="Arial"/>
          <w:lang w:val="sr-Latn-RS"/>
        </w:rPr>
        <w:t>by</w:t>
      </w:r>
      <w:r w:rsidR="009D3D0D" w:rsidRPr="00696230">
        <w:rPr>
          <w:rFonts w:cs="Arial"/>
          <w:lang w:val="sr-Latn-RS"/>
        </w:rPr>
        <w:t xml:space="preserve"> the </w:t>
      </w:r>
      <w:r w:rsidR="00084400" w:rsidRPr="00696230">
        <w:rPr>
          <w:rFonts w:cs="Arial"/>
          <w:lang w:val="sr-Latn-RS"/>
        </w:rPr>
        <w:t>unemployment rate of 1</w:t>
      </w:r>
      <w:r w:rsidR="00C0716F" w:rsidRPr="00696230">
        <w:rPr>
          <w:rFonts w:cs="Arial"/>
          <w:lang w:val="sr-Latn-RS"/>
        </w:rPr>
        <w:t>2</w:t>
      </w:r>
      <w:r w:rsidR="00084400" w:rsidRPr="00696230">
        <w:rPr>
          <w:rFonts w:cs="Arial"/>
          <w:lang w:val="sr-Latn-RS"/>
        </w:rPr>
        <w:t>.</w:t>
      </w:r>
      <w:r w:rsidR="009D3D0D" w:rsidRPr="00696230">
        <w:rPr>
          <w:rFonts w:cs="Arial"/>
          <w:lang w:val="sr-Latn-RS"/>
        </w:rPr>
        <w:t>3</w:t>
      </w:r>
      <w:r w:rsidR="00084400" w:rsidRPr="00696230">
        <w:rPr>
          <w:rFonts w:cs="Arial"/>
          <w:lang w:val="sr-Latn-RS"/>
        </w:rPr>
        <w:t>%</w:t>
      </w:r>
      <w:r w:rsidRPr="00696230">
        <w:rPr>
          <w:rFonts w:cs="Arial"/>
          <w:lang w:val="sr-Latn-RS"/>
        </w:rPr>
        <w:t>.</w:t>
      </w:r>
    </w:p>
    <w:p w:rsidR="009E3604" w:rsidRPr="00696230" w:rsidRDefault="009E3604" w:rsidP="00AE1A0C">
      <w:pPr>
        <w:spacing w:before="480" w:after="120" w:line="300" w:lineRule="auto"/>
        <w:ind w:firstLine="403"/>
        <w:jc w:val="center"/>
        <w:rPr>
          <w:rFonts w:cs="Arial"/>
          <w:bCs/>
          <w:lang w:val="sr-Latn-RS"/>
        </w:rPr>
      </w:pPr>
      <w:r w:rsidRPr="00696230">
        <w:rPr>
          <w:rFonts w:cs="Arial"/>
          <w:b/>
          <w:color w:val="323232"/>
          <w:lang w:val="sr-Latn-RS"/>
        </w:rPr>
        <w:t>Table 1</w:t>
      </w:r>
      <w:r w:rsidR="009D3D0D" w:rsidRPr="00696230">
        <w:rPr>
          <w:rFonts w:cs="Arial"/>
          <w:b/>
          <w:color w:val="323232"/>
          <w:lang w:val="sr-Latn-RS"/>
        </w:rPr>
        <w:t xml:space="preserve"> </w:t>
      </w:r>
      <w:r w:rsidRPr="00696230">
        <w:rPr>
          <w:rFonts w:cs="Arial"/>
          <w:bCs/>
          <w:lang w:val="sr-Latn-RS"/>
        </w:rPr>
        <w:t>Main indicators of labour market trend, Q</w:t>
      </w:r>
      <w:r w:rsidR="00D0048F" w:rsidRPr="00696230">
        <w:rPr>
          <w:rFonts w:cs="Arial"/>
          <w:bCs/>
          <w:lang w:val="sr-Latn-RS"/>
        </w:rPr>
        <w:t>1</w:t>
      </w:r>
      <w:r w:rsidRPr="00696230">
        <w:rPr>
          <w:rFonts w:cs="Arial"/>
          <w:bCs/>
          <w:lang w:val="sr-Latn-RS"/>
        </w:rPr>
        <w:t xml:space="preserve"> 20</w:t>
      </w:r>
      <w:r w:rsidR="00D0048F" w:rsidRPr="00696230">
        <w:rPr>
          <w:rFonts w:cs="Arial"/>
          <w:bCs/>
          <w:lang w:val="sr-Latn-RS"/>
        </w:rPr>
        <w:t>20</w:t>
      </w:r>
    </w:p>
    <w:tbl>
      <w:tblPr>
        <w:tblW w:w="9072" w:type="dxa"/>
        <w:jc w:val="center"/>
        <w:tblLayout w:type="fixed"/>
        <w:tblLook w:val="04A0" w:firstRow="1" w:lastRow="0" w:firstColumn="1" w:lastColumn="0" w:noHBand="0" w:noVBand="1"/>
      </w:tblPr>
      <w:tblGrid>
        <w:gridCol w:w="3771"/>
        <w:gridCol w:w="1075"/>
        <w:gridCol w:w="1044"/>
        <w:gridCol w:w="1061"/>
        <w:gridCol w:w="15"/>
        <w:gridCol w:w="1045"/>
        <w:gridCol w:w="1061"/>
      </w:tblGrid>
      <w:tr w:rsidR="009E3604" w:rsidRPr="00696230" w:rsidTr="00066CE2">
        <w:trPr>
          <w:trHeight w:val="587"/>
          <w:jc w:val="center"/>
        </w:trPr>
        <w:tc>
          <w:tcPr>
            <w:tcW w:w="3771" w:type="dxa"/>
            <w:vMerge w:val="restart"/>
            <w:tcBorders>
              <w:top w:val="single" w:sz="8" w:space="0" w:color="0C5498"/>
              <w:bottom w:val="single" w:sz="8" w:space="0" w:color="0C5498"/>
              <w:right w:val="single" w:sz="8" w:space="0" w:color="0C5498"/>
            </w:tcBorders>
            <w:shd w:val="clear" w:color="auto" w:fill="auto"/>
            <w:noWrap/>
            <w:vAlign w:val="center"/>
            <w:hideMark/>
          </w:tcPr>
          <w:p w:rsidR="009E3604" w:rsidRPr="00696230" w:rsidRDefault="009E3604" w:rsidP="009130AD">
            <w:pPr>
              <w:rPr>
                <w:rFonts w:cs="Arial"/>
                <w:color w:val="000000"/>
                <w:sz w:val="18"/>
                <w:szCs w:val="18"/>
                <w:lang w:val="sr-Latn-RS"/>
              </w:rPr>
            </w:pPr>
            <w:r w:rsidRPr="00696230">
              <w:rPr>
                <w:rFonts w:cs="Arial"/>
                <w:color w:val="000000"/>
                <w:sz w:val="18"/>
                <w:szCs w:val="18"/>
                <w:lang w:val="sr-Latn-RS"/>
              </w:rPr>
              <w:t> </w:t>
            </w:r>
          </w:p>
        </w:tc>
        <w:tc>
          <w:tcPr>
            <w:tcW w:w="1075" w:type="dxa"/>
            <w:tcBorders>
              <w:top w:val="single" w:sz="8" w:space="0" w:color="0C5498"/>
              <w:left w:val="nil"/>
              <w:bottom w:val="single" w:sz="8" w:space="0" w:color="0C5498"/>
              <w:right w:val="single" w:sz="8" w:space="0" w:color="0C5498"/>
            </w:tcBorders>
            <w:shd w:val="clear" w:color="auto" w:fill="auto"/>
            <w:vAlign w:val="center"/>
            <w:hideMark/>
          </w:tcPr>
          <w:p w:rsidR="009E3604" w:rsidRPr="00696230" w:rsidRDefault="009E3604" w:rsidP="00D0048F">
            <w:pPr>
              <w:jc w:val="center"/>
              <w:rPr>
                <w:rFonts w:cs="Arial"/>
                <w:color w:val="000000"/>
                <w:sz w:val="18"/>
                <w:szCs w:val="18"/>
                <w:lang w:val="sr-Latn-RS"/>
              </w:rPr>
            </w:pPr>
            <w:r w:rsidRPr="00696230">
              <w:rPr>
                <w:rFonts w:cs="Arial"/>
                <w:sz w:val="18"/>
                <w:szCs w:val="18"/>
                <w:lang w:val="sr-Latn-RS"/>
              </w:rPr>
              <w:t>Q</w:t>
            </w:r>
            <w:r w:rsidR="00D0048F" w:rsidRPr="00696230">
              <w:rPr>
                <w:rFonts w:cs="Arial"/>
                <w:sz w:val="18"/>
                <w:szCs w:val="18"/>
                <w:lang w:val="sr-Latn-RS"/>
              </w:rPr>
              <w:t>1</w:t>
            </w:r>
            <w:r w:rsidRPr="00696230">
              <w:rPr>
                <w:rFonts w:cs="Arial"/>
                <w:sz w:val="18"/>
                <w:szCs w:val="18"/>
                <w:lang w:val="sr-Latn-RS"/>
              </w:rPr>
              <w:t xml:space="preserve"> 20</w:t>
            </w:r>
            <w:r w:rsidR="00D0048F" w:rsidRPr="00696230">
              <w:rPr>
                <w:rFonts w:cs="Arial"/>
                <w:sz w:val="18"/>
                <w:szCs w:val="18"/>
                <w:lang w:val="sr-Latn-RS"/>
              </w:rPr>
              <w:t>20</w:t>
            </w:r>
          </w:p>
        </w:tc>
        <w:tc>
          <w:tcPr>
            <w:tcW w:w="2120" w:type="dxa"/>
            <w:gridSpan w:val="3"/>
            <w:tcBorders>
              <w:top w:val="single" w:sz="8" w:space="0" w:color="0C5498"/>
              <w:left w:val="nil"/>
              <w:bottom w:val="single" w:sz="8" w:space="0" w:color="0C5498"/>
              <w:right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sz w:val="18"/>
                <w:szCs w:val="18"/>
                <w:lang w:val="sr-Latn-RS"/>
              </w:rPr>
              <w:t>Changes relative to previous quarter</w:t>
            </w:r>
          </w:p>
        </w:tc>
        <w:tc>
          <w:tcPr>
            <w:tcW w:w="2106" w:type="dxa"/>
            <w:gridSpan w:val="2"/>
            <w:tcBorders>
              <w:top w:val="single" w:sz="8" w:space="0" w:color="0C5498"/>
              <w:left w:val="nil"/>
              <w:bottom w:val="single" w:sz="8" w:space="0" w:color="0C5498"/>
            </w:tcBorders>
            <w:shd w:val="clear" w:color="auto" w:fill="auto"/>
            <w:vAlign w:val="center"/>
            <w:hideMark/>
          </w:tcPr>
          <w:p w:rsidR="009E3604" w:rsidRPr="00696230" w:rsidRDefault="009E3604" w:rsidP="00D0048F">
            <w:pPr>
              <w:jc w:val="center"/>
              <w:rPr>
                <w:rFonts w:cs="Arial"/>
                <w:color w:val="000000"/>
                <w:sz w:val="18"/>
                <w:szCs w:val="18"/>
                <w:lang w:val="sr-Latn-RS"/>
              </w:rPr>
            </w:pPr>
            <w:r w:rsidRPr="00696230">
              <w:rPr>
                <w:rFonts w:cs="Arial"/>
                <w:sz w:val="18"/>
                <w:szCs w:val="18"/>
                <w:lang w:val="sr-Latn-RS"/>
              </w:rPr>
              <w:t>Changes relative to same quarter of 201</w:t>
            </w:r>
            <w:r w:rsidR="00D0048F" w:rsidRPr="00696230">
              <w:rPr>
                <w:rFonts w:cs="Arial"/>
                <w:sz w:val="18"/>
                <w:szCs w:val="18"/>
                <w:lang w:val="sr-Latn-RS"/>
              </w:rPr>
              <w:t>9</w:t>
            </w:r>
          </w:p>
        </w:tc>
      </w:tr>
      <w:tr w:rsidR="009E3604" w:rsidRPr="00696230" w:rsidTr="00066CE2">
        <w:trPr>
          <w:trHeight w:val="273"/>
          <w:jc w:val="center"/>
        </w:trPr>
        <w:tc>
          <w:tcPr>
            <w:tcW w:w="3771" w:type="dxa"/>
            <w:vMerge/>
            <w:tcBorders>
              <w:top w:val="single" w:sz="8" w:space="0" w:color="0C5498"/>
              <w:bottom w:val="single" w:sz="8" w:space="0" w:color="0C5498"/>
              <w:right w:val="single" w:sz="8" w:space="0" w:color="0C5498"/>
            </w:tcBorders>
            <w:vAlign w:val="center"/>
            <w:hideMark/>
          </w:tcPr>
          <w:p w:rsidR="009E3604" w:rsidRPr="00696230" w:rsidRDefault="009E3604" w:rsidP="009130AD">
            <w:pPr>
              <w:rPr>
                <w:rFonts w:cs="Arial"/>
                <w:color w:val="000000"/>
                <w:sz w:val="18"/>
                <w:szCs w:val="18"/>
                <w:lang w:val="sr-Latn-RS"/>
              </w:rPr>
            </w:pPr>
          </w:p>
        </w:tc>
        <w:tc>
          <w:tcPr>
            <w:tcW w:w="1075" w:type="dxa"/>
            <w:tcBorders>
              <w:top w:val="nil"/>
              <w:left w:val="nil"/>
              <w:bottom w:val="single" w:sz="8" w:space="0" w:color="0C5498"/>
              <w:right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sz w:val="18"/>
                <w:szCs w:val="18"/>
                <w:lang w:val="sr-Latn-RS"/>
              </w:rPr>
              <w:t>(in thousand)</w:t>
            </w:r>
          </w:p>
        </w:tc>
        <w:tc>
          <w:tcPr>
            <w:tcW w:w="1044" w:type="dxa"/>
            <w:tcBorders>
              <w:top w:val="nil"/>
              <w:left w:val="nil"/>
              <w:bottom w:val="single" w:sz="8" w:space="0" w:color="0C5498"/>
              <w:right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sz w:val="18"/>
                <w:szCs w:val="18"/>
                <w:lang w:val="sr-Latn-RS"/>
              </w:rPr>
              <w:t>(in thousand)</w:t>
            </w:r>
          </w:p>
        </w:tc>
        <w:tc>
          <w:tcPr>
            <w:tcW w:w="1061" w:type="dxa"/>
            <w:tcBorders>
              <w:top w:val="nil"/>
              <w:left w:val="nil"/>
              <w:bottom w:val="single" w:sz="8" w:space="0" w:color="0C5498"/>
              <w:right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color w:val="000000"/>
                <w:sz w:val="18"/>
                <w:szCs w:val="18"/>
                <w:lang w:val="sr-Latn-RS"/>
              </w:rPr>
              <w:t>%</w:t>
            </w:r>
          </w:p>
        </w:tc>
        <w:tc>
          <w:tcPr>
            <w:tcW w:w="1060" w:type="dxa"/>
            <w:gridSpan w:val="2"/>
            <w:tcBorders>
              <w:top w:val="nil"/>
              <w:left w:val="nil"/>
              <w:bottom w:val="single" w:sz="8" w:space="0" w:color="0C5498"/>
              <w:right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sz w:val="18"/>
                <w:szCs w:val="18"/>
                <w:lang w:val="sr-Latn-RS"/>
              </w:rPr>
              <w:t>(in thousand)</w:t>
            </w:r>
          </w:p>
        </w:tc>
        <w:tc>
          <w:tcPr>
            <w:tcW w:w="1061" w:type="dxa"/>
            <w:tcBorders>
              <w:top w:val="nil"/>
              <w:left w:val="nil"/>
              <w:bottom w:val="single" w:sz="8" w:space="0" w:color="0C5498"/>
            </w:tcBorders>
            <w:shd w:val="clear" w:color="auto" w:fill="auto"/>
            <w:vAlign w:val="center"/>
            <w:hideMark/>
          </w:tcPr>
          <w:p w:rsidR="009E3604" w:rsidRPr="00696230" w:rsidRDefault="009E3604" w:rsidP="009130AD">
            <w:pPr>
              <w:jc w:val="center"/>
              <w:rPr>
                <w:rFonts w:cs="Arial"/>
                <w:color w:val="000000"/>
                <w:sz w:val="18"/>
                <w:szCs w:val="18"/>
                <w:lang w:val="sr-Latn-RS"/>
              </w:rPr>
            </w:pPr>
            <w:r w:rsidRPr="00696230">
              <w:rPr>
                <w:rFonts w:cs="Arial"/>
                <w:color w:val="000000"/>
                <w:sz w:val="18"/>
                <w:szCs w:val="18"/>
                <w:lang w:val="sr-Latn-RS"/>
              </w:rPr>
              <w:t>%</w:t>
            </w:r>
          </w:p>
        </w:tc>
      </w:tr>
      <w:tr w:rsidR="009E3604" w:rsidRPr="00696230" w:rsidTr="00066CE2">
        <w:trPr>
          <w:trHeight w:val="260"/>
          <w:jc w:val="center"/>
        </w:trPr>
        <w:tc>
          <w:tcPr>
            <w:tcW w:w="3771" w:type="dxa"/>
            <w:tcBorders>
              <w:top w:val="nil"/>
              <w:bottom w:val="nil"/>
              <w:right w:val="single" w:sz="8" w:space="0" w:color="0C5498"/>
            </w:tcBorders>
            <w:shd w:val="clear" w:color="auto" w:fill="auto"/>
            <w:vAlign w:val="center"/>
            <w:hideMark/>
          </w:tcPr>
          <w:p w:rsidR="009E3604" w:rsidRPr="00696230" w:rsidRDefault="009E3604" w:rsidP="009130AD">
            <w:pPr>
              <w:rPr>
                <w:rFonts w:cs="Arial"/>
                <w:b/>
                <w:bCs/>
                <w:color w:val="000000"/>
                <w:sz w:val="18"/>
                <w:szCs w:val="18"/>
                <w:lang w:val="sr-Latn-RS"/>
              </w:rPr>
            </w:pPr>
            <w:r w:rsidRPr="00696230">
              <w:rPr>
                <w:rFonts w:cs="Arial"/>
                <w:b/>
                <w:bCs/>
                <w:color w:val="000000"/>
                <w:sz w:val="18"/>
                <w:szCs w:val="18"/>
                <w:lang w:val="sr-Latn-RS"/>
              </w:rPr>
              <w:t> </w:t>
            </w:r>
          </w:p>
        </w:tc>
        <w:tc>
          <w:tcPr>
            <w:tcW w:w="1075" w:type="dxa"/>
            <w:tcBorders>
              <w:top w:val="nil"/>
              <w:left w:val="nil"/>
              <w:bottom w:val="nil"/>
              <w:right w:val="single" w:sz="8" w:space="0" w:color="0C5498"/>
            </w:tcBorders>
            <w:shd w:val="clear" w:color="auto" w:fill="auto"/>
            <w:vAlign w:val="center"/>
            <w:hideMark/>
          </w:tcPr>
          <w:p w:rsidR="009E3604" w:rsidRPr="00696230" w:rsidRDefault="009E3604" w:rsidP="009130AD">
            <w:pPr>
              <w:jc w:val="right"/>
              <w:rPr>
                <w:rFonts w:cs="Arial"/>
                <w:color w:val="000000"/>
                <w:sz w:val="18"/>
                <w:szCs w:val="18"/>
                <w:lang w:val="sr-Latn-RS"/>
              </w:rPr>
            </w:pPr>
            <w:r w:rsidRPr="00696230">
              <w:rPr>
                <w:rFonts w:cs="Arial"/>
                <w:color w:val="000000"/>
                <w:sz w:val="18"/>
                <w:szCs w:val="18"/>
                <w:lang w:val="sr-Latn-RS"/>
              </w:rPr>
              <w:t> </w:t>
            </w:r>
          </w:p>
        </w:tc>
        <w:tc>
          <w:tcPr>
            <w:tcW w:w="1044" w:type="dxa"/>
            <w:tcBorders>
              <w:top w:val="nil"/>
              <w:left w:val="nil"/>
              <w:bottom w:val="nil"/>
              <w:right w:val="nil"/>
            </w:tcBorders>
            <w:shd w:val="clear" w:color="auto" w:fill="auto"/>
            <w:vAlign w:val="center"/>
            <w:hideMark/>
          </w:tcPr>
          <w:p w:rsidR="009E3604" w:rsidRPr="00696230" w:rsidRDefault="009E3604" w:rsidP="009130AD">
            <w:pPr>
              <w:jc w:val="right"/>
              <w:rPr>
                <w:rFonts w:cs="Arial"/>
                <w:color w:val="000000"/>
                <w:sz w:val="18"/>
                <w:szCs w:val="18"/>
                <w:lang w:val="sr-Latn-RS"/>
              </w:rPr>
            </w:pPr>
          </w:p>
        </w:tc>
        <w:tc>
          <w:tcPr>
            <w:tcW w:w="1061" w:type="dxa"/>
            <w:tcBorders>
              <w:top w:val="nil"/>
              <w:left w:val="nil"/>
              <w:bottom w:val="nil"/>
              <w:right w:val="single" w:sz="8" w:space="0" w:color="0C5498"/>
            </w:tcBorders>
            <w:shd w:val="clear" w:color="auto" w:fill="auto"/>
            <w:vAlign w:val="center"/>
            <w:hideMark/>
          </w:tcPr>
          <w:p w:rsidR="009E3604" w:rsidRPr="00696230" w:rsidRDefault="009E3604" w:rsidP="009130AD">
            <w:pPr>
              <w:jc w:val="right"/>
              <w:rPr>
                <w:rFonts w:cs="Arial"/>
                <w:color w:val="000000"/>
                <w:sz w:val="18"/>
                <w:szCs w:val="18"/>
                <w:lang w:val="sr-Latn-RS"/>
              </w:rPr>
            </w:pPr>
            <w:r w:rsidRPr="00696230">
              <w:rPr>
                <w:rFonts w:cs="Arial"/>
                <w:color w:val="000000"/>
                <w:sz w:val="18"/>
                <w:szCs w:val="18"/>
                <w:lang w:val="sr-Latn-RS"/>
              </w:rPr>
              <w:t> </w:t>
            </w:r>
          </w:p>
        </w:tc>
        <w:tc>
          <w:tcPr>
            <w:tcW w:w="1060" w:type="dxa"/>
            <w:gridSpan w:val="2"/>
            <w:tcBorders>
              <w:top w:val="nil"/>
              <w:left w:val="nil"/>
              <w:bottom w:val="nil"/>
              <w:right w:val="nil"/>
            </w:tcBorders>
            <w:shd w:val="clear" w:color="auto" w:fill="auto"/>
            <w:vAlign w:val="center"/>
            <w:hideMark/>
          </w:tcPr>
          <w:p w:rsidR="009E3604" w:rsidRPr="00696230" w:rsidRDefault="009E3604" w:rsidP="009130AD">
            <w:pPr>
              <w:jc w:val="right"/>
              <w:rPr>
                <w:rFonts w:cs="Arial"/>
                <w:color w:val="000000"/>
                <w:sz w:val="18"/>
                <w:szCs w:val="18"/>
                <w:lang w:val="sr-Latn-RS"/>
              </w:rPr>
            </w:pPr>
          </w:p>
        </w:tc>
        <w:tc>
          <w:tcPr>
            <w:tcW w:w="1061" w:type="dxa"/>
            <w:tcBorders>
              <w:top w:val="nil"/>
              <w:left w:val="nil"/>
              <w:bottom w:val="nil"/>
            </w:tcBorders>
            <w:shd w:val="clear" w:color="auto" w:fill="auto"/>
            <w:vAlign w:val="center"/>
            <w:hideMark/>
          </w:tcPr>
          <w:p w:rsidR="009E3604" w:rsidRPr="00696230" w:rsidRDefault="009E3604" w:rsidP="009130AD">
            <w:pPr>
              <w:jc w:val="right"/>
              <w:rPr>
                <w:rFonts w:cs="Arial"/>
                <w:color w:val="000000"/>
                <w:sz w:val="18"/>
                <w:szCs w:val="18"/>
                <w:lang w:val="sr-Latn-RS"/>
              </w:rPr>
            </w:pPr>
            <w:r w:rsidRPr="00696230">
              <w:rPr>
                <w:rFonts w:cs="Arial"/>
                <w:color w:val="000000"/>
                <w:sz w:val="18"/>
                <w:szCs w:val="18"/>
                <w:lang w:val="sr-Latn-RS"/>
              </w:rPr>
              <w:t> </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b/>
                <w:bCs/>
                <w:color w:val="000000"/>
                <w:sz w:val="18"/>
                <w:szCs w:val="18"/>
                <w:lang w:val="sr-Latn-RS"/>
              </w:rPr>
            </w:pPr>
            <w:r w:rsidRPr="00696230">
              <w:rPr>
                <w:rFonts w:cs="Arial"/>
                <w:b/>
                <w:bCs/>
                <w:color w:val="000000"/>
                <w:sz w:val="18"/>
                <w:szCs w:val="18"/>
                <w:lang w:val="sr-Latn-RS"/>
              </w:rPr>
              <w:t>Population 15+</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5905.6</w:t>
            </w:r>
          </w:p>
        </w:tc>
        <w:tc>
          <w:tcPr>
            <w:tcW w:w="1044"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-7.4</w:t>
            </w: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-0.1</w:t>
            </w:r>
          </w:p>
        </w:tc>
        <w:tc>
          <w:tcPr>
            <w:tcW w:w="1060" w:type="dxa"/>
            <w:gridSpan w:val="2"/>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-29.4</w:t>
            </w: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-0.5</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Active population </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3187.7</w:t>
            </w:r>
          </w:p>
        </w:tc>
        <w:tc>
          <w:tcPr>
            <w:tcW w:w="1044"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-64.6</w:t>
            </w: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-2.0</w:t>
            </w:r>
          </w:p>
        </w:tc>
        <w:tc>
          <w:tcPr>
            <w:tcW w:w="1060" w:type="dxa"/>
            <w:gridSpan w:val="2"/>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-9.9</w:t>
            </w: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-0.3</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Employed</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2877.4</w:t>
            </w:r>
          </w:p>
        </w:tc>
        <w:tc>
          <w:tcPr>
            <w:tcW w:w="1044"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-60.8</w:t>
            </w: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-2.1</w:t>
            </w:r>
          </w:p>
        </w:tc>
        <w:tc>
          <w:tcPr>
            <w:tcW w:w="1060" w:type="dxa"/>
            <w:gridSpan w:val="2"/>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66.9</w:t>
            </w: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2.4</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Formally employed</w:t>
            </w:r>
          </w:p>
        </w:tc>
        <w:tc>
          <w:tcPr>
            <w:tcW w:w="1075"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2410.2</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-9.4</w:t>
            </w:r>
          </w:p>
        </w:tc>
        <w:tc>
          <w:tcPr>
            <w:tcW w:w="1061"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-0.4</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81.7</w:t>
            </w:r>
          </w:p>
        </w:tc>
        <w:tc>
          <w:tcPr>
            <w:tcW w:w="1061"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3.5</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Informally employed</w:t>
            </w:r>
          </w:p>
        </w:tc>
        <w:tc>
          <w:tcPr>
            <w:tcW w:w="1075"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467.2</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-51.4</w:t>
            </w:r>
          </w:p>
        </w:tc>
        <w:tc>
          <w:tcPr>
            <w:tcW w:w="1061"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-9.9</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-14.8</w:t>
            </w:r>
          </w:p>
        </w:tc>
        <w:tc>
          <w:tcPr>
            <w:tcW w:w="1061"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-3.1</w:t>
            </w:r>
          </w:p>
        </w:tc>
      </w:tr>
      <w:tr w:rsidR="0028792B" w:rsidRPr="00696230" w:rsidTr="0028792B">
        <w:trPr>
          <w:trHeight w:val="259"/>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Unemployed</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310.3</w:t>
            </w:r>
          </w:p>
        </w:tc>
        <w:tc>
          <w:tcPr>
            <w:tcW w:w="1044"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-3.7</w:t>
            </w: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-1.2</w:t>
            </w:r>
          </w:p>
        </w:tc>
        <w:tc>
          <w:tcPr>
            <w:tcW w:w="1060" w:type="dxa"/>
            <w:gridSpan w:val="2"/>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-76.8</w:t>
            </w: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-19.8</w:t>
            </w:r>
          </w:p>
        </w:tc>
      </w:tr>
      <w:tr w:rsidR="0028792B" w:rsidRPr="00696230" w:rsidTr="0028792B">
        <w:trPr>
          <w:trHeight w:val="259"/>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Inactive population</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2717.8</w:t>
            </w:r>
          </w:p>
        </w:tc>
        <w:tc>
          <w:tcPr>
            <w:tcW w:w="1044" w:type="dxa"/>
            <w:tcBorders>
              <w:top w:val="nil"/>
              <w:left w:val="nil"/>
              <w:bottom w:val="single" w:sz="8" w:space="0" w:color="0C5498"/>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57.2</w:t>
            </w:r>
          </w:p>
        </w:tc>
        <w:tc>
          <w:tcPr>
            <w:tcW w:w="1061" w:type="dxa"/>
            <w:tcBorders>
              <w:top w:val="nil"/>
              <w:left w:val="nil"/>
              <w:bottom w:val="single" w:sz="8" w:space="0" w:color="0C5498"/>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2.1</w:t>
            </w:r>
          </w:p>
        </w:tc>
        <w:tc>
          <w:tcPr>
            <w:tcW w:w="1060" w:type="dxa"/>
            <w:gridSpan w:val="2"/>
            <w:tcBorders>
              <w:top w:val="nil"/>
              <w:left w:val="nil"/>
              <w:bottom w:val="single" w:sz="8" w:space="0" w:color="0C5498"/>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-19.4</w:t>
            </w:r>
          </w:p>
        </w:tc>
        <w:tc>
          <w:tcPr>
            <w:tcW w:w="1061" w:type="dxa"/>
            <w:tcBorders>
              <w:top w:val="nil"/>
              <w:left w:val="nil"/>
              <w:bottom w:val="single" w:sz="8" w:space="0" w:color="0C5498"/>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-0.7</w:t>
            </w:r>
          </w:p>
        </w:tc>
      </w:tr>
      <w:tr w:rsidR="00066CE2" w:rsidRPr="00696230" w:rsidTr="00066CE2">
        <w:trPr>
          <w:trHeight w:val="273"/>
          <w:jc w:val="center"/>
        </w:trPr>
        <w:tc>
          <w:tcPr>
            <w:tcW w:w="3771" w:type="dxa"/>
            <w:tcBorders>
              <w:top w:val="single" w:sz="8" w:space="0" w:color="0C5498"/>
              <w:bottom w:val="single" w:sz="8" w:space="0" w:color="0C5498"/>
              <w:right w:val="single" w:sz="8" w:space="0" w:color="0C5498"/>
            </w:tcBorders>
            <w:shd w:val="clear" w:color="auto" w:fill="auto"/>
            <w:vAlign w:val="center"/>
            <w:hideMark/>
          </w:tcPr>
          <w:p w:rsidR="00066CE2" w:rsidRPr="00696230" w:rsidRDefault="00066CE2" w:rsidP="00066CE2">
            <w:pPr>
              <w:rPr>
                <w:rFonts w:cs="Arial"/>
                <w:color w:val="000000"/>
                <w:sz w:val="18"/>
                <w:szCs w:val="18"/>
                <w:lang w:val="sr-Latn-RS"/>
              </w:rPr>
            </w:pPr>
            <w:r w:rsidRPr="00696230">
              <w:rPr>
                <w:rFonts w:cs="Arial"/>
                <w:color w:val="000000"/>
                <w:sz w:val="18"/>
                <w:szCs w:val="18"/>
                <w:lang w:val="sr-Latn-RS"/>
              </w:rPr>
              <w:t> </w:t>
            </w:r>
          </w:p>
        </w:tc>
        <w:tc>
          <w:tcPr>
            <w:tcW w:w="1075" w:type="dxa"/>
            <w:tcBorders>
              <w:top w:val="single" w:sz="8" w:space="0" w:color="0C5498"/>
              <w:left w:val="nil"/>
              <w:bottom w:val="single" w:sz="8" w:space="0" w:color="0C5498"/>
              <w:right w:val="single" w:sz="8" w:space="0" w:color="0C5498"/>
            </w:tcBorders>
            <w:shd w:val="clear" w:color="auto" w:fill="auto"/>
            <w:noWrap/>
            <w:vAlign w:val="center"/>
            <w:hideMark/>
          </w:tcPr>
          <w:p w:rsidR="00066CE2" w:rsidRPr="00696230" w:rsidRDefault="00066CE2" w:rsidP="00066CE2">
            <w:pPr>
              <w:jc w:val="center"/>
              <w:rPr>
                <w:rFonts w:cs="Arial"/>
                <w:b/>
                <w:bCs/>
                <w:color w:val="000000"/>
                <w:sz w:val="18"/>
                <w:szCs w:val="18"/>
                <w:lang w:val="sr-Latn-RS"/>
              </w:rPr>
            </w:pPr>
            <w:r w:rsidRPr="00696230">
              <w:rPr>
                <w:rFonts w:cs="Arial"/>
                <w:b/>
                <w:bCs/>
                <w:color w:val="000000"/>
                <w:sz w:val="18"/>
                <w:szCs w:val="18"/>
                <w:lang w:val="sr-Latn-RS"/>
              </w:rPr>
              <w:t>%</w:t>
            </w:r>
          </w:p>
        </w:tc>
        <w:tc>
          <w:tcPr>
            <w:tcW w:w="4226" w:type="dxa"/>
            <w:gridSpan w:val="5"/>
            <w:tcBorders>
              <w:top w:val="single" w:sz="8" w:space="0" w:color="0C5498"/>
              <w:left w:val="nil"/>
              <w:bottom w:val="single" w:sz="8" w:space="0" w:color="0C5498"/>
            </w:tcBorders>
            <w:shd w:val="clear" w:color="auto" w:fill="auto"/>
            <w:noWrap/>
            <w:vAlign w:val="center"/>
            <w:hideMark/>
          </w:tcPr>
          <w:p w:rsidR="00066CE2" w:rsidRPr="00696230" w:rsidRDefault="00066CE2" w:rsidP="00066CE2">
            <w:pPr>
              <w:jc w:val="center"/>
              <w:rPr>
                <w:rFonts w:cs="Arial"/>
                <w:color w:val="000000"/>
                <w:sz w:val="18"/>
                <w:szCs w:val="18"/>
                <w:lang w:val="sr-Latn-RS"/>
              </w:rPr>
            </w:pPr>
            <w:r w:rsidRPr="00696230">
              <w:rPr>
                <w:rFonts w:cs="Arial"/>
                <w:color w:val="000000"/>
                <w:sz w:val="18"/>
                <w:szCs w:val="18"/>
                <w:lang w:val="sr-Latn-RS"/>
              </w:rPr>
              <w:t>(p. p.)</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sz w:val="18"/>
                <w:szCs w:val="18"/>
                <w:lang w:val="sr-Latn-RS"/>
              </w:rPr>
            </w:pPr>
            <w:r w:rsidRPr="00696230">
              <w:rPr>
                <w:rFonts w:cs="Arial"/>
                <w:sz w:val="18"/>
                <w:szCs w:val="18"/>
                <w:lang w:val="sr-Latn-RS"/>
              </w:rPr>
              <w:t>Activity rate</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54.0</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-1.0</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0.1</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sz w:val="18"/>
                <w:szCs w:val="18"/>
                <w:lang w:val="sr-Latn-RS"/>
              </w:rPr>
            </w:pPr>
            <w:r w:rsidRPr="00696230">
              <w:rPr>
                <w:rFonts w:cs="Arial"/>
                <w:sz w:val="18"/>
                <w:szCs w:val="18"/>
                <w:lang w:val="sr-Latn-RS"/>
              </w:rPr>
              <w:t>Employment rate</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48.7</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-1.0</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1.4</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 xml:space="preserve">    Informal employment rate</w:t>
            </w:r>
          </w:p>
        </w:tc>
        <w:tc>
          <w:tcPr>
            <w:tcW w:w="1075"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16.2</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-1.4</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-0.9</w:t>
            </w:r>
          </w:p>
        </w:tc>
      </w:tr>
      <w:tr w:rsidR="0028792B" w:rsidRPr="00696230" w:rsidTr="0028792B">
        <w:trPr>
          <w:trHeight w:val="260"/>
          <w:jc w:val="center"/>
        </w:trPr>
        <w:tc>
          <w:tcPr>
            <w:tcW w:w="3771" w:type="dxa"/>
            <w:tcBorders>
              <w:top w:val="nil"/>
              <w:bottom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Unemployment rate</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9.7</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single" w:sz="8" w:space="0" w:color="0C5498"/>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0.1</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r w:rsidRPr="00696230">
              <w:rPr>
                <w:sz w:val="18"/>
                <w:szCs w:val="18"/>
                <w:lang w:val="sr-Latn-RS"/>
              </w:rPr>
              <w:t>-2.4</w:t>
            </w:r>
          </w:p>
        </w:tc>
      </w:tr>
      <w:tr w:rsidR="0028792B" w:rsidRPr="00696230" w:rsidTr="0028792B">
        <w:trPr>
          <w:trHeight w:val="273"/>
          <w:jc w:val="center"/>
        </w:trPr>
        <w:tc>
          <w:tcPr>
            <w:tcW w:w="3771" w:type="dxa"/>
            <w:tcBorders>
              <w:top w:val="nil"/>
              <w:right w:val="single" w:sz="8" w:space="0" w:color="0C5498"/>
            </w:tcBorders>
            <w:shd w:val="clear" w:color="auto" w:fill="auto"/>
            <w:vAlign w:val="center"/>
            <w:hideMark/>
          </w:tcPr>
          <w:p w:rsidR="0028792B" w:rsidRPr="00696230" w:rsidRDefault="0028792B" w:rsidP="0028792B">
            <w:pPr>
              <w:rPr>
                <w:rFonts w:cs="Arial"/>
                <w:color w:val="000000"/>
                <w:sz w:val="18"/>
                <w:szCs w:val="18"/>
                <w:lang w:val="sr-Latn-RS"/>
              </w:rPr>
            </w:pPr>
            <w:r w:rsidRPr="00696230">
              <w:rPr>
                <w:rFonts w:cs="Arial"/>
                <w:color w:val="000000"/>
                <w:sz w:val="18"/>
                <w:szCs w:val="18"/>
                <w:lang w:val="sr-Latn-RS"/>
              </w:rPr>
              <w:t>Inactivity rate</w:t>
            </w:r>
          </w:p>
        </w:tc>
        <w:tc>
          <w:tcPr>
            <w:tcW w:w="1075"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46.0</w:t>
            </w:r>
          </w:p>
        </w:tc>
        <w:tc>
          <w:tcPr>
            <w:tcW w:w="1044" w:type="dxa"/>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single" w:sz="8" w:space="0" w:color="0C5498"/>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1.0</w:t>
            </w:r>
          </w:p>
        </w:tc>
        <w:tc>
          <w:tcPr>
            <w:tcW w:w="1060" w:type="dxa"/>
            <w:gridSpan w:val="2"/>
            <w:tcBorders>
              <w:top w:val="nil"/>
              <w:left w:val="nil"/>
              <w:bottom w:val="nil"/>
              <w:right w:val="nil"/>
            </w:tcBorders>
            <w:shd w:val="clear" w:color="auto" w:fill="auto"/>
            <w:noWrap/>
            <w:vAlign w:val="center"/>
          </w:tcPr>
          <w:p w:rsidR="0028792B" w:rsidRPr="00696230" w:rsidRDefault="0028792B" w:rsidP="0028792B">
            <w:pPr>
              <w:jc w:val="right"/>
              <w:rPr>
                <w:sz w:val="18"/>
                <w:szCs w:val="18"/>
                <w:lang w:val="sr-Latn-RS"/>
              </w:rPr>
            </w:pPr>
          </w:p>
        </w:tc>
        <w:tc>
          <w:tcPr>
            <w:tcW w:w="1061" w:type="dxa"/>
            <w:tcBorders>
              <w:top w:val="nil"/>
              <w:left w:val="nil"/>
              <w:bottom w:val="nil"/>
              <w:right w:val="nil"/>
            </w:tcBorders>
            <w:shd w:val="clear" w:color="auto" w:fill="auto"/>
            <w:vAlign w:val="center"/>
          </w:tcPr>
          <w:p w:rsidR="0028792B" w:rsidRPr="00696230" w:rsidRDefault="0028792B" w:rsidP="0028792B">
            <w:pPr>
              <w:jc w:val="right"/>
              <w:rPr>
                <w:sz w:val="18"/>
                <w:szCs w:val="18"/>
                <w:lang w:val="sr-Latn-RS"/>
              </w:rPr>
            </w:pPr>
            <w:r w:rsidRPr="00696230">
              <w:rPr>
                <w:sz w:val="18"/>
                <w:szCs w:val="18"/>
                <w:lang w:val="sr-Latn-RS"/>
              </w:rPr>
              <w:t>-0.1</w:t>
            </w:r>
          </w:p>
        </w:tc>
      </w:tr>
    </w:tbl>
    <w:p w:rsidR="009E3604" w:rsidRPr="00696230" w:rsidRDefault="009E3604" w:rsidP="00ED093B">
      <w:pPr>
        <w:spacing w:before="360" w:after="120" w:line="264" w:lineRule="auto"/>
        <w:ind w:firstLine="403"/>
        <w:jc w:val="both"/>
        <w:rPr>
          <w:rFonts w:cs="Arial"/>
          <w:lang w:val="sr-Latn-RS"/>
        </w:rPr>
      </w:pPr>
      <w:r w:rsidRPr="00696230">
        <w:rPr>
          <w:rFonts w:cs="Arial"/>
          <w:lang w:val="sr-Latn-RS"/>
        </w:rPr>
        <w:t xml:space="preserve">In the </w:t>
      </w:r>
      <w:r w:rsidR="0029118D" w:rsidRPr="00696230">
        <w:rPr>
          <w:rFonts w:cs="Arial"/>
          <w:lang w:val="sr-Latn-RS"/>
        </w:rPr>
        <w:t>first</w:t>
      </w:r>
      <w:r w:rsidRPr="00696230">
        <w:rPr>
          <w:rFonts w:cs="Arial"/>
          <w:lang w:val="sr-Latn-RS"/>
        </w:rPr>
        <w:t xml:space="preserve"> quarter</w:t>
      </w:r>
      <w:r w:rsidR="00F913B1">
        <w:rPr>
          <w:rFonts w:cs="Arial"/>
          <w:lang w:val="sr-Latn-RS"/>
        </w:rPr>
        <w:t xml:space="preserve"> of</w:t>
      </w:r>
      <w:r w:rsidRPr="00696230">
        <w:rPr>
          <w:rFonts w:cs="Arial"/>
          <w:lang w:val="sr-Latn-RS"/>
        </w:rPr>
        <w:t xml:space="preserve"> 20</w:t>
      </w:r>
      <w:r w:rsidR="0029118D" w:rsidRPr="00696230">
        <w:rPr>
          <w:rFonts w:cs="Arial"/>
          <w:lang w:val="sr-Latn-RS"/>
        </w:rPr>
        <w:t>20</w:t>
      </w:r>
      <w:r w:rsidRPr="00696230">
        <w:rPr>
          <w:rFonts w:cs="Arial"/>
          <w:lang w:val="sr-Latn-RS"/>
        </w:rPr>
        <w:t>, the Survey was conducted on the sample of 1</w:t>
      </w:r>
      <w:r w:rsidR="00E625E8" w:rsidRPr="00696230">
        <w:rPr>
          <w:rFonts w:cs="Arial"/>
          <w:lang w:val="sr-Latn-RS"/>
        </w:rPr>
        <w:t>5</w:t>
      </w:r>
      <w:r w:rsidRPr="00696230">
        <w:rPr>
          <w:rFonts w:cs="Arial"/>
          <w:lang w:val="sr-Latn-RS"/>
        </w:rPr>
        <w:t> </w:t>
      </w:r>
      <w:r w:rsidR="0029118D" w:rsidRPr="00696230">
        <w:rPr>
          <w:rFonts w:cs="Arial"/>
          <w:lang w:val="sr-Latn-RS"/>
        </w:rPr>
        <w:t>5</w:t>
      </w:r>
      <w:r w:rsidR="00E625E8" w:rsidRPr="00696230">
        <w:rPr>
          <w:rFonts w:cs="Arial"/>
          <w:lang w:val="sr-Latn-RS"/>
        </w:rPr>
        <w:t>8</w:t>
      </w:r>
      <w:r w:rsidR="0029118D" w:rsidRPr="00696230">
        <w:rPr>
          <w:rFonts w:cs="Arial"/>
          <w:lang w:val="sr-Latn-RS"/>
        </w:rPr>
        <w:t>1</w:t>
      </w:r>
      <w:r w:rsidRPr="00696230">
        <w:rPr>
          <w:rFonts w:cs="Arial"/>
          <w:lang w:val="sr-Latn-RS"/>
        </w:rPr>
        <w:t xml:space="preserve"> households, out of which 1</w:t>
      </w:r>
      <w:r w:rsidR="0029118D" w:rsidRPr="00696230">
        <w:rPr>
          <w:rFonts w:cs="Arial"/>
          <w:lang w:val="sr-Latn-RS"/>
        </w:rPr>
        <w:t>0</w:t>
      </w:r>
      <w:r w:rsidRPr="00696230">
        <w:rPr>
          <w:rFonts w:cs="Arial"/>
          <w:lang w:val="sr-Latn-RS"/>
        </w:rPr>
        <w:t> </w:t>
      </w:r>
      <w:r w:rsidR="0029118D" w:rsidRPr="00696230">
        <w:rPr>
          <w:rFonts w:cs="Arial"/>
          <w:lang w:val="sr-Latn-RS"/>
        </w:rPr>
        <w:t>773</w:t>
      </w:r>
      <w:r w:rsidRPr="00696230">
        <w:rPr>
          <w:rFonts w:cs="Arial"/>
          <w:lang w:val="sr-Latn-RS"/>
        </w:rPr>
        <w:t xml:space="preserve"> households, i.e. 2</w:t>
      </w:r>
      <w:r w:rsidR="0029118D" w:rsidRPr="00696230">
        <w:rPr>
          <w:rFonts w:cs="Arial"/>
          <w:lang w:val="sr-Latn-RS"/>
        </w:rPr>
        <w:t>4</w:t>
      </w:r>
      <w:r w:rsidRPr="00696230">
        <w:rPr>
          <w:rFonts w:cs="Arial"/>
          <w:lang w:val="sr-Latn-RS"/>
        </w:rPr>
        <w:t> </w:t>
      </w:r>
      <w:r w:rsidR="0029118D" w:rsidRPr="00696230">
        <w:rPr>
          <w:rFonts w:cs="Arial"/>
          <w:lang w:val="sr-Latn-RS"/>
        </w:rPr>
        <w:t>741</w:t>
      </w:r>
      <w:r w:rsidRPr="00696230">
        <w:rPr>
          <w:rFonts w:cs="Arial"/>
          <w:lang w:val="sr-Latn-RS"/>
        </w:rPr>
        <w:t xml:space="preserve"> persons aged 15 and over were interviewed.</w:t>
      </w:r>
    </w:p>
    <w:p w:rsidR="00722C7B" w:rsidRPr="00696230" w:rsidRDefault="009E3604" w:rsidP="00722C7B">
      <w:pPr>
        <w:spacing w:before="120" w:after="120" w:line="264" w:lineRule="auto"/>
        <w:ind w:firstLine="403"/>
        <w:jc w:val="both"/>
        <w:rPr>
          <w:rFonts w:cs="Arial"/>
          <w:b/>
          <w:lang w:val="sr-Latn-RS"/>
        </w:rPr>
      </w:pPr>
      <w:r w:rsidRPr="00696230">
        <w:rPr>
          <w:rFonts w:cs="Arial"/>
          <w:lang w:val="sr-Latn-RS"/>
        </w:rPr>
        <w:t xml:space="preserve">More detailed data can be obtained in the tables that are part of the Statistical Release on Labour Force Survey for the </w:t>
      </w:r>
      <w:r w:rsidR="00D0048F" w:rsidRPr="00696230">
        <w:rPr>
          <w:rFonts w:cs="Arial"/>
          <w:lang w:val="sr-Latn-RS"/>
        </w:rPr>
        <w:t>first</w:t>
      </w:r>
      <w:r w:rsidRPr="00696230">
        <w:rPr>
          <w:rFonts w:cs="Arial"/>
          <w:lang w:val="sr-Latn-RS"/>
        </w:rPr>
        <w:t xml:space="preserve"> quarter 20</w:t>
      </w:r>
      <w:r w:rsidR="00D0048F" w:rsidRPr="00696230">
        <w:rPr>
          <w:rFonts w:cs="Arial"/>
          <w:lang w:val="sr-Latn-RS"/>
        </w:rPr>
        <w:t>20</w:t>
      </w:r>
      <w:r w:rsidRPr="00696230">
        <w:rPr>
          <w:rFonts w:cs="Arial"/>
          <w:lang w:val="sr-Latn-RS"/>
        </w:rPr>
        <w:t xml:space="preserve"> (RS10), on the address:</w:t>
      </w:r>
      <w:r w:rsidR="00191DB1" w:rsidRPr="00696230">
        <w:rPr>
          <w:lang w:val="sr-Latn-RS"/>
        </w:rPr>
        <w:t xml:space="preserve"> </w:t>
      </w:r>
      <w:hyperlink r:id="rId10" w:history="1">
        <w:r w:rsidR="00191DB1" w:rsidRPr="00696230">
          <w:rPr>
            <w:rStyle w:val="Hyperlink"/>
            <w:rFonts w:cs="Arial"/>
            <w:lang w:val="sr-Latn-RS"/>
          </w:rPr>
          <w:t>http://publikacije.stat.gov.rs/G2018/Xls/G20191043.xlsx</w:t>
        </w:r>
      </w:hyperlink>
      <w:r w:rsidR="00722C7B" w:rsidRPr="00696230">
        <w:rPr>
          <w:rFonts w:cs="Arial"/>
          <w:lang w:val="sr-Latn-RS"/>
        </w:rPr>
        <w:t>.</w:t>
      </w:r>
    </w:p>
    <w:p w:rsidR="000F4A7D" w:rsidRPr="00696230" w:rsidRDefault="00A73B1F" w:rsidP="00AE1A0C">
      <w:pPr>
        <w:spacing w:before="480" w:after="120" w:line="264" w:lineRule="auto"/>
        <w:jc w:val="center"/>
        <w:rPr>
          <w:rFonts w:cs="Arial"/>
          <w:b/>
          <w:lang w:val="sr-Latn-RS"/>
        </w:rPr>
      </w:pPr>
      <w:r w:rsidRPr="00696230">
        <w:rPr>
          <w:rFonts w:cs="Arial"/>
          <w:b/>
          <w:lang w:val="sr-Latn-RS"/>
        </w:rPr>
        <w:t>Methodological notes</w:t>
      </w:r>
    </w:p>
    <w:p w:rsidR="00331733" w:rsidRPr="00696230" w:rsidRDefault="00C50458" w:rsidP="00ED093B">
      <w:pPr>
        <w:pStyle w:val="NormalWeb"/>
        <w:spacing w:beforeLines="0" w:afterLines="0" w:line="264" w:lineRule="auto"/>
        <w:ind w:firstLine="403"/>
        <w:jc w:val="both"/>
        <w:rPr>
          <w:rFonts w:ascii="Arial" w:hAnsi="Arial" w:cs="Arial"/>
          <w:lang w:val="sr-Latn-RS"/>
        </w:rPr>
      </w:pPr>
      <w:r w:rsidRPr="00696230">
        <w:rPr>
          <w:rFonts w:ascii="Arial" w:hAnsi="Arial" w:cs="Arial"/>
          <w:lang w:val="sr-Latn-RS"/>
        </w:rPr>
        <w:t xml:space="preserve">Labour Force Survey (LFS) is the most complex and the only internationally comparable instrument for labour trends monitoring, registering demographic and socio–economic characteristics of population aged 15 and over.  </w:t>
      </w:r>
    </w:p>
    <w:p w:rsidR="00331733" w:rsidRPr="00696230" w:rsidRDefault="00C50458" w:rsidP="00ED093B">
      <w:pPr>
        <w:pStyle w:val="NormalWeb"/>
        <w:spacing w:beforeLines="0" w:afterLines="0" w:line="264" w:lineRule="auto"/>
        <w:ind w:firstLine="403"/>
        <w:jc w:val="both"/>
        <w:rPr>
          <w:rFonts w:ascii="Arial" w:hAnsi="Arial" w:cs="Arial"/>
          <w:lang w:val="sr-Latn-RS"/>
        </w:rPr>
      </w:pPr>
      <w:r w:rsidRPr="00696230">
        <w:rPr>
          <w:rFonts w:ascii="Arial" w:hAnsi="Arial" w:cs="Arial"/>
          <w:lang w:val="sr-Latn-RS"/>
        </w:rPr>
        <w:t xml:space="preserve">The main aim of the survey is estimating the labour force volume, i.e. employed and unemployed population, where employment relates to work in both formal and informal section. </w:t>
      </w:r>
    </w:p>
    <w:p w:rsidR="00C50458" w:rsidRPr="00696230" w:rsidRDefault="00C50458" w:rsidP="00ED093B">
      <w:pPr>
        <w:pStyle w:val="NormalWeb"/>
        <w:spacing w:beforeLines="0" w:afterLines="0" w:line="264" w:lineRule="auto"/>
        <w:ind w:firstLine="403"/>
        <w:jc w:val="both"/>
        <w:rPr>
          <w:rFonts w:ascii="Arial" w:hAnsi="Arial" w:cs="Arial"/>
          <w:lang w:val="sr-Latn-RS"/>
        </w:rPr>
      </w:pPr>
      <w:r w:rsidRPr="00696230">
        <w:rPr>
          <w:rFonts w:ascii="Arial" w:hAnsi="Arial" w:cs="Arial"/>
          <w:lang w:val="sr-Latn-RS"/>
        </w:rPr>
        <w:t>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t>Active population</w:t>
      </w:r>
      <w:r w:rsidRPr="00696230">
        <w:rPr>
          <w:rFonts w:cs="Arial"/>
          <w:lang w:val="sr-Latn-RS"/>
        </w:rPr>
        <w:t xml:space="preserve"> (</w:t>
      </w:r>
      <w:r w:rsidRPr="00696230">
        <w:rPr>
          <w:rFonts w:cs="Arial"/>
          <w:b/>
          <w:bCs/>
          <w:lang w:val="sr-Latn-RS"/>
        </w:rPr>
        <w:t>labour force</w:t>
      </w:r>
      <w:r w:rsidRPr="00696230">
        <w:rPr>
          <w:rFonts w:cs="Arial"/>
          <w:lang w:val="sr-Latn-RS"/>
        </w:rPr>
        <w:t>) includes all employed and unemployed persons</w:t>
      </w:r>
      <w:r w:rsidR="004F0B6D" w:rsidRPr="00696230">
        <w:rPr>
          <w:rFonts w:cs="Arial"/>
          <w:lang w:val="sr-Latn-RS"/>
        </w:rPr>
        <w:t xml:space="preserve"> aged 15 and over</w:t>
      </w:r>
      <w:r w:rsidRPr="00696230">
        <w:rPr>
          <w:rFonts w:cs="Arial"/>
          <w:lang w:val="sr-Latn-RS"/>
        </w:rPr>
        <w:t>.</w:t>
      </w:r>
    </w:p>
    <w:p w:rsidR="00C50458" w:rsidRPr="00696230" w:rsidRDefault="00C50458" w:rsidP="00ED093B">
      <w:pPr>
        <w:pStyle w:val="Heading4"/>
        <w:spacing w:before="120" w:after="120" w:line="264" w:lineRule="auto"/>
        <w:ind w:firstLine="403"/>
        <w:jc w:val="both"/>
        <w:rPr>
          <w:rFonts w:ascii="Arial" w:hAnsi="Arial" w:cs="Arial"/>
          <w:b w:val="0"/>
          <w:bCs w:val="0"/>
          <w:i w:val="0"/>
          <w:color w:val="auto"/>
          <w:spacing w:val="-4"/>
          <w:lang w:val="sr-Latn-RS"/>
        </w:rPr>
      </w:pPr>
      <w:r w:rsidRPr="00696230">
        <w:rPr>
          <w:rFonts w:ascii="Arial" w:hAnsi="Arial" w:cs="Arial"/>
          <w:i w:val="0"/>
          <w:color w:val="auto"/>
          <w:spacing w:val="-4"/>
          <w:lang w:val="sr-Latn-RS"/>
        </w:rPr>
        <w:t>Activity rate (share of labour force)</w:t>
      </w:r>
      <w:r w:rsidRPr="00696230">
        <w:rPr>
          <w:rFonts w:ascii="Arial" w:hAnsi="Arial" w:cs="Arial"/>
          <w:b w:val="0"/>
          <w:bCs w:val="0"/>
          <w:i w:val="0"/>
          <w:color w:val="auto"/>
          <w:spacing w:val="-4"/>
          <w:lang w:val="sr-Latn-RS"/>
        </w:rPr>
        <w:t xml:space="preserve"> presents the percentage share of active population in total population aged 15 and over.</w:t>
      </w:r>
    </w:p>
    <w:p w:rsidR="00C50458" w:rsidRPr="00696230" w:rsidRDefault="00C50458" w:rsidP="00ED093B">
      <w:pPr>
        <w:spacing w:before="120" w:after="120" w:line="264" w:lineRule="auto"/>
        <w:ind w:firstLine="403"/>
        <w:jc w:val="both"/>
        <w:rPr>
          <w:rFonts w:cs="Arial"/>
          <w:b/>
          <w:lang w:val="sr-Latn-RS"/>
        </w:rPr>
      </w:pPr>
      <w:r w:rsidRPr="00696230">
        <w:rPr>
          <w:rFonts w:cs="Arial"/>
          <w:b/>
          <w:bCs/>
          <w:lang w:val="sr-Latn-RS"/>
        </w:rPr>
        <w:t xml:space="preserve">Employed persons </w:t>
      </w:r>
      <w:r w:rsidRPr="00696230">
        <w:rPr>
          <w:rFonts w:cs="Arial"/>
          <w:lang w:val="sr-Latn-RS"/>
        </w:rPr>
        <w:t>are persons who performed a paid job (in money or in kind) for at least one hour in the reference week, as well as persons who had an employment, but were absent from work in that week but which have a guaranty to return to it.</w:t>
      </w:r>
    </w:p>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lastRenderedPageBreak/>
        <w:t xml:space="preserve">Employment rate </w:t>
      </w:r>
      <w:r w:rsidRPr="00696230">
        <w:rPr>
          <w:rFonts w:cs="Arial"/>
          <w:lang w:val="sr-Latn-RS"/>
        </w:rPr>
        <w:t>is the percentage share of employed in the total population aged 15 and over.</w:t>
      </w:r>
    </w:p>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t>Informally employed</w:t>
      </w:r>
      <w:r w:rsidRPr="00696230">
        <w:rPr>
          <w:rFonts w:cs="Arial"/>
          <w:lang w:val="sr-Latn-RS"/>
        </w:rPr>
        <w:t xml:space="preserve"> are employees without written contract, self-employed in unregistered business, as well as contributing family workers.</w:t>
      </w:r>
    </w:p>
    <w:p w:rsidR="00C50458" w:rsidRPr="00696230" w:rsidRDefault="00C50458" w:rsidP="00ED093B">
      <w:pPr>
        <w:spacing w:before="120" w:after="120" w:line="264" w:lineRule="auto"/>
        <w:ind w:firstLine="403"/>
        <w:jc w:val="both"/>
        <w:rPr>
          <w:rFonts w:cs="Arial"/>
          <w:b/>
          <w:bCs/>
          <w:spacing w:val="-4"/>
          <w:lang w:val="sr-Latn-RS"/>
        </w:rPr>
      </w:pPr>
      <w:r w:rsidRPr="00696230">
        <w:rPr>
          <w:rFonts w:cs="Arial"/>
          <w:b/>
          <w:bCs/>
          <w:lang w:val="sr-Latn-RS"/>
        </w:rPr>
        <w:t>Informal employment rate</w:t>
      </w:r>
      <w:r w:rsidRPr="00696230">
        <w:rPr>
          <w:rFonts w:cs="Arial"/>
          <w:lang w:val="sr-Latn-RS"/>
        </w:rPr>
        <w:t xml:space="preserve"> is the percentage share of informally employed in total employment.</w:t>
      </w:r>
    </w:p>
    <w:p w:rsidR="00F60DE5" w:rsidRPr="00250970" w:rsidRDefault="00250970" w:rsidP="00250970">
      <w:pPr>
        <w:spacing w:after="160" w:line="259" w:lineRule="auto"/>
        <w:rPr>
          <w:rFonts w:cs="Arial"/>
          <w:b/>
          <w:bCs/>
          <w:lang w:val="sr-Latn-RS"/>
        </w:rPr>
      </w:pPr>
      <w:r>
        <w:rPr>
          <w:rFonts w:cs="Arial"/>
          <w:b/>
          <w:bCs/>
          <w:lang w:val="sr-Latn-RS"/>
        </w:rPr>
        <w:t xml:space="preserve">         </w:t>
      </w:r>
      <w:r w:rsidR="007472CE" w:rsidRPr="007472CE">
        <w:rPr>
          <w:rFonts w:eastAsiaTheme="minorHAnsi" w:cs="Arial"/>
          <w:b/>
          <w:lang w:val="sr-Latn-RS"/>
        </w:rPr>
        <w:t>According to the Classification of employment status</w:t>
      </w:r>
      <w:r w:rsidR="007472CE" w:rsidRPr="007472CE">
        <w:rPr>
          <w:rFonts w:eastAsiaTheme="minorHAnsi" w:cs="Arial"/>
          <w:lang w:val="sr-Latn-RS"/>
        </w:rPr>
        <w:t>, employed are divided into self-employed, employees (who work for the employer) and contributing family workers</w:t>
      </w:r>
      <w:r w:rsidR="003D4BBB">
        <w:rPr>
          <w:rFonts w:eastAsiaTheme="minorHAnsi" w:cs="Arial"/>
          <w:lang w:val="sr-Latn-RS"/>
        </w:rPr>
        <w:t xml:space="preserve">. In the categoty of </w:t>
      </w:r>
      <w:r w:rsidR="003D4BBB" w:rsidRPr="007472CE">
        <w:rPr>
          <w:rFonts w:eastAsiaTheme="minorHAnsi" w:cs="Arial"/>
          <w:lang w:val="sr-Latn-RS"/>
        </w:rPr>
        <w:t>self-employed</w:t>
      </w:r>
      <w:r w:rsidR="008607C4">
        <w:rPr>
          <w:rFonts w:eastAsiaTheme="minorHAnsi" w:cs="Arial"/>
          <w:lang w:val="sr-Latn-RS"/>
        </w:rPr>
        <w:t>,</w:t>
      </w:r>
      <w:r w:rsidR="003D4BBB">
        <w:rPr>
          <w:rFonts w:eastAsiaTheme="minorHAnsi" w:cs="Arial"/>
          <w:lang w:val="sr-Latn-RS"/>
        </w:rPr>
        <w:t xml:space="preserve"> there are </w:t>
      </w:r>
      <w:r w:rsidR="00A91D15">
        <w:rPr>
          <w:rFonts w:eastAsiaTheme="minorHAnsi" w:cs="Arial"/>
          <w:lang w:val="sr-Latn-RS"/>
        </w:rPr>
        <w:t>several subcategories:</w:t>
      </w:r>
    </w:p>
    <w:p w:rsidR="00A91D15" w:rsidRDefault="00A91D15" w:rsidP="00A91D15">
      <w:r>
        <w:t>-Owner/co-owner of an enterprise (Ltd, JSC)</w:t>
      </w:r>
      <w:r w:rsidR="00A66878">
        <w:t>.</w:t>
      </w:r>
    </w:p>
    <w:p w:rsidR="00A705D5" w:rsidRDefault="00A705D5" w:rsidP="00A91D15">
      <w:pPr>
        <w:rPr>
          <w:rFonts w:ascii="Calibri" w:hAnsi="Calibri"/>
          <w:lang w:val="en-US"/>
        </w:rPr>
      </w:pPr>
    </w:p>
    <w:p w:rsidR="00A91D15" w:rsidRDefault="00A91D15" w:rsidP="00A91D15">
      <w:r>
        <w:t>-Entrepreneur or partner in an partnership (shop, catering, handicrafts establishment, lawyer’s office, practice, and other liberal professions)</w:t>
      </w:r>
      <w:r w:rsidR="00A66878">
        <w:t>.</w:t>
      </w:r>
    </w:p>
    <w:p w:rsidR="00A705D5" w:rsidRDefault="00A705D5" w:rsidP="00A91D15"/>
    <w:p w:rsidR="00A91D15" w:rsidRDefault="00A91D15" w:rsidP="00A91D15">
      <w:r>
        <w:t>-Person earn agreed compensation as dominant revenue source – on the basis of ad hoc contracts, copyright contracts, mediation and representation --contracts, etc., part-time workers</w:t>
      </w:r>
      <w:r w:rsidR="00A705D5">
        <w:t>.</w:t>
      </w:r>
    </w:p>
    <w:p w:rsidR="00A705D5" w:rsidRDefault="00A705D5" w:rsidP="00A91D15"/>
    <w:p w:rsidR="00A91D15" w:rsidRDefault="00A91D15" w:rsidP="00A91D15">
      <w:r>
        <w:t>-Independent artist, sportsman or person performing an activity in the field of culture, art, religion, etc., activities based on authorization from the -competent association or regulatory institution</w:t>
      </w:r>
      <w:r w:rsidR="00A66878">
        <w:t>.</w:t>
      </w:r>
    </w:p>
    <w:p w:rsidR="00A705D5" w:rsidRDefault="00A705D5" w:rsidP="00A91D15"/>
    <w:p w:rsidR="00A91D15" w:rsidRDefault="00A91D15" w:rsidP="00A91D15">
      <w:r>
        <w:t>-Other not specified forms of independent performance of an economic activity</w:t>
      </w:r>
      <w:r w:rsidR="006E50CF">
        <w:t xml:space="preserve">- independent craftsman (painter, upholsterer…), taxi driver, person </w:t>
      </w:r>
      <w:r w:rsidR="00953C84">
        <w:t>giving private classes, etc.</w:t>
      </w:r>
    </w:p>
    <w:p w:rsidR="00A705D5" w:rsidRDefault="00A705D5" w:rsidP="00A91D15"/>
    <w:p w:rsidR="00F60DE5" w:rsidRDefault="00A91D15" w:rsidP="00160982">
      <w:r>
        <w:t>-Individual farmer</w:t>
      </w:r>
      <w:r w:rsidR="00A66878">
        <w:t>.</w:t>
      </w:r>
    </w:p>
    <w:p w:rsidR="00160982" w:rsidRPr="00160982" w:rsidRDefault="00160982" w:rsidP="00160982"/>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t>Unemployed persons</w:t>
      </w:r>
      <w:r w:rsidRPr="00696230">
        <w:rPr>
          <w:rFonts w:cs="Arial"/>
          <w:lang w:val="sr-Latn-RS"/>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696230" w:rsidRDefault="00C50458" w:rsidP="00ED093B">
      <w:pPr>
        <w:pStyle w:val="Heading4"/>
        <w:spacing w:before="120" w:after="120" w:line="264" w:lineRule="auto"/>
        <w:ind w:firstLine="403"/>
        <w:jc w:val="both"/>
        <w:rPr>
          <w:rFonts w:ascii="Arial" w:hAnsi="Arial" w:cs="Arial"/>
          <w:b w:val="0"/>
          <w:bCs w:val="0"/>
          <w:i w:val="0"/>
          <w:color w:val="auto"/>
          <w:lang w:val="sr-Latn-RS"/>
        </w:rPr>
      </w:pPr>
      <w:r w:rsidRPr="00696230">
        <w:rPr>
          <w:rFonts w:ascii="Arial" w:hAnsi="Arial" w:cs="Arial"/>
          <w:i w:val="0"/>
          <w:color w:val="auto"/>
          <w:lang w:val="sr-Latn-RS"/>
        </w:rPr>
        <w:t xml:space="preserve">Unemployment rate </w:t>
      </w:r>
      <w:r w:rsidRPr="00696230">
        <w:rPr>
          <w:rFonts w:ascii="Arial" w:hAnsi="Arial" w:cs="Arial"/>
          <w:b w:val="0"/>
          <w:bCs w:val="0"/>
          <w:i w:val="0"/>
          <w:color w:val="auto"/>
          <w:lang w:val="sr-Latn-RS"/>
        </w:rPr>
        <w:t>presents the percentage share of unemployed population in labour force (employed and unemployed), aged 15 and over.</w:t>
      </w:r>
    </w:p>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t>Long-term unemployment rate</w:t>
      </w:r>
      <w:r w:rsidRPr="00696230">
        <w:rPr>
          <w:rFonts w:cs="Arial"/>
          <w:lang w:val="sr-Latn-RS"/>
        </w:rPr>
        <w:t xml:space="preserve"> presents the percentage share of the unemployed for one year and more, in the total labour force (employed and unemployed), aged 15 and over.</w:t>
      </w:r>
    </w:p>
    <w:p w:rsidR="00C50458" w:rsidRPr="00696230" w:rsidRDefault="00C50458" w:rsidP="00ED093B">
      <w:pPr>
        <w:pStyle w:val="ListParagraph"/>
        <w:spacing w:before="120" w:after="120" w:line="264" w:lineRule="auto"/>
        <w:ind w:left="0" w:firstLine="403"/>
        <w:contextualSpacing w:val="0"/>
        <w:jc w:val="both"/>
        <w:rPr>
          <w:rFonts w:ascii="Arial" w:hAnsi="Arial" w:cs="Arial"/>
          <w:sz w:val="20"/>
          <w:szCs w:val="20"/>
          <w:lang w:val="sr-Latn-RS"/>
        </w:rPr>
      </w:pPr>
      <w:r w:rsidRPr="00696230">
        <w:rPr>
          <w:rFonts w:ascii="Arial" w:hAnsi="Arial" w:cs="Arial"/>
          <w:b/>
          <w:bCs/>
          <w:sz w:val="20"/>
          <w:szCs w:val="20"/>
          <w:lang w:val="sr-Latn-RS"/>
        </w:rPr>
        <w:t xml:space="preserve">NEET rate – </w:t>
      </w:r>
      <w:r w:rsidRPr="00696230">
        <w:rPr>
          <w:rFonts w:ascii="Arial" w:hAnsi="Arial" w:cs="Arial"/>
          <w:sz w:val="20"/>
          <w:szCs w:val="20"/>
          <w:lang w:val="sr-Latn-RS"/>
        </w:rPr>
        <w:t>refers to share of persons aged 15 to 24, neither employed, nor in education, training, in total population of that age.</w:t>
      </w:r>
    </w:p>
    <w:p w:rsidR="00C50458" w:rsidRPr="00696230" w:rsidRDefault="00C50458" w:rsidP="00ED093B">
      <w:pPr>
        <w:spacing w:before="120" w:after="120" w:line="264" w:lineRule="auto"/>
        <w:ind w:firstLine="403"/>
        <w:jc w:val="both"/>
        <w:rPr>
          <w:rFonts w:cs="Arial"/>
          <w:lang w:val="sr-Latn-RS"/>
        </w:rPr>
      </w:pPr>
      <w:r w:rsidRPr="00696230">
        <w:rPr>
          <w:rFonts w:cs="Arial"/>
          <w:b/>
          <w:bCs/>
          <w:lang w:val="sr-Latn-RS"/>
        </w:rPr>
        <w:t>Inactive population</w:t>
      </w:r>
      <w:r w:rsidRPr="00696230">
        <w:rPr>
          <w:rFonts w:cs="Arial"/>
          <w:lang w:val="sr-Latn-RS"/>
        </w:rPr>
        <w:t xml:space="preserve"> includes all persons aged 15 and over who are not classified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696230" w:rsidRDefault="00C50458" w:rsidP="00ED093B">
      <w:pPr>
        <w:pStyle w:val="Heading1"/>
        <w:spacing w:before="120" w:after="120" w:line="264" w:lineRule="auto"/>
        <w:ind w:firstLine="403"/>
        <w:jc w:val="both"/>
        <w:rPr>
          <w:rFonts w:ascii="Arial IS" w:hAnsi="Arial IS" w:cs="Arial IS"/>
          <w:b w:val="0"/>
          <w:bCs w:val="0"/>
          <w:i/>
          <w:iCs/>
          <w:color w:val="auto"/>
          <w:sz w:val="20"/>
          <w:szCs w:val="20"/>
          <w:lang w:val="sr-Latn-RS"/>
        </w:rPr>
      </w:pPr>
      <w:r w:rsidRPr="00696230">
        <w:rPr>
          <w:rFonts w:ascii="Arial" w:hAnsi="Arial" w:cs="Arial"/>
          <w:color w:val="auto"/>
          <w:sz w:val="20"/>
          <w:szCs w:val="20"/>
          <w:lang w:val="sr-Latn-RS"/>
        </w:rPr>
        <w:t xml:space="preserve">Inactivity rate </w:t>
      </w:r>
      <w:r w:rsidR="00205B16" w:rsidRPr="00696230">
        <w:rPr>
          <w:rFonts w:ascii="Arial" w:hAnsi="Arial" w:cs="Arial"/>
          <w:b w:val="0"/>
          <w:bCs w:val="0"/>
          <w:color w:val="auto"/>
          <w:sz w:val="20"/>
          <w:szCs w:val="20"/>
          <w:lang w:val="sr-Latn-RS"/>
        </w:rPr>
        <w:t>presents the</w:t>
      </w:r>
      <w:r w:rsidRPr="00696230">
        <w:rPr>
          <w:rFonts w:ascii="Arial" w:hAnsi="Arial" w:cs="Arial"/>
          <w:b w:val="0"/>
          <w:bCs w:val="0"/>
          <w:color w:val="auto"/>
          <w:sz w:val="20"/>
          <w:szCs w:val="20"/>
          <w:lang w:val="sr-Latn-RS"/>
        </w:rPr>
        <w:t xml:space="preserve"> percentage share of inactive population in total population aged 15 and over.</w:t>
      </w:r>
    </w:p>
    <w:p w:rsidR="00C50458" w:rsidRPr="00696230" w:rsidRDefault="00C50458" w:rsidP="00ED093B">
      <w:pPr>
        <w:spacing w:before="120" w:after="120" w:line="264" w:lineRule="auto"/>
        <w:ind w:firstLine="403"/>
        <w:jc w:val="both"/>
        <w:rPr>
          <w:rFonts w:cs="Arial"/>
          <w:lang w:val="sr-Latn-RS"/>
        </w:rPr>
      </w:pPr>
      <w:r w:rsidRPr="00696230">
        <w:rPr>
          <w:rFonts w:cs="Arial"/>
          <w:lang w:val="sr-Latn-RS"/>
        </w:rPr>
        <w:t xml:space="preserve">For more detailed description of the Survey and definitions of labour force, see the methodology of Labour Force Survey on </w:t>
      </w:r>
      <w:hyperlink r:id="rId11" w:history="1">
        <w:r w:rsidRPr="00696230">
          <w:rPr>
            <w:rStyle w:val="Hyperlink"/>
            <w:rFonts w:cs="Arial"/>
            <w:lang w:val="sr-Latn-RS"/>
          </w:rPr>
          <w:t>www.stat.gov.rs</w:t>
        </w:r>
      </w:hyperlink>
      <w:r w:rsidRPr="00696230">
        <w:rPr>
          <w:rFonts w:cs="Arial"/>
          <w:lang w:val="sr-Latn-RS"/>
        </w:rPr>
        <w:t>.</w:t>
      </w:r>
    </w:p>
    <w:p w:rsidR="00C50458" w:rsidRPr="00696230" w:rsidRDefault="00C50458" w:rsidP="00F7497D">
      <w:pPr>
        <w:spacing w:before="240" w:after="120" w:line="264" w:lineRule="auto"/>
        <w:ind w:firstLine="403"/>
        <w:jc w:val="both"/>
        <w:rPr>
          <w:rFonts w:cs="Arial"/>
          <w:lang w:val="sr-Latn-RS"/>
        </w:rPr>
      </w:pPr>
      <w:r w:rsidRPr="00696230">
        <w:rPr>
          <w:rFonts w:cs="Arial"/>
          <w:lang w:val="sr-Latn-RS"/>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B05442" w:rsidRPr="00696230" w:rsidRDefault="00B05442" w:rsidP="000F2A19">
      <w:pPr>
        <w:pStyle w:val="FootnoteText"/>
        <w:spacing w:before="100" w:after="100" w:line="300" w:lineRule="auto"/>
        <w:jc w:val="both"/>
        <w:rPr>
          <w:rFonts w:ascii="Arial" w:hAnsi="Arial" w:cs="Arial"/>
          <w:lang w:val="sr-Latn-RS"/>
        </w:rPr>
      </w:pPr>
    </w:p>
    <w:p w:rsidR="00B05442" w:rsidRPr="00696230" w:rsidRDefault="00B05442" w:rsidP="000F2A19">
      <w:pPr>
        <w:pStyle w:val="FootnoteText"/>
        <w:spacing w:before="100" w:after="100" w:line="300" w:lineRule="auto"/>
        <w:jc w:val="both"/>
        <w:rPr>
          <w:rFonts w:ascii="Arial" w:hAnsi="Arial" w:cs="Arial"/>
          <w:lang w:val="sr-Latn-RS"/>
        </w:rPr>
      </w:pPr>
    </w:p>
    <w:p w:rsidR="00B05442" w:rsidRPr="00696230" w:rsidRDefault="00B05442" w:rsidP="000F2A19">
      <w:pPr>
        <w:pStyle w:val="FootnoteText"/>
        <w:spacing w:before="100" w:after="100" w:line="300" w:lineRule="auto"/>
        <w:jc w:val="both"/>
        <w:rPr>
          <w:rFonts w:ascii="Arial" w:hAnsi="Arial" w:cs="Arial"/>
          <w:lang w:val="sr-Latn-RS"/>
        </w:rPr>
      </w:pPr>
    </w:p>
    <w:p w:rsidR="000F2A19" w:rsidRPr="00696230" w:rsidRDefault="000F2A19" w:rsidP="000F2A19">
      <w:pPr>
        <w:pStyle w:val="FootnoteText"/>
        <w:spacing w:before="100" w:after="100" w:line="300" w:lineRule="auto"/>
        <w:jc w:val="both"/>
        <w:rPr>
          <w:rFonts w:cs="Arial"/>
          <w:sz w:val="16"/>
          <w:szCs w:val="16"/>
          <w:lang w:val="sr-Latn-RS"/>
        </w:rPr>
      </w:pPr>
    </w:p>
    <w:p w:rsidR="008F1FDB" w:rsidRPr="00696230" w:rsidRDefault="00644B12" w:rsidP="008F1FDB">
      <w:pPr>
        <w:ind w:left="1416" w:firstLine="708"/>
        <w:rPr>
          <w:rFonts w:cs="Arial"/>
          <w:sz w:val="16"/>
          <w:szCs w:val="16"/>
          <w:lang w:val="sr-Latn-RS"/>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949960</wp:posOffset>
                </wp:positionH>
                <wp:positionV relativeFrom="paragraph">
                  <wp:posOffset>34924</wp:posOffset>
                </wp:positionV>
                <wp:extent cx="46799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7B1F37"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mc:Fallback>
        </mc:AlternateContent>
      </w:r>
    </w:p>
    <w:p w:rsidR="00C50458" w:rsidRPr="00696230" w:rsidRDefault="00C50458" w:rsidP="00C50458">
      <w:pPr>
        <w:jc w:val="center"/>
        <w:rPr>
          <w:rFonts w:cs="Arial"/>
          <w:sz w:val="18"/>
          <w:szCs w:val="18"/>
          <w:lang w:val="sr-Latn-RS"/>
        </w:rPr>
      </w:pPr>
      <w:r w:rsidRPr="00696230">
        <w:rPr>
          <w:rFonts w:cs="Arial"/>
          <w:sz w:val="18"/>
          <w:szCs w:val="18"/>
          <w:lang w:val="sr-Latn-RS"/>
        </w:rPr>
        <w:t xml:space="preserve">Contact: </w:t>
      </w:r>
      <w:hyperlink r:id="rId12" w:history="1">
        <w:r w:rsidRPr="00696230">
          <w:rPr>
            <w:rStyle w:val="Hyperlink"/>
            <w:rFonts w:cs="Arial"/>
            <w:sz w:val="18"/>
            <w:szCs w:val="18"/>
            <w:lang w:val="sr-Latn-RS"/>
          </w:rPr>
          <w:t>ars@stat.gov.rs</w:t>
        </w:r>
      </w:hyperlink>
      <w:r w:rsidRPr="00696230">
        <w:rPr>
          <w:rStyle w:val="Hyperlink"/>
          <w:rFonts w:cs="Arial"/>
          <w:sz w:val="18"/>
          <w:szCs w:val="18"/>
          <w:lang w:val="sr-Latn-RS"/>
        </w:rPr>
        <w:t>,</w:t>
      </w:r>
      <w:r w:rsidRPr="00696230">
        <w:rPr>
          <w:rFonts w:cs="Arial"/>
          <w:sz w:val="18"/>
          <w:szCs w:val="18"/>
          <w:lang w:val="sr-Latn-RS"/>
        </w:rPr>
        <w:t xml:space="preserve"> Phone: +381 11 2412 922, ext. </w:t>
      </w:r>
      <w:r w:rsidR="0029118D" w:rsidRPr="00696230">
        <w:rPr>
          <w:rFonts w:cs="Arial"/>
          <w:sz w:val="18"/>
          <w:szCs w:val="18"/>
          <w:lang w:val="sr-Latn-RS"/>
        </w:rPr>
        <w:t>372</w:t>
      </w:r>
    </w:p>
    <w:p w:rsidR="00C50458" w:rsidRPr="00696230" w:rsidRDefault="00C50458" w:rsidP="00C50458">
      <w:pPr>
        <w:jc w:val="center"/>
        <w:rPr>
          <w:rFonts w:cs="Arial"/>
          <w:iCs/>
          <w:sz w:val="18"/>
          <w:szCs w:val="18"/>
          <w:lang w:val="sr-Latn-RS"/>
        </w:rPr>
      </w:pPr>
      <w:r w:rsidRPr="00696230">
        <w:rPr>
          <w:rFonts w:cs="Arial"/>
          <w:iCs/>
          <w:sz w:val="18"/>
          <w:szCs w:val="18"/>
          <w:lang w:val="sr-Latn-RS"/>
        </w:rPr>
        <w:t>Published and printed by: Statistical Office of the Republic of Serbia, 11 050 Belgrade, Milana</w:t>
      </w:r>
      <w:r w:rsidR="00205B16" w:rsidRPr="00696230">
        <w:rPr>
          <w:rFonts w:cs="Arial"/>
          <w:iCs/>
          <w:sz w:val="18"/>
          <w:szCs w:val="18"/>
          <w:lang w:val="sr-Latn-RS"/>
        </w:rPr>
        <w:t xml:space="preserve"> </w:t>
      </w:r>
      <w:r w:rsidRPr="00696230">
        <w:rPr>
          <w:rFonts w:cs="Arial"/>
          <w:iCs/>
          <w:sz w:val="18"/>
          <w:szCs w:val="18"/>
          <w:lang w:val="sr-Latn-RS"/>
        </w:rPr>
        <w:t>Rakica 5</w:t>
      </w:r>
    </w:p>
    <w:p w:rsidR="00C50458" w:rsidRPr="00696230" w:rsidRDefault="00C50458" w:rsidP="00C50458">
      <w:pPr>
        <w:jc w:val="center"/>
        <w:rPr>
          <w:rFonts w:cs="Arial"/>
          <w:iCs/>
          <w:sz w:val="18"/>
          <w:szCs w:val="18"/>
          <w:lang w:val="sr-Latn-RS"/>
        </w:rPr>
      </w:pPr>
      <w:r w:rsidRPr="00696230">
        <w:rPr>
          <w:rFonts w:cs="Arial"/>
          <w:iCs/>
          <w:sz w:val="18"/>
          <w:szCs w:val="18"/>
          <w:lang w:val="sr-Latn-RS"/>
        </w:rPr>
        <w:t xml:space="preserve">Phone: +381 11 2412922 </w:t>
      </w:r>
      <w:r w:rsidRPr="00696230">
        <w:rPr>
          <w:rFonts w:cs="Arial"/>
          <w:sz w:val="18"/>
          <w:szCs w:val="18"/>
          <w:lang w:val="sr-Latn-RS"/>
        </w:rPr>
        <w:t xml:space="preserve">(telephone exchange) </w:t>
      </w:r>
      <w:r w:rsidRPr="00696230">
        <w:rPr>
          <w:rFonts w:cs="Arial"/>
          <w:iCs/>
          <w:sz w:val="18"/>
          <w:szCs w:val="18"/>
          <w:lang w:val="sr-Latn-RS"/>
        </w:rPr>
        <w:t xml:space="preserve">● Fax: +381 11 2411260 ● www.stat.gov.rs  </w:t>
      </w:r>
    </w:p>
    <w:p w:rsidR="00C50458" w:rsidRPr="00696230" w:rsidRDefault="00C50458" w:rsidP="00C50458">
      <w:pPr>
        <w:jc w:val="center"/>
        <w:rPr>
          <w:rFonts w:cs="Arial"/>
          <w:iCs/>
          <w:sz w:val="18"/>
          <w:szCs w:val="18"/>
          <w:lang w:val="sr-Latn-RS"/>
        </w:rPr>
      </w:pPr>
      <w:r w:rsidRPr="00696230">
        <w:rPr>
          <w:rFonts w:cs="Arial"/>
          <w:iCs/>
          <w:sz w:val="18"/>
          <w:szCs w:val="18"/>
          <w:lang w:val="sr-Latn-RS"/>
        </w:rPr>
        <w:t>Responsible: Dr Miladin Kovačević, Director</w:t>
      </w:r>
    </w:p>
    <w:p w:rsidR="005B2627" w:rsidRPr="00696230" w:rsidRDefault="00C50458" w:rsidP="00166DB3">
      <w:pPr>
        <w:spacing w:after="60"/>
        <w:jc w:val="center"/>
        <w:rPr>
          <w:rFonts w:cs="Arial"/>
          <w:sz w:val="18"/>
          <w:szCs w:val="18"/>
          <w:lang w:val="sr-Latn-RS"/>
        </w:rPr>
      </w:pPr>
      <w:r w:rsidRPr="00696230">
        <w:rPr>
          <w:rFonts w:cs="Arial"/>
          <w:sz w:val="18"/>
          <w:szCs w:val="18"/>
          <w:lang w:val="sr-Latn-RS"/>
        </w:rPr>
        <w:t>Circulation: 20 • Periodicity: quarterly</w:t>
      </w:r>
    </w:p>
    <w:sectPr w:rsidR="005B2627" w:rsidRPr="00696230" w:rsidSect="00BC5415">
      <w:footerReference w:type="even" r:id="rId13"/>
      <w:footerReference w:type="default" r:id="rId14"/>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4A" w:rsidRDefault="0071284A" w:rsidP="008F1FDB">
      <w:r>
        <w:separator/>
      </w:r>
    </w:p>
  </w:endnote>
  <w:endnote w:type="continuationSeparator" w:id="0">
    <w:p w:rsidR="0071284A" w:rsidRDefault="0071284A"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IS">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AE1A0C" w:rsidRDefault="00BA6792" w:rsidP="006A1222">
    <w:pPr>
      <w:pStyle w:val="Footer"/>
      <w:pBdr>
        <w:top w:val="single" w:sz="4" w:space="1" w:color="auto"/>
      </w:pBdr>
      <w:rPr>
        <w:rFonts w:ascii="Arial" w:hAnsi="Arial" w:cs="Arial"/>
        <w:sz w:val="16"/>
        <w:szCs w:val="16"/>
      </w:rPr>
    </w:pPr>
    <w:r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C9036F">
      <w:rPr>
        <w:rFonts w:ascii="Arial" w:hAnsi="Arial" w:cs="Arial"/>
        <w:noProof/>
        <w:sz w:val="16"/>
        <w:szCs w:val="16"/>
      </w:rPr>
      <w:t>4</w:t>
    </w:r>
    <w:r w:rsidRPr="00D44751">
      <w:rPr>
        <w:rFonts w:ascii="Arial" w:hAnsi="Arial" w:cs="Arial"/>
        <w:noProof/>
        <w:sz w:val="16"/>
        <w:szCs w:val="16"/>
      </w:rPr>
      <w:fldChar w:fldCharType="end"/>
    </w:r>
    <w:r w:rsidR="00696230">
      <w:rPr>
        <w:rFonts w:ascii="Arial" w:hAnsi="Arial" w:cs="Arial"/>
        <w:noProof/>
        <w:sz w:val="16"/>
        <w:szCs w:val="16"/>
      </w:rPr>
      <w:t xml:space="preserve">                                                                                                                                                                                            </w:t>
    </w:r>
    <w:r w:rsidR="00783A4C" w:rsidRPr="00783A4C">
      <w:rPr>
        <w:rFonts w:ascii="Arial" w:eastAsia="Times New Roman" w:hAnsi="Arial" w:cs="Arial"/>
        <w:sz w:val="16"/>
        <w:szCs w:val="16"/>
        <w:lang w:val="en-US"/>
      </w:rPr>
      <w:t>SERB</w:t>
    </w:r>
    <w:r w:rsidR="00D05D8C">
      <w:rPr>
        <w:rFonts w:ascii="Arial" w:eastAsia="Times New Roman" w:hAnsi="Arial" w:cs="Arial"/>
        <w:sz w:val="16"/>
        <w:szCs w:val="16"/>
        <w:lang w:val="en-US"/>
      </w:rPr>
      <w:t>135</w:t>
    </w:r>
    <w:r w:rsidR="00783A4C" w:rsidRPr="00783A4C">
      <w:rPr>
        <w:rFonts w:ascii="Arial" w:eastAsia="Times New Roman" w:hAnsi="Arial" w:cs="Arial"/>
        <w:sz w:val="16"/>
        <w:szCs w:val="16"/>
        <w:lang w:val="en-US"/>
      </w:rPr>
      <w:t xml:space="preserve"> RS10 </w:t>
    </w:r>
    <w:r w:rsidR="00D0048F" w:rsidRPr="00D0048F">
      <w:rPr>
        <w:rFonts w:ascii="Arial" w:eastAsia="Times New Roman" w:hAnsi="Arial" w:cs="Arial"/>
        <w:sz w:val="16"/>
        <w:szCs w:val="16"/>
        <w:lang w:val="en-US"/>
      </w:rPr>
      <w:t>290520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783A4C" w:rsidP="006A1222">
    <w:pPr>
      <w:pStyle w:val="Footer"/>
      <w:pBdr>
        <w:top w:val="single" w:sz="4" w:space="1" w:color="auto"/>
      </w:pBdr>
      <w:rPr>
        <w:rFonts w:ascii="Arial" w:hAnsi="Arial" w:cs="Arial"/>
        <w:sz w:val="16"/>
        <w:szCs w:val="16"/>
      </w:rPr>
    </w:pPr>
    <w:r w:rsidRPr="00783A4C">
      <w:rPr>
        <w:rFonts w:ascii="Arial" w:eastAsia="Times New Roman" w:hAnsi="Arial" w:cs="Arial"/>
        <w:sz w:val="16"/>
        <w:szCs w:val="16"/>
      </w:rPr>
      <w:t>SERB</w:t>
    </w:r>
    <w:r w:rsidR="00D05D8C">
      <w:rPr>
        <w:rFonts w:ascii="Arial" w:eastAsia="Times New Roman" w:hAnsi="Arial" w:cs="Arial"/>
        <w:sz w:val="16"/>
        <w:szCs w:val="16"/>
      </w:rPr>
      <w:t>135</w:t>
    </w:r>
    <w:r w:rsidRPr="00783A4C">
      <w:rPr>
        <w:rFonts w:ascii="Arial" w:eastAsia="Times New Roman" w:hAnsi="Arial" w:cs="Arial"/>
        <w:sz w:val="16"/>
        <w:szCs w:val="16"/>
      </w:rPr>
      <w:t xml:space="preserve"> RS10 </w:t>
    </w:r>
    <w:r w:rsidR="00D0048F" w:rsidRPr="00D0048F">
      <w:rPr>
        <w:rFonts w:ascii="Arial" w:eastAsia="Times New Roman" w:hAnsi="Arial" w:cs="Arial"/>
        <w:sz w:val="16"/>
        <w:szCs w:val="16"/>
      </w:rPr>
      <w:t>290520</w:t>
    </w:r>
    <w:r w:rsidR="00696230">
      <w:rPr>
        <w:rFonts w:ascii="Arial" w:eastAsia="Times New Roman" w:hAnsi="Arial" w:cs="Arial"/>
        <w:sz w:val="16"/>
        <w:szCs w:val="16"/>
      </w:rPr>
      <w:t xml:space="preserve">                                                                                                                                                                                            </w:t>
    </w:r>
    <w:r w:rsidR="00BA6792"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BA6792" w:rsidRPr="00D44751">
      <w:rPr>
        <w:rFonts w:ascii="Arial" w:hAnsi="Arial" w:cs="Arial"/>
        <w:sz w:val="16"/>
        <w:szCs w:val="16"/>
      </w:rPr>
      <w:fldChar w:fldCharType="separate"/>
    </w:r>
    <w:r w:rsidR="00C9036F">
      <w:rPr>
        <w:rFonts w:ascii="Arial" w:hAnsi="Arial" w:cs="Arial"/>
        <w:noProof/>
        <w:sz w:val="16"/>
        <w:szCs w:val="16"/>
      </w:rPr>
      <w:t>3</w:t>
    </w:r>
    <w:r w:rsidR="00BA6792"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4A" w:rsidRDefault="0071284A" w:rsidP="008F1FDB">
      <w:r>
        <w:separator/>
      </w:r>
    </w:p>
  </w:footnote>
  <w:footnote w:type="continuationSeparator" w:id="0">
    <w:p w:rsidR="0071284A" w:rsidRDefault="0071284A" w:rsidP="008F1FDB">
      <w:r>
        <w:continuationSeparator/>
      </w:r>
    </w:p>
  </w:footnote>
  <w:footnote w:id="1">
    <w:p w:rsidR="00F82D1F" w:rsidRPr="00F82D1F" w:rsidRDefault="00F82D1F" w:rsidP="00F82D1F">
      <w:pPr>
        <w:ind w:left="142" w:hanging="142"/>
        <w:rPr>
          <w:rFonts w:ascii="Calibri" w:hAnsi="Calibri"/>
          <w:sz w:val="16"/>
          <w:szCs w:val="16"/>
        </w:rPr>
      </w:pPr>
      <w:r w:rsidRPr="00F82D1F">
        <w:rPr>
          <w:rStyle w:val="FootnoteReference"/>
          <w:sz w:val="16"/>
          <w:szCs w:val="16"/>
        </w:rPr>
        <w:footnoteRef/>
      </w:r>
      <w:r w:rsidRPr="00F82D1F">
        <w:rPr>
          <w:sz w:val="16"/>
          <w:szCs w:val="16"/>
        </w:rPr>
        <w:t xml:space="preserve"> The activity of Agriculture covers the whole section of Agriculture, forestry and fishery, as well as a part of the section Activities of households as employers referring to agriculture.</w:t>
      </w:r>
    </w:p>
    <w:p w:rsidR="00F82D1F" w:rsidRPr="00F82D1F" w:rsidRDefault="00F82D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B"/>
    <w:rsid w:val="00000028"/>
    <w:rsid w:val="00000065"/>
    <w:rsid w:val="000005D0"/>
    <w:rsid w:val="00003304"/>
    <w:rsid w:val="00006538"/>
    <w:rsid w:val="00010B08"/>
    <w:rsid w:val="00013093"/>
    <w:rsid w:val="00013B59"/>
    <w:rsid w:val="000258CF"/>
    <w:rsid w:val="0003096B"/>
    <w:rsid w:val="00030DBF"/>
    <w:rsid w:val="00030E76"/>
    <w:rsid w:val="000348CE"/>
    <w:rsid w:val="00035020"/>
    <w:rsid w:val="00046DB9"/>
    <w:rsid w:val="00047F19"/>
    <w:rsid w:val="000501DC"/>
    <w:rsid w:val="0005439C"/>
    <w:rsid w:val="00056CE9"/>
    <w:rsid w:val="00066CE2"/>
    <w:rsid w:val="000725A5"/>
    <w:rsid w:val="000738EC"/>
    <w:rsid w:val="00073C85"/>
    <w:rsid w:val="00077879"/>
    <w:rsid w:val="00081F93"/>
    <w:rsid w:val="00084400"/>
    <w:rsid w:val="000A395C"/>
    <w:rsid w:val="000B556F"/>
    <w:rsid w:val="000C43A8"/>
    <w:rsid w:val="000C6D73"/>
    <w:rsid w:val="000D69BB"/>
    <w:rsid w:val="000E70B3"/>
    <w:rsid w:val="000F046C"/>
    <w:rsid w:val="000F2A19"/>
    <w:rsid w:val="000F44C5"/>
    <w:rsid w:val="000F4A7D"/>
    <w:rsid w:val="00100800"/>
    <w:rsid w:val="00103A54"/>
    <w:rsid w:val="00106668"/>
    <w:rsid w:val="00106751"/>
    <w:rsid w:val="001156FD"/>
    <w:rsid w:val="0011594C"/>
    <w:rsid w:val="0011686A"/>
    <w:rsid w:val="00126219"/>
    <w:rsid w:val="001279E3"/>
    <w:rsid w:val="0013162E"/>
    <w:rsid w:val="00134023"/>
    <w:rsid w:val="0013616A"/>
    <w:rsid w:val="001422DF"/>
    <w:rsid w:val="0015173D"/>
    <w:rsid w:val="00151995"/>
    <w:rsid w:val="00154B07"/>
    <w:rsid w:val="00160982"/>
    <w:rsid w:val="001643B8"/>
    <w:rsid w:val="00166DB3"/>
    <w:rsid w:val="00184AFD"/>
    <w:rsid w:val="00191DB1"/>
    <w:rsid w:val="00196487"/>
    <w:rsid w:val="001A2E37"/>
    <w:rsid w:val="001A5267"/>
    <w:rsid w:val="001A634D"/>
    <w:rsid w:val="001B31F5"/>
    <w:rsid w:val="001C0F9C"/>
    <w:rsid w:val="001C2865"/>
    <w:rsid w:val="001C2A83"/>
    <w:rsid w:val="001C5FB3"/>
    <w:rsid w:val="001D2260"/>
    <w:rsid w:val="001F133C"/>
    <w:rsid w:val="001F19B7"/>
    <w:rsid w:val="001F3AB9"/>
    <w:rsid w:val="001F439A"/>
    <w:rsid w:val="0020430D"/>
    <w:rsid w:val="002058FC"/>
    <w:rsid w:val="00205B16"/>
    <w:rsid w:val="00206E07"/>
    <w:rsid w:val="00210C1C"/>
    <w:rsid w:val="0021176C"/>
    <w:rsid w:val="00213C8C"/>
    <w:rsid w:val="00214E23"/>
    <w:rsid w:val="00220476"/>
    <w:rsid w:val="002230F8"/>
    <w:rsid w:val="00225892"/>
    <w:rsid w:val="002259A7"/>
    <w:rsid w:val="00227336"/>
    <w:rsid w:val="00232FA1"/>
    <w:rsid w:val="002338AB"/>
    <w:rsid w:val="00245052"/>
    <w:rsid w:val="00250970"/>
    <w:rsid w:val="00251661"/>
    <w:rsid w:val="002518BC"/>
    <w:rsid w:val="002548FC"/>
    <w:rsid w:val="00255404"/>
    <w:rsid w:val="0027467B"/>
    <w:rsid w:val="0027499B"/>
    <w:rsid w:val="00275560"/>
    <w:rsid w:val="00277FE4"/>
    <w:rsid w:val="0028792B"/>
    <w:rsid w:val="0029118D"/>
    <w:rsid w:val="002911F4"/>
    <w:rsid w:val="00296794"/>
    <w:rsid w:val="002A0F49"/>
    <w:rsid w:val="002A5206"/>
    <w:rsid w:val="002A5578"/>
    <w:rsid w:val="002A7F09"/>
    <w:rsid w:val="002B6AEA"/>
    <w:rsid w:val="002B7CF1"/>
    <w:rsid w:val="002D3DE0"/>
    <w:rsid w:val="002D5CE5"/>
    <w:rsid w:val="002E1F9F"/>
    <w:rsid w:val="002E5232"/>
    <w:rsid w:val="002E5AE9"/>
    <w:rsid w:val="002E68C6"/>
    <w:rsid w:val="002E7282"/>
    <w:rsid w:val="002F2021"/>
    <w:rsid w:val="002F373F"/>
    <w:rsid w:val="002F7531"/>
    <w:rsid w:val="00301CB4"/>
    <w:rsid w:val="0030252E"/>
    <w:rsid w:val="003138BC"/>
    <w:rsid w:val="0032019D"/>
    <w:rsid w:val="003223A6"/>
    <w:rsid w:val="0032539F"/>
    <w:rsid w:val="00331733"/>
    <w:rsid w:val="0033469B"/>
    <w:rsid w:val="00335F51"/>
    <w:rsid w:val="0033607C"/>
    <w:rsid w:val="003473B6"/>
    <w:rsid w:val="00347B9E"/>
    <w:rsid w:val="003648F3"/>
    <w:rsid w:val="0036735D"/>
    <w:rsid w:val="00375148"/>
    <w:rsid w:val="00382789"/>
    <w:rsid w:val="00391A81"/>
    <w:rsid w:val="0039649B"/>
    <w:rsid w:val="003A38E3"/>
    <w:rsid w:val="003B2BF0"/>
    <w:rsid w:val="003B4E77"/>
    <w:rsid w:val="003C595E"/>
    <w:rsid w:val="003C595F"/>
    <w:rsid w:val="003C784C"/>
    <w:rsid w:val="003D1BAD"/>
    <w:rsid w:val="003D4780"/>
    <w:rsid w:val="003D4BBB"/>
    <w:rsid w:val="003D6E3B"/>
    <w:rsid w:val="003D6FB6"/>
    <w:rsid w:val="003E6A11"/>
    <w:rsid w:val="003F1840"/>
    <w:rsid w:val="003F229B"/>
    <w:rsid w:val="00407AEC"/>
    <w:rsid w:val="00412661"/>
    <w:rsid w:val="00414DE5"/>
    <w:rsid w:val="00415AE4"/>
    <w:rsid w:val="004161FD"/>
    <w:rsid w:val="00421F08"/>
    <w:rsid w:val="00423729"/>
    <w:rsid w:val="00424192"/>
    <w:rsid w:val="00424EB5"/>
    <w:rsid w:val="004253AF"/>
    <w:rsid w:val="00426756"/>
    <w:rsid w:val="0043478C"/>
    <w:rsid w:val="00436AE2"/>
    <w:rsid w:val="00440D47"/>
    <w:rsid w:val="0044152C"/>
    <w:rsid w:val="004439E5"/>
    <w:rsid w:val="00443AFD"/>
    <w:rsid w:val="00451739"/>
    <w:rsid w:val="004568F6"/>
    <w:rsid w:val="0045721A"/>
    <w:rsid w:val="00460D42"/>
    <w:rsid w:val="004625B5"/>
    <w:rsid w:val="00466052"/>
    <w:rsid w:val="00475D8E"/>
    <w:rsid w:val="00476EBC"/>
    <w:rsid w:val="0049196E"/>
    <w:rsid w:val="00492E8D"/>
    <w:rsid w:val="004933F8"/>
    <w:rsid w:val="004A2B81"/>
    <w:rsid w:val="004A5A34"/>
    <w:rsid w:val="004A5C1A"/>
    <w:rsid w:val="004B0BEC"/>
    <w:rsid w:val="004C40C6"/>
    <w:rsid w:val="004D5448"/>
    <w:rsid w:val="004D5559"/>
    <w:rsid w:val="004D77EB"/>
    <w:rsid w:val="004F0B6D"/>
    <w:rsid w:val="004F268A"/>
    <w:rsid w:val="004F3C08"/>
    <w:rsid w:val="004F449F"/>
    <w:rsid w:val="004F6E59"/>
    <w:rsid w:val="00505A12"/>
    <w:rsid w:val="0051113F"/>
    <w:rsid w:val="005149E9"/>
    <w:rsid w:val="00516DF9"/>
    <w:rsid w:val="00517932"/>
    <w:rsid w:val="00520D82"/>
    <w:rsid w:val="00523F0F"/>
    <w:rsid w:val="005270CA"/>
    <w:rsid w:val="005417F2"/>
    <w:rsid w:val="00541CEF"/>
    <w:rsid w:val="0054237A"/>
    <w:rsid w:val="00545391"/>
    <w:rsid w:val="00545B7A"/>
    <w:rsid w:val="005603EE"/>
    <w:rsid w:val="0056288F"/>
    <w:rsid w:val="00563A0D"/>
    <w:rsid w:val="00565286"/>
    <w:rsid w:val="00570D86"/>
    <w:rsid w:val="00576503"/>
    <w:rsid w:val="00586E90"/>
    <w:rsid w:val="005876E5"/>
    <w:rsid w:val="0059160F"/>
    <w:rsid w:val="005A2274"/>
    <w:rsid w:val="005A78F5"/>
    <w:rsid w:val="005B2627"/>
    <w:rsid w:val="005B76B4"/>
    <w:rsid w:val="005D0BFA"/>
    <w:rsid w:val="005D3F8D"/>
    <w:rsid w:val="005D4119"/>
    <w:rsid w:val="005E3666"/>
    <w:rsid w:val="005E3B3D"/>
    <w:rsid w:val="005E4A88"/>
    <w:rsid w:val="005E65AF"/>
    <w:rsid w:val="005E696F"/>
    <w:rsid w:val="005F3F94"/>
    <w:rsid w:val="0060303E"/>
    <w:rsid w:val="00605676"/>
    <w:rsid w:val="00607E0F"/>
    <w:rsid w:val="00612AE0"/>
    <w:rsid w:val="00613C40"/>
    <w:rsid w:val="006148C7"/>
    <w:rsid w:val="00624E41"/>
    <w:rsid w:val="00625934"/>
    <w:rsid w:val="006264D2"/>
    <w:rsid w:val="00633F41"/>
    <w:rsid w:val="00635461"/>
    <w:rsid w:val="00644B12"/>
    <w:rsid w:val="006511E3"/>
    <w:rsid w:val="006560CB"/>
    <w:rsid w:val="00660007"/>
    <w:rsid w:val="00663229"/>
    <w:rsid w:val="00667CA0"/>
    <w:rsid w:val="00670DFD"/>
    <w:rsid w:val="00671004"/>
    <w:rsid w:val="006830B4"/>
    <w:rsid w:val="00686AAB"/>
    <w:rsid w:val="00687560"/>
    <w:rsid w:val="0069569B"/>
    <w:rsid w:val="00696230"/>
    <w:rsid w:val="006A1222"/>
    <w:rsid w:val="006A1C70"/>
    <w:rsid w:val="006A5690"/>
    <w:rsid w:val="006A6E25"/>
    <w:rsid w:val="006B1341"/>
    <w:rsid w:val="006C44F2"/>
    <w:rsid w:val="006D0ED9"/>
    <w:rsid w:val="006D2306"/>
    <w:rsid w:val="006D7E24"/>
    <w:rsid w:val="006E50CF"/>
    <w:rsid w:val="006F0BB2"/>
    <w:rsid w:val="006F3615"/>
    <w:rsid w:val="006F6358"/>
    <w:rsid w:val="00703192"/>
    <w:rsid w:val="00703FA3"/>
    <w:rsid w:val="00705354"/>
    <w:rsid w:val="00710230"/>
    <w:rsid w:val="0071284A"/>
    <w:rsid w:val="00716137"/>
    <w:rsid w:val="007179D8"/>
    <w:rsid w:val="00722C7B"/>
    <w:rsid w:val="00725519"/>
    <w:rsid w:val="00725875"/>
    <w:rsid w:val="007258A5"/>
    <w:rsid w:val="00727EAB"/>
    <w:rsid w:val="007336AE"/>
    <w:rsid w:val="00737EA5"/>
    <w:rsid w:val="00740CBD"/>
    <w:rsid w:val="00745B7D"/>
    <w:rsid w:val="00746DD9"/>
    <w:rsid w:val="007472CE"/>
    <w:rsid w:val="00747ADF"/>
    <w:rsid w:val="007526C4"/>
    <w:rsid w:val="007568FD"/>
    <w:rsid w:val="00761651"/>
    <w:rsid w:val="0076445B"/>
    <w:rsid w:val="00766691"/>
    <w:rsid w:val="00767198"/>
    <w:rsid w:val="00777E7E"/>
    <w:rsid w:val="00780DB5"/>
    <w:rsid w:val="0078202D"/>
    <w:rsid w:val="0078259C"/>
    <w:rsid w:val="0078275A"/>
    <w:rsid w:val="007838B6"/>
    <w:rsid w:val="00783A4C"/>
    <w:rsid w:val="007972AA"/>
    <w:rsid w:val="007973C9"/>
    <w:rsid w:val="007A5ADE"/>
    <w:rsid w:val="007A710F"/>
    <w:rsid w:val="007A7B1D"/>
    <w:rsid w:val="007A7D95"/>
    <w:rsid w:val="007B1807"/>
    <w:rsid w:val="007C233B"/>
    <w:rsid w:val="007C2550"/>
    <w:rsid w:val="007C4AA3"/>
    <w:rsid w:val="007D513C"/>
    <w:rsid w:val="007D5B01"/>
    <w:rsid w:val="007E2FC1"/>
    <w:rsid w:val="007E6487"/>
    <w:rsid w:val="007F00DA"/>
    <w:rsid w:val="007F04AF"/>
    <w:rsid w:val="007F04C4"/>
    <w:rsid w:val="007F2030"/>
    <w:rsid w:val="007F58F3"/>
    <w:rsid w:val="007F79D5"/>
    <w:rsid w:val="00800AAE"/>
    <w:rsid w:val="008105E7"/>
    <w:rsid w:val="00810978"/>
    <w:rsid w:val="00813C83"/>
    <w:rsid w:val="00814F67"/>
    <w:rsid w:val="008220FF"/>
    <w:rsid w:val="008253D5"/>
    <w:rsid w:val="00830131"/>
    <w:rsid w:val="008316F0"/>
    <w:rsid w:val="00833207"/>
    <w:rsid w:val="00837FE1"/>
    <w:rsid w:val="00850B96"/>
    <w:rsid w:val="00852349"/>
    <w:rsid w:val="008560F4"/>
    <w:rsid w:val="0085728F"/>
    <w:rsid w:val="008607C4"/>
    <w:rsid w:val="00863855"/>
    <w:rsid w:val="00864F8D"/>
    <w:rsid w:val="0086505B"/>
    <w:rsid w:val="00865851"/>
    <w:rsid w:val="00880A8B"/>
    <w:rsid w:val="00882574"/>
    <w:rsid w:val="00882BB3"/>
    <w:rsid w:val="0088400B"/>
    <w:rsid w:val="00895C7F"/>
    <w:rsid w:val="008A6A1E"/>
    <w:rsid w:val="008A6B81"/>
    <w:rsid w:val="008B4880"/>
    <w:rsid w:val="008B4DF4"/>
    <w:rsid w:val="008B60B4"/>
    <w:rsid w:val="008C0465"/>
    <w:rsid w:val="008C52BC"/>
    <w:rsid w:val="008C52F9"/>
    <w:rsid w:val="008D00E1"/>
    <w:rsid w:val="008D1A70"/>
    <w:rsid w:val="008E1872"/>
    <w:rsid w:val="008E20A0"/>
    <w:rsid w:val="008E72AB"/>
    <w:rsid w:val="008F1FDB"/>
    <w:rsid w:val="008F53C9"/>
    <w:rsid w:val="008F5D88"/>
    <w:rsid w:val="00900CD2"/>
    <w:rsid w:val="00901882"/>
    <w:rsid w:val="00903C4C"/>
    <w:rsid w:val="00911288"/>
    <w:rsid w:val="00911976"/>
    <w:rsid w:val="009176F9"/>
    <w:rsid w:val="009205EB"/>
    <w:rsid w:val="00924511"/>
    <w:rsid w:val="009246B8"/>
    <w:rsid w:val="00925B34"/>
    <w:rsid w:val="00930544"/>
    <w:rsid w:val="00936402"/>
    <w:rsid w:val="009407FD"/>
    <w:rsid w:val="00942052"/>
    <w:rsid w:val="00942369"/>
    <w:rsid w:val="0094283F"/>
    <w:rsid w:val="00944E1D"/>
    <w:rsid w:val="009458D1"/>
    <w:rsid w:val="00953C84"/>
    <w:rsid w:val="00953DCE"/>
    <w:rsid w:val="00961739"/>
    <w:rsid w:val="00964DF0"/>
    <w:rsid w:val="00964EA6"/>
    <w:rsid w:val="00970E19"/>
    <w:rsid w:val="009773BD"/>
    <w:rsid w:val="00981611"/>
    <w:rsid w:val="00987E70"/>
    <w:rsid w:val="009927E5"/>
    <w:rsid w:val="009A1BA2"/>
    <w:rsid w:val="009A24AE"/>
    <w:rsid w:val="009B1EAA"/>
    <w:rsid w:val="009B2524"/>
    <w:rsid w:val="009B7E85"/>
    <w:rsid w:val="009D13A2"/>
    <w:rsid w:val="009D3D0D"/>
    <w:rsid w:val="009D7810"/>
    <w:rsid w:val="009E3604"/>
    <w:rsid w:val="009E479C"/>
    <w:rsid w:val="009F3761"/>
    <w:rsid w:val="009F56BA"/>
    <w:rsid w:val="00A01539"/>
    <w:rsid w:val="00A03B79"/>
    <w:rsid w:val="00A16667"/>
    <w:rsid w:val="00A16D64"/>
    <w:rsid w:val="00A17D42"/>
    <w:rsid w:val="00A21645"/>
    <w:rsid w:val="00A272BD"/>
    <w:rsid w:val="00A27492"/>
    <w:rsid w:val="00A27BB4"/>
    <w:rsid w:val="00A333E0"/>
    <w:rsid w:val="00A50B0F"/>
    <w:rsid w:val="00A51001"/>
    <w:rsid w:val="00A5363E"/>
    <w:rsid w:val="00A575CF"/>
    <w:rsid w:val="00A611EF"/>
    <w:rsid w:val="00A640BF"/>
    <w:rsid w:val="00A66878"/>
    <w:rsid w:val="00A66DB7"/>
    <w:rsid w:val="00A705D5"/>
    <w:rsid w:val="00A70C18"/>
    <w:rsid w:val="00A73B1F"/>
    <w:rsid w:val="00A76B48"/>
    <w:rsid w:val="00A7749A"/>
    <w:rsid w:val="00A83320"/>
    <w:rsid w:val="00A838BF"/>
    <w:rsid w:val="00A91D15"/>
    <w:rsid w:val="00A92DE7"/>
    <w:rsid w:val="00A93840"/>
    <w:rsid w:val="00A93D57"/>
    <w:rsid w:val="00AB4EA8"/>
    <w:rsid w:val="00AB7A3B"/>
    <w:rsid w:val="00AC22D0"/>
    <w:rsid w:val="00AD5AB1"/>
    <w:rsid w:val="00AE1A0C"/>
    <w:rsid w:val="00AE2555"/>
    <w:rsid w:val="00AE2B74"/>
    <w:rsid w:val="00AE37FB"/>
    <w:rsid w:val="00B001B9"/>
    <w:rsid w:val="00B01D93"/>
    <w:rsid w:val="00B05442"/>
    <w:rsid w:val="00B05B03"/>
    <w:rsid w:val="00B2296A"/>
    <w:rsid w:val="00B30441"/>
    <w:rsid w:val="00B3287E"/>
    <w:rsid w:val="00B336CD"/>
    <w:rsid w:val="00B373CC"/>
    <w:rsid w:val="00B377AD"/>
    <w:rsid w:val="00B442CD"/>
    <w:rsid w:val="00B47B6A"/>
    <w:rsid w:val="00B47D12"/>
    <w:rsid w:val="00B50D83"/>
    <w:rsid w:val="00B52C1F"/>
    <w:rsid w:val="00B547F5"/>
    <w:rsid w:val="00B57A70"/>
    <w:rsid w:val="00B64992"/>
    <w:rsid w:val="00B8235C"/>
    <w:rsid w:val="00B825B9"/>
    <w:rsid w:val="00B84327"/>
    <w:rsid w:val="00B90D92"/>
    <w:rsid w:val="00B90F02"/>
    <w:rsid w:val="00B91C74"/>
    <w:rsid w:val="00B939E3"/>
    <w:rsid w:val="00B97C9D"/>
    <w:rsid w:val="00BA1826"/>
    <w:rsid w:val="00BA28CA"/>
    <w:rsid w:val="00BA3FF9"/>
    <w:rsid w:val="00BA4AF7"/>
    <w:rsid w:val="00BA6792"/>
    <w:rsid w:val="00BB018E"/>
    <w:rsid w:val="00BB49EB"/>
    <w:rsid w:val="00BC5415"/>
    <w:rsid w:val="00BD08A0"/>
    <w:rsid w:val="00BD4B17"/>
    <w:rsid w:val="00BD6BE5"/>
    <w:rsid w:val="00BE1D56"/>
    <w:rsid w:val="00BE421C"/>
    <w:rsid w:val="00BE4FEB"/>
    <w:rsid w:val="00BF092A"/>
    <w:rsid w:val="00BF700D"/>
    <w:rsid w:val="00BF7927"/>
    <w:rsid w:val="00C01122"/>
    <w:rsid w:val="00C0716F"/>
    <w:rsid w:val="00C076CD"/>
    <w:rsid w:val="00C079BC"/>
    <w:rsid w:val="00C1542E"/>
    <w:rsid w:val="00C17C8C"/>
    <w:rsid w:val="00C20CF6"/>
    <w:rsid w:val="00C236D3"/>
    <w:rsid w:val="00C25484"/>
    <w:rsid w:val="00C30CFC"/>
    <w:rsid w:val="00C3339D"/>
    <w:rsid w:val="00C44C23"/>
    <w:rsid w:val="00C465AE"/>
    <w:rsid w:val="00C47384"/>
    <w:rsid w:val="00C50458"/>
    <w:rsid w:val="00C57274"/>
    <w:rsid w:val="00C63CDF"/>
    <w:rsid w:val="00C64868"/>
    <w:rsid w:val="00C658FD"/>
    <w:rsid w:val="00C6599E"/>
    <w:rsid w:val="00C67681"/>
    <w:rsid w:val="00C73815"/>
    <w:rsid w:val="00C74674"/>
    <w:rsid w:val="00C764D4"/>
    <w:rsid w:val="00C7661B"/>
    <w:rsid w:val="00C80A19"/>
    <w:rsid w:val="00C83F19"/>
    <w:rsid w:val="00C87C57"/>
    <w:rsid w:val="00C9036F"/>
    <w:rsid w:val="00C922B1"/>
    <w:rsid w:val="00C93537"/>
    <w:rsid w:val="00C94716"/>
    <w:rsid w:val="00C9494C"/>
    <w:rsid w:val="00CA3880"/>
    <w:rsid w:val="00CA60E8"/>
    <w:rsid w:val="00CA6360"/>
    <w:rsid w:val="00CB0869"/>
    <w:rsid w:val="00CC010D"/>
    <w:rsid w:val="00CC42C8"/>
    <w:rsid w:val="00CD1661"/>
    <w:rsid w:val="00CD3C9E"/>
    <w:rsid w:val="00CE4FF6"/>
    <w:rsid w:val="00CE52BA"/>
    <w:rsid w:val="00CE7B57"/>
    <w:rsid w:val="00CF2807"/>
    <w:rsid w:val="00CF5B94"/>
    <w:rsid w:val="00CF7145"/>
    <w:rsid w:val="00D0048F"/>
    <w:rsid w:val="00D023D0"/>
    <w:rsid w:val="00D05D8C"/>
    <w:rsid w:val="00D07D6A"/>
    <w:rsid w:val="00D11296"/>
    <w:rsid w:val="00D12954"/>
    <w:rsid w:val="00D16463"/>
    <w:rsid w:val="00D3111B"/>
    <w:rsid w:val="00D31124"/>
    <w:rsid w:val="00D31C3E"/>
    <w:rsid w:val="00D34336"/>
    <w:rsid w:val="00D36BF2"/>
    <w:rsid w:val="00D4045D"/>
    <w:rsid w:val="00D4357B"/>
    <w:rsid w:val="00D44D7D"/>
    <w:rsid w:val="00D465E1"/>
    <w:rsid w:val="00D5113B"/>
    <w:rsid w:val="00D51CE5"/>
    <w:rsid w:val="00D53A35"/>
    <w:rsid w:val="00D556F2"/>
    <w:rsid w:val="00D56877"/>
    <w:rsid w:val="00D655A4"/>
    <w:rsid w:val="00D65A50"/>
    <w:rsid w:val="00D65E30"/>
    <w:rsid w:val="00D8333C"/>
    <w:rsid w:val="00D8352F"/>
    <w:rsid w:val="00D84B0C"/>
    <w:rsid w:val="00D925E2"/>
    <w:rsid w:val="00DA0EF7"/>
    <w:rsid w:val="00DA2A7C"/>
    <w:rsid w:val="00DA3F28"/>
    <w:rsid w:val="00DB4C6E"/>
    <w:rsid w:val="00DC19DA"/>
    <w:rsid w:val="00DC35AC"/>
    <w:rsid w:val="00DC7999"/>
    <w:rsid w:val="00DD30B9"/>
    <w:rsid w:val="00DE3C95"/>
    <w:rsid w:val="00DE4F1D"/>
    <w:rsid w:val="00DE662A"/>
    <w:rsid w:val="00DF002F"/>
    <w:rsid w:val="00DF72AE"/>
    <w:rsid w:val="00DF7F7D"/>
    <w:rsid w:val="00E03C68"/>
    <w:rsid w:val="00E068AF"/>
    <w:rsid w:val="00E079E5"/>
    <w:rsid w:val="00E15E0B"/>
    <w:rsid w:val="00E22119"/>
    <w:rsid w:val="00E263C3"/>
    <w:rsid w:val="00E26579"/>
    <w:rsid w:val="00E330AD"/>
    <w:rsid w:val="00E33C37"/>
    <w:rsid w:val="00E3448D"/>
    <w:rsid w:val="00E34BDD"/>
    <w:rsid w:val="00E45A93"/>
    <w:rsid w:val="00E54662"/>
    <w:rsid w:val="00E57461"/>
    <w:rsid w:val="00E60984"/>
    <w:rsid w:val="00E61511"/>
    <w:rsid w:val="00E625E8"/>
    <w:rsid w:val="00E62922"/>
    <w:rsid w:val="00E62C2D"/>
    <w:rsid w:val="00E711A9"/>
    <w:rsid w:val="00E75AED"/>
    <w:rsid w:val="00E80409"/>
    <w:rsid w:val="00E834F8"/>
    <w:rsid w:val="00E86E35"/>
    <w:rsid w:val="00E91E47"/>
    <w:rsid w:val="00E93EDA"/>
    <w:rsid w:val="00EA0458"/>
    <w:rsid w:val="00EA3CC1"/>
    <w:rsid w:val="00EA57A8"/>
    <w:rsid w:val="00EA58CE"/>
    <w:rsid w:val="00EA7144"/>
    <w:rsid w:val="00EB3111"/>
    <w:rsid w:val="00EB69D8"/>
    <w:rsid w:val="00EB77D3"/>
    <w:rsid w:val="00EC0C85"/>
    <w:rsid w:val="00EC17DB"/>
    <w:rsid w:val="00EC413F"/>
    <w:rsid w:val="00EC5131"/>
    <w:rsid w:val="00ED093B"/>
    <w:rsid w:val="00EE000E"/>
    <w:rsid w:val="00EE2BAA"/>
    <w:rsid w:val="00EE3555"/>
    <w:rsid w:val="00EF25FA"/>
    <w:rsid w:val="00F03B80"/>
    <w:rsid w:val="00F05C5F"/>
    <w:rsid w:val="00F1064B"/>
    <w:rsid w:val="00F200F5"/>
    <w:rsid w:val="00F20EB9"/>
    <w:rsid w:val="00F37082"/>
    <w:rsid w:val="00F416AF"/>
    <w:rsid w:val="00F44424"/>
    <w:rsid w:val="00F5071E"/>
    <w:rsid w:val="00F54219"/>
    <w:rsid w:val="00F575CD"/>
    <w:rsid w:val="00F60DE5"/>
    <w:rsid w:val="00F652CC"/>
    <w:rsid w:val="00F74925"/>
    <w:rsid w:val="00F7497D"/>
    <w:rsid w:val="00F82D1F"/>
    <w:rsid w:val="00F830D2"/>
    <w:rsid w:val="00F9046D"/>
    <w:rsid w:val="00F913B1"/>
    <w:rsid w:val="00FA2B2F"/>
    <w:rsid w:val="00FA316C"/>
    <w:rsid w:val="00FB1802"/>
    <w:rsid w:val="00FB2E36"/>
    <w:rsid w:val="00FB3EC9"/>
    <w:rsid w:val="00FC094F"/>
    <w:rsid w:val="00FD3EB5"/>
    <w:rsid w:val="00FD69CC"/>
    <w:rsid w:val="00FD76A4"/>
    <w:rsid w:val="00FE415C"/>
    <w:rsid w:val="00FE417F"/>
    <w:rsid w:val="00FE450F"/>
    <w:rsid w:val="00FE6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C8C1B"/>
  <w15:docId w15:val="{E1D777C1-0AA0-4093-A247-44984412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8F1FDB"/>
    <w:rPr>
      <w:rFonts w:ascii="Calibri" w:eastAsia="Calibri" w:hAnsi="Calibri"/>
      <w:sz w:val="22"/>
      <w:szCs w:val="22"/>
    </w:rPr>
  </w:style>
  <w:style w:type="character" w:customStyle="1" w:styleId="PlainTextChar">
    <w:name w:val="Plain Text Char"/>
    <w:basedOn w:val="DefaultParagraphFont"/>
    <w:link w:val="PlainText"/>
    <w:uiPriority w:val="99"/>
    <w:rsid w:val="008F1FDB"/>
    <w:rPr>
      <w:rFonts w:ascii="Calibri" w:eastAsia="Calibri" w:hAnsi="Calibri" w:cs="Times New Roman"/>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585920677">
      <w:bodyDiv w:val="1"/>
      <w:marLeft w:val="0"/>
      <w:marRight w:val="0"/>
      <w:marTop w:val="0"/>
      <w:marBottom w:val="0"/>
      <w:divBdr>
        <w:top w:val="none" w:sz="0" w:space="0" w:color="auto"/>
        <w:left w:val="none" w:sz="0" w:space="0" w:color="auto"/>
        <w:bottom w:val="none" w:sz="0" w:space="0" w:color="auto"/>
        <w:right w:val="none" w:sz="0" w:space="0" w:color="auto"/>
      </w:divBdr>
    </w:div>
    <w:div w:id="888228632">
      <w:bodyDiv w:val="1"/>
      <w:marLeft w:val="0"/>
      <w:marRight w:val="0"/>
      <w:marTop w:val="0"/>
      <w:marBottom w:val="0"/>
      <w:divBdr>
        <w:top w:val="none" w:sz="0" w:space="0" w:color="auto"/>
        <w:left w:val="none" w:sz="0" w:space="0" w:color="auto"/>
        <w:bottom w:val="none" w:sz="0" w:space="0" w:color="auto"/>
        <w:right w:val="none" w:sz="0" w:space="0" w:color="auto"/>
      </w:divBdr>
    </w:div>
    <w:div w:id="1363482185">
      <w:bodyDiv w:val="1"/>
      <w:marLeft w:val="0"/>
      <w:marRight w:val="0"/>
      <w:marTop w:val="0"/>
      <w:marBottom w:val="0"/>
      <w:divBdr>
        <w:top w:val="none" w:sz="0" w:space="0" w:color="auto"/>
        <w:left w:val="none" w:sz="0" w:space="0" w:color="auto"/>
        <w:bottom w:val="none" w:sz="0" w:space="0" w:color="auto"/>
        <w:right w:val="none" w:sz="0" w:space="0" w:color="auto"/>
      </w:divBdr>
      <w:divsChild>
        <w:div w:id="1707099820">
          <w:marLeft w:val="0"/>
          <w:marRight w:val="0"/>
          <w:marTop w:val="0"/>
          <w:marBottom w:val="0"/>
          <w:divBdr>
            <w:top w:val="none" w:sz="0" w:space="0" w:color="auto"/>
            <w:left w:val="none" w:sz="0" w:space="0" w:color="auto"/>
            <w:bottom w:val="none" w:sz="0" w:space="0" w:color="auto"/>
            <w:right w:val="none" w:sz="0" w:space="0" w:color="auto"/>
          </w:divBdr>
        </w:div>
      </w:divsChild>
    </w:div>
    <w:div w:id="1658145439">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 w:id="1832064036">
      <w:bodyDiv w:val="1"/>
      <w:marLeft w:val="0"/>
      <w:marRight w:val="0"/>
      <w:marTop w:val="0"/>
      <w:marBottom w:val="0"/>
      <w:divBdr>
        <w:top w:val="none" w:sz="0" w:space="0" w:color="auto"/>
        <w:left w:val="none" w:sz="0" w:space="0" w:color="auto"/>
        <w:bottom w:val="none" w:sz="0" w:space="0" w:color="auto"/>
        <w:right w:val="none" w:sz="0" w:space="0" w:color="auto"/>
      </w:divBdr>
      <w:divsChild>
        <w:div w:id="1253395277">
          <w:marLeft w:val="0"/>
          <w:marRight w:val="0"/>
          <w:marTop w:val="0"/>
          <w:marBottom w:val="0"/>
          <w:divBdr>
            <w:top w:val="none" w:sz="0" w:space="0" w:color="auto"/>
            <w:left w:val="none" w:sz="0" w:space="0" w:color="auto"/>
            <w:bottom w:val="none" w:sz="0" w:space="0" w:color="auto"/>
            <w:right w:val="none" w:sz="0" w:space="0" w:color="auto"/>
          </w:divBdr>
          <w:divsChild>
            <w:div w:id="1946158526">
              <w:marLeft w:val="0"/>
              <w:marRight w:val="0"/>
              <w:marTop w:val="0"/>
              <w:marBottom w:val="0"/>
              <w:divBdr>
                <w:top w:val="none" w:sz="0" w:space="0" w:color="auto"/>
                <w:left w:val="none" w:sz="0" w:space="0" w:color="auto"/>
                <w:bottom w:val="none" w:sz="0" w:space="0" w:color="auto"/>
                <w:right w:val="none" w:sz="0" w:space="0" w:color="auto"/>
              </w:divBdr>
              <w:divsChild>
                <w:div w:id="437339310">
                  <w:marLeft w:val="0"/>
                  <w:marRight w:val="0"/>
                  <w:marTop w:val="0"/>
                  <w:marBottom w:val="0"/>
                  <w:divBdr>
                    <w:top w:val="none" w:sz="0" w:space="0" w:color="auto"/>
                    <w:left w:val="none" w:sz="0" w:space="0" w:color="auto"/>
                    <w:bottom w:val="none" w:sz="0" w:space="0" w:color="auto"/>
                    <w:right w:val="none" w:sz="0" w:space="0" w:color="auto"/>
                  </w:divBdr>
                  <w:divsChild>
                    <w:div w:id="1621257705">
                      <w:marLeft w:val="0"/>
                      <w:marRight w:val="0"/>
                      <w:marTop w:val="0"/>
                      <w:marBottom w:val="0"/>
                      <w:divBdr>
                        <w:top w:val="none" w:sz="0" w:space="0" w:color="auto"/>
                        <w:left w:val="none" w:sz="0" w:space="0" w:color="auto"/>
                        <w:bottom w:val="none" w:sz="0" w:space="0" w:color="auto"/>
                        <w:right w:val="none" w:sz="0" w:space="0" w:color="auto"/>
                      </w:divBdr>
                      <w:divsChild>
                        <w:div w:id="729035782">
                          <w:marLeft w:val="0"/>
                          <w:marRight w:val="0"/>
                          <w:marTop w:val="0"/>
                          <w:marBottom w:val="0"/>
                          <w:divBdr>
                            <w:top w:val="none" w:sz="0" w:space="0" w:color="auto"/>
                            <w:left w:val="none" w:sz="0" w:space="0" w:color="auto"/>
                            <w:bottom w:val="none" w:sz="0" w:space="0" w:color="auto"/>
                            <w:right w:val="none" w:sz="0" w:space="0" w:color="auto"/>
                          </w:divBdr>
                          <w:divsChild>
                            <w:div w:id="555629560">
                              <w:marLeft w:val="0"/>
                              <w:marRight w:val="0"/>
                              <w:marTop w:val="0"/>
                              <w:marBottom w:val="0"/>
                              <w:divBdr>
                                <w:top w:val="none" w:sz="0" w:space="0" w:color="auto"/>
                                <w:left w:val="none" w:sz="0" w:space="0" w:color="auto"/>
                                <w:bottom w:val="none" w:sz="0" w:space="0" w:color="auto"/>
                                <w:right w:val="none" w:sz="0" w:space="0" w:color="auto"/>
                              </w:divBdr>
                              <w:divsChild>
                                <w:div w:id="594365873">
                                  <w:marLeft w:val="0"/>
                                  <w:marRight w:val="0"/>
                                  <w:marTop w:val="0"/>
                                  <w:marBottom w:val="0"/>
                                  <w:divBdr>
                                    <w:top w:val="none" w:sz="0" w:space="0" w:color="auto"/>
                                    <w:left w:val="none" w:sz="0" w:space="0" w:color="auto"/>
                                    <w:bottom w:val="none" w:sz="0" w:space="0" w:color="auto"/>
                                    <w:right w:val="none" w:sz="0" w:space="0" w:color="auto"/>
                                  </w:divBdr>
                                  <w:divsChild>
                                    <w:div w:id="1029529724">
                                      <w:marLeft w:val="0"/>
                                      <w:marRight w:val="0"/>
                                      <w:marTop w:val="0"/>
                                      <w:marBottom w:val="0"/>
                                      <w:divBdr>
                                        <w:top w:val="none" w:sz="0" w:space="0" w:color="auto"/>
                                        <w:left w:val="none" w:sz="0" w:space="0" w:color="auto"/>
                                        <w:bottom w:val="none" w:sz="0" w:space="0" w:color="auto"/>
                                        <w:right w:val="none" w:sz="0" w:space="0" w:color="auto"/>
                                      </w:divBdr>
                                      <w:divsChild>
                                        <w:div w:id="171187871">
                                          <w:marLeft w:val="0"/>
                                          <w:marRight w:val="0"/>
                                          <w:marTop w:val="0"/>
                                          <w:marBottom w:val="0"/>
                                          <w:divBdr>
                                            <w:top w:val="none" w:sz="0" w:space="0" w:color="auto"/>
                                            <w:left w:val="none" w:sz="0" w:space="0" w:color="auto"/>
                                            <w:bottom w:val="none" w:sz="0" w:space="0" w:color="auto"/>
                                            <w:right w:val="none" w:sz="0" w:space="0" w:color="auto"/>
                                          </w:divBdr>
                                          <w:divsChild>
                                            <w:div w:id="1837570113">
                                              <w:marLeft w:val="0"/>
                                              <w:marRight w:val="0"/>
                                              <w:marTop w:val="0"/>
                                              <w:marBottom w:val="495"/>
                                              <w:divBdr>
                                                <w:top w:val="none" w:sz="0" w:space="0" w:color="auto"/>
                                                <w:left w:val="none" w:sz="0" w:space="0" w:color="auto"/>
                                                <w:bottom w:val="none" w:sz="0" w:space="0" w:color="auto"/>
                                                <w:right w:val="none" w:sz="0" w:space="0" w:color="auto"/>
                                              </w:divBdr>
                                              <w:divsChild>
                                                <w:div w:id="1152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9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cije.stat.gov.rs/G2018/Xls/G20191043.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65A0-BDF6-4EA2-B202-E0671764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1885</Words>
  <Characters>10465</Characters>
  <Application>Microsoft Office Word</Application>
  <DocSecurity>0</DocSecurity>
  <Lines>268</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Savkovic</dc:creator>
  <cp:lastModifiedBy>Dragana Steljic</cp:lastModifiedBy>
  <cp:revision>7</cp:revision>
  <cp:lastPrinted>2019-09-02T08:23:00Z</cp:lastPrinted>
  <dcterms:created xsi:type="dcterms:W3CDTF">2020-05-28T11:32:00Z</dcterms:created>
  <dcterms:modified xsi:type="dcterms:W3CDTF">2020-05-29T06:16:00Z</dcterms:modified>
</cp:coreProperties>
</file>