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5081"/>
        <w:gridCol w:w="2811"/>
      </w:tblGrid>
      <w:tr w:rsidR="00961BBA" w:rsidRPr="001E6695" w:rsidTr="00674C4F">
        <w:trPr>
          <w:cantSplit/>
          <w:trHeight w:hRule="exact" w:val="113"/>
        </w:trPr>
        <w:tc>
          <w:tcPr>
            <w:tcW w:w="1737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bottom"/>
          </w:tcPr>
          <w:p w:rsidR="00961BBA" w:rsidRPr="001E6695" w:rsidRDefault="009E094F" w:rsidP="00674C4F">
            <w:pPr>
              <w:spacing w:before="12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E6695">
              <w:rPr>
                <w:rFonts w:ascii="Arial" w:hAnsi="Arial" w:cs="Arial"/>
                <w:noProof/>
                <w:color w:val="808080"/>
                <w:sz w:val="20"/>
                <w:szCs w:val="20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4" name="Picture 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1A26EF" w:rsidRPr="001E6695" w:rsidRDefault="001A26EF" w:rsidP="004845C2">
            <w:pPr>
              <w:rPr>
                <w:rFonts w:ascii="Arial" w:hAnsi="Arial" w:cs="Arial"/>
                <w:sz w:val="20"/>
                <w:szCs w:val="20"/>
              </w:rPr>
            </w:pPr>
            <w:r w:rsidRPr="001E6695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961BBA" w:rsidRPr="001E6695" w:rsidRDefault="00961BBA" w:rsidP="004845C2">
            <w:pPr>
              <w:rPr>
                <w:rFonts w:ascii="Arial" w:hAnsi="Arial" w:cs="Arial"/>
                <w:sz w:val="20"/>
                <w:szCs w:val="20"/>
              </w:rPr>
            </w:pPr>
            <w:r w:rsidRPr="001E6695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28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961BBA" w:rsidRPr="001E6695" w:rsidRDefault="00961BBA" w:rsidP="004845C2">
            <w:pPr>
              <w:rPr>
                <w:rFonts w:ascii="Arial" w:hAnsi="Arial" w:cs="Arial"/>
                <w:b/>
                <w:color w:val="808080"/>
              </w:rPr>
            </w:pPr>
          </w:p>
        </w:tc>
      </w:tr>
      <w:tr w:rsidR="00961BBA" w:rsidRPr="001E6695">
        <w:trPr>
          <w:cantSplit/>
          <w:trHeight w:val="494"/>
        </w:trPr>
        <w:tc>
          <w:tcPr>
            <w:tcW w:w="1737" w:type="dxa"/>
            <w:vMerge/>
            <w:tcBorders>
              <w:top w:val="nil"/>
              <w:left w:val="nil"/>
              <w:bottom w:val="nil"/>
            </w:tcBorders>
          </w:tcPr>
          <w:p w:rsidR="00961BBA" w:rsidRPr="001E6695" w:rsidRDefault="00961BBA" w:rsidP="004845C2">
            <w:pPr>
              <w:pStyle w:val="FR3"/>
              <w:ind w:left="144"/>
              <w:rPr>
                <w:rFonts w:cs="Arial"/>
                <w:b/>
                <w:color w:val="808080"/>
              </w:rPr>
            </w:pPr>
          </w:p>
        </w:tc>
        <w:tc>
          <w:tcPr>
            <w:tcW w:w="51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61BBA" w:rsidRPr="001E6695" w:rsidRDefault="00961BBA" w:rsidP="004845C2">
            <w:pPr>
              <w:pStyle w:val="FR3"/>
              <w:ind w:left="144"/>
              <w:rPr>
                <w:rFonts w:cs="Arial"/>
                <w:b/>
                <w:color w:val="808080"/>
              </w:rPr>
            </w:pPr>
          </w:p>
        </w:tc>
        <w:tc>
          <w:tcPr>
            <w:tcW w:w="2828" w:type="dxa"/>
            <w:tcBorders>
              <w:top w:val="nil"/>
              <w:bottom w:val="nil"/>
              <w:right w:val="nil"/>
            </w:tcBorders>
            <w:vAlign w:val="center"/>
          </w:tcPr>
          <w:p w:rsidR="00961BBA" w:rsidRPr="001E6695" w:rsidRDefault="00961BBA" w:rsidP="004845C2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1E6695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961BBA" w:rsidRPr="001E6695">
        <w:trPr>
          <w:cantSplit/>
          <w:trHeight w:val="855"/>
        </w:trPr>
        <w:tc>
          <w:tcPr>
            <w:tcW w:w="685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1BBA" w:rsidRPr="001E6695" w:rsidRDefault="00961BBA" w:rsidP="004845C2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1E6695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1BBA" w:rsidRPr="001E6695" w:rsidRDefault="0012284A" w:rsidP="004845C2">
            <w:pPr>
              <w:jc w:val="right"/>
              <w:rPr>
                <w:rFonts w:ascii="Arial" w:hAnsi="Arial" w:cs="Arial"/>
                <w:b/>
                <w:color w:val="808080"/>
                <w:sz w:val="12"/>
              </w:rPr>
            </w:pPr>
            <w:r w:rsidRPr="001E6695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ZS</w:t>
            </w:r>
            <w:r w:rsidR="00961BBA" w:rsidRPr="001E6695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961BBA" w:rsidRPr="001E6695">
        <w:trPr>
          <w:cantSplit/>
          <w:trHeight w:hRule="exact" w:val="285"/>
        </w:trPr>
        <w:tc>
          <w:tcPr>
            <w:tcW w:w="6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BBA" w:rsidRPr="001E6695" w:rsidRDefault="00774823" w:rsidP="00C83B3D">
            <w:pPr>
              <w:rPr>
                <w:rFonts w:ascii="Arial" w:hAnsi="Arial" w:cs="Arial"/>
                <w:sz w:val="20"/>
                <w:szCs w:val="20"/>
              </w:rPr>
            </w:pPr>
            <w:r w:rsidRPr="001E6695">
              <w:rPr>
                <w:rFonts w:ascii="Arial" w:hAnsi="Arial" w:cs="Arial"/>
                <w:sz w:val="20"/>
                <w:szCs w:val="20"/>
              </w:rPr>
              <w:t>N</w:t>
            </w:r>
            <w:r w:rsidR="0012284A" w:rsidRPr="001E6695">
              <w:rPr>
                <w:rFonts w:ascii="Arial" w:hAnsi="Arial" w:cs="Arial"/>
                <w:sz w:val="20"/>
                <w:szCs w:val="20"/>
              </w:rPr>
              <w:t>umber</w:t>
            </w:r>
            <w:r w:rsidR="00961BBA" w:rsidRPr="001E6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B3D">
              <w:rPr>
                <w:rFonts w:ascii="Arial" w:hAnsi="Arial" w:cs="Arial"/>
                <w:sz w:val="20"/>
                <w:szCs w:val="20"/>
              </w:rPr>
              <w:t>112</w:t>
            </w:r>
            <w:r w:rsidR="00961BBA" w:rsidRPr="001E669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02D73" w:rsidRPr="001E6695">
              <w:rPr>
                <w:rFonts w:ascii="Arial" w:hAnsi="Arial" w:cs="Arial"/>
                <w:sz w:val="20"/>
                <w:szCs w:val="20"/>
              </w:rPr>
              <w:t>Year</w:t>
            </w:r>
            <w:r w:rsidR="00961BBA" w:rsidRPr="001E6695">
              <w:rPr>
                <w:rFonts w:ascii="Arial" w:hAnsi="Arial" w:cs="Arial"/>
                <w:sz w:val="20"/>
                <w:szCs w:val="20"/>
              </w:rPr>
              <w:t xml:space="preserve"> LX</w:t>
            </w:r>
            <w:r w:rsidR="00B52E66" w:rsidRPr="001E6695">
              <w:rPr>
                <w:rFonts w:ascii="Arial" w:hAnsi="Arial" w:cs="Arial"/>
                <w:sz w:val="20"/>
                <w:szCs w:val="20"/>
              </w:rPr>
              <w:t>X</w:t>
            </w:r>
            <w:r w:rsidR="00961BBA" w:rsidRPr="001E66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A26EF" w:rsidRPr="001E6695">
              <w:rPr>
                <w:rFonts w:ascii="Arial" w:hAnsi="Arial" w:cs="Arial"/>
                <w:sz w:val="20"/>
                <w:szCs w:val="20"/>
              </w:rPr>
              <w:t>07</w:t>
            </w:r>
            <w:r w:rsidR="00404075" w:rsidRPr="001E6695">
              <w:rPr>
                <w:rFonts w:ascii="Arial" w:hAnsi="Arial" w:cs="Arial"/>
                <w:sz w:val="20"/>
                <w:szCs w:val="20"/>
              </w:rPr>
              <w:t>/</w:t>
            </w:r>
            <w:r w:rsidR="00961BBA" w:rsidRPr="001E6695">
              <w:rPr>
                <w:rFonts w:ascii="Arial" w:hAnsi="Arial" w:cs="Arial"/>
                <w:sz w:val="20"/>
                <w:szCs w:val="20"/>
              </w:rPr>
              <w:t>0</w:t>
            </w:r>
            <w:r w:rsidR="001A26EF" w:rsidRPr="001E6695">
              <w:rPr>
                <w:rFonts w:ascii="Arial" w:hAnsi="Arial" w:cs="Arial"/>
                <w:sz w:val="20"/>
                <w:szCs w:val="20"/>
              </w:rPr>
              <w:t>5</w:t>
            </w:r>
            <w:r w:rsidR="00404075" w:rsidRPr="001E6695">
              <w:rPr>
                <w:rFonts w:ascii="Arial" w:hAnsi="Arial" w:cs="Arial"/>
                <w:sz w:val="20"/>
                <w:szCs w:val="20"/>
              </w:rPr>
              <w:t>/</w:t>
            </w:r>
            <w:r w:rsidR="00C83B3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82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1BBA" w:rsidRPr="001E6695" w:rsidRDefault="00961BBA" w:rsidP="004845C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961BBA" w:rsidRPr="001E6695">
        <w:trPr>
          <w:cantSplit/>
          <w:trHeight w:hRule="exact" w:val="305"/>
        </w:trPr>
        <w:tc>
          <w:tcPr>
            <w:tcW w:w="6857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961BBA" w:rsidRPr="001E6695" w:rsidRDefault="00977134" w:rsidP="004845C2">
            <w:pPr>
              <w:rPr>
                <w:rFonts w:ascii="Arial" w:hAnsi="Arial" w:cs="Arial"/>
                <w:b/>
                <w:bCs/>
              </w:rPr>
            </w:pPr>
            <w:r w:rsidRPr="00977134">
              <w:rPr>
                <w:rFonts w:ascii="Arial" w:hAnsi="Arial" w:cs="Arial"/>
                <w:b/>
              </w:rPr>
              <w:t xml:space="preserve">Environmental statistics </w:t>
            </w:r>
            <w:proofErr w:type="spellStart"/>
            <w:r w:rsidRPr="00977134">
              <w:rPr>
                <w:rFonts w:ascii="Arial" w:hAnsi="Arial" w:cs="Arial"/>
                <w:b/>
              </w:rPr>
              <w:t>аnd</w:t>
            </w:r>
            <w:proofErr w:type="spellEnd"/>
            <w:r w:rsidRPr="00977134">
              <w:rPr>
                <w:rFonts w:ascii="Arial" w:hAnsi="Arial" w:cs="Arial"/>
                <w:b/>
              </w:rPr>
              <w:t xml:space="preserve"> accounts division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961BBA" w:rsidRPr="001E6695" w:rsidRDefault="0012284A" w:rsidP="00B52E66">
            <w:pPr>
              <w:pStyle w:val="Heading6"/>
              <w:jc w:val="right"/>
              <w:rPr>
                <w:b w:val="0"/>
                <w:noProof w:val="0"/>
                <w:lang w:val="en-GB"/>
              </w:rPr>
            </w:pPr>
            <w:r w:rsidRPr="001E6695">
              <w:rPr>
                <w:b w:val="0"/>
                <w:noProof w:val="0"/>
                <w:sz w:val="20"/>
                <w:lang w:val="en-GB"/>
              </w:rPr>
              <w:t>S</w:t>
            </w:r>
            <w:r w:rsidR="00602D73" w:rsidRPr="001E6695">
              <w:rPr>
                <w:b w:val="0"/>
                <w:noProof w:val="0"/>
                <w:sz w:val="20"/>
                <w:lang w:val="en-GB"/>
              </w:rPr>
              <w:t>E</w:t>
            </w:r>
            <w:r w:rsidRPr="001E6695">
              <w:rPr>
                <w:b w:val="0"/>
                <w:noProof w:val="0"/>
                <w:sz w:val="20"/>
                <w:lang w:val="en-GB"/>
              </w:rPr>
              <w:t>RB</w:t>
            </w:r>
            <w:r w:rsidR="00C83B3D">
              <w:rPr>
                <w:b w:val="0"/>
                <w:noProof w:val="0"/>
                <w:sz w:val="20"/>
                <w:lang w:val="en-GB"/>
              </w:rPr>
              <w:t>112</w:t>
            </w:r>
            <w:r w:rsidR="00961BBA" w:rsidRPr="001E6695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Pr="001E6695">
              <w:rPr>
                <w:b w:val="0"/>
                <w:noProof w:val="0"/>
                <w:sz w:val="20"/>
                <w:lang w:val="en-GB"/>
              </w:rPr>
              <w:t>ZS</w:t>
            </w:r>
            <w:r w:rsidR="00961BBA" w:rsidRPr="001E6695">
              <w:rPr>
                <w:b w:val="0"/>
                <w:noProof w:val="0"/>
                <w:sz w:val="20"/>
                <w:lang w:val="en-GB"/>
              </w:rPr>
              <w:t xml:space="preserve">10 </w:t>
            </w:r>
            <w:r w:rsidR="001A26EF" w:rsidRPr="001E6695">
              <w:rPr>
                <w:b w:val="0"/>
                <w:noProof w:val="0"/>
                <w:sz w:val="20"/>
                <w:lang w:val="en-GB"/>
              </w:rPr>
              <w:t>07</w:t>
            </w:r>
            <w:r w:rsidR="00961BBA" w:rsidRPr="001E6695">
              <w:rPr>
                <w:b w:val="0"/>
                <w:noProof w:val="0"/>
                <w:sz w:val="20"/>
                <w:lang w:val="en-GB"/>
              </w:rPr>
              <w:t>0</w:t>
            </w:r>
            <w:r w:rsidR="001A26EF" w:rsidRPr="001E6695">
              <w:rPr>
                <w:b w:val="0"/>
                <w:noProof w:val="0"/>
                <w:sz w:val="20"/>
                <w:lang w:val="en-GB"/>
              </w:rPr>
              <w:t>5</w:t>
            </w:r>
            <w:r w:rsidR="00C83B3D">
              <w:rPr>
                <w:b w:val="0"/>
                <w:noProof w:val="0"/>
                <w:sz w:val="20"/>
                <w:lang w:val="en-GB"/>
              </w:rPr>
              <w:t>20</w:t>
            </w:r>
          </w:p>
        </w:tc>
      </w:tr>
    </w:tbl>
    <w:p w:rsidR="0022675D" w:rsidRPr="001E6695" w:rsidRDefault="0022675D" w:rsidP="0022675D">
      <w:pPr>
        <w:jc w:val="center"/>
        <w:rPr>
          <w:rFonts w:ascii="Arial" w:hAnsi="Arial" w:cs="Arial"/>
          <w:b/>
          <w:caps/>
        </w:rPr>
      </w:pPr>
    </w:p>
    <w:p w:rsidR="0022675D" w:rsidRPr="001E6695" w:rsidRDefault="0022675D" w:rsidP="0022675D">
      <w:pPr>
        <w:jc w:val="center"/>
        <w:rPr>
          <w:rFonts w:ascii="Arial" w:hAnsi="Arial" w:cs="Arial"/>
          <w:b/>
          <w:caps/>
        </w:rPr>
      </w:pPr>
    </w:p>
    <w:p w:rsidR="0022675D" w:rsidRPr="001E6695" w:rsidRDefault="0022675D" w:rsidP="0022675D">
      <w:pPr>
        <w:jc w:val="center"/>
        <w:rPr>
          <w:rFonts w:ascii="Arial" w:hAnsi="Arial" w:cs="Arial"/>
          <w:b/>
          <w:caps/>
        </w:rPr>
      </w:pPr>
    </w:p>
    <w:p w:rsidR="00045169" w:rsidRPr="00D53652" w:rsidRDefault="00045169" w:rsidP="00045169">
      <w:pPr>
        <w:jc w:val="center"/>
        <w:rPr>
          <w:rFonts w:ascii="Arial" w:hAnsi="Arial" w:cs="Arial"/>
          <w:b/>
          <w:color w:val="000000"/>
        </w:rPr>
      </w:pPr>
      <w:r w:rsidRPr="00D53652">
        <w:rPr>
          <w:rFonts w:ascii="Arial" w:hAnsi="Arial" w:cs="Arial"/>
          <w:b/>
          <w:color w:val="000000"/>
        </w:rPr>
        <w:t>Protection against damaging water effects</w:t>
      </w:r>
      <w:r w:rsidR="000044A7" w:rsidRPr="00D53652">
        <w:rPr>
          <w:rFonts w:ascii="Arial" w:hAnsi="Arial" w:cs="Arial"/>
          <w:b/>
          <w:color w:val="000000"/>
        </w:rPr>
        <w:t>, 201</w:t>
      </w:r>
      <w:r w:rsidR="00B71F27">
        <w:rPr>
          <w:rFonts w:ascii="Arial" w:hAnsi="Arial" w:cs="Arial"/>
          <w:b/>
          <w:color w:val="000000"/>
        </w:rPr>
        <w:t>9</w:t>
      </w:r>
    </w:p>
    <w:p w:rsidR="0022675D" w:rsidRPr="00D53652" w:rsidRDefault="0022675D" w:rsidP="00045169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03628" w:rsidRPr="00D53652" w:rsidRDefault="00B03628" w:rsidP="00045169">
      <w:pPr>
        <w:rPr>
          <w:rFonts w:ascii="Arial" w:hAnsi="Arial" w:cs="Arial"/>
          <w:b/>
          <w:color w:val="000000"/>
          <w:sz w:val="20"/>
          <w:szCs w:val="20"/>
        </w:rPr>
      </w:pPr>
    </w:p>
    <w:p w:rsidR="001A26EF" w:rsidRPr="00D53652" w:rsidRDefault="001A26EF" w:rsidP="001A26EF">
      <w:pPr>
        <w:spacing w:before="120" w:after="120"/>
        <w:ind w:firstLine="397"/>
        <w:jc w:val="both"/>
        <w:rPr>
          <w:rFonts w:ascii="Arial" w:hAnsi="Arial" w:cs="Arial"/>
          <w:color w:val="000000"/>
          <w:sz w:val="20"/>
          <w:szCs w:val="20"/>
        </w:rPr>
      </w:pPr>
      <w:r w:rsidRPr="00D53652">
        <w:rPr>
          <w:rStyle w:val="hps"/>
          <w:rFonts w:ascii="Arial" w:hAnsi="Arial" w:cs="Arial"/>
          <w:color w:val="000000"/>
          <w:sz w:val="20"/>
          <w:szCs w:val="20"/>
        </w:rPr>
        <w:t>The total</w:t>
      </w:r>
      <w:r w:rsidRPr="00D536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>area</w:t>
      </w:r>
      <w:r w:rsidRPr="00D536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>defended</w:t>
      </w:r>
      <w:r w:rsidRPr="00D536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>from</w:t>
      </w:r>
      <w:r w:rsidRPr="00D536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>flooding</w:t>
      </w:r>
      <w:r w:rsidRPr="00D53652">
        <w:rPr>
          <w:rFonts w:ascii="Arial" w:hAnsi="Arial" w:cs="Arial"/>
          <w:color w:val="000000"/>
          <w:sz w:val="20"/>
          <w:szCs w:val="20"/>
        </w:rPr>
        <w:t xml:space="preserve"> amounted to </w:t>
      </w:r>
      <w:r w:rsidRPr="00D53652">
        <w:rPr>
          <w:rFonts w:ascii="Arial" w:hAnsi="Arial" w:cs="Arial"/>
          <w:bCs/>
          <w:sz w:val="20"/>
        </w:rPr>
        <w:t xml:space="preserve">1 </w:t>
      </w:r>
      <w:r w:rsidR="00B0650D">
        <w:rPr>
          <w:rFonts w:ascii="Arial" w:hAnsi="Arial" w:cs="Arial"/>
          <w:bCs/>
          <w:sz w:val="20"/>
        </w:rPr>
        <w:t>495 218</w:t>
      </w:r>
      <w:r w:rsidRPr="00D53652">
        <w:rPr>
          <w:rFonts w:ascii="Arial" w:hAnsi="Arial" w:cs="Arial"/>
          <w:bCs/>
          <w:sz w:val="20"/>
        </w:rPr>
        <w:t xml:space="preserve"> h</w:t>
      </w:r>
      <w:r w:rsidRPr="00D53652">
        <w:rPr>
          <w:rFonts w:ascii="Arial" w:hAnsi="Arial" w:cs="Arial"/>
          <w:color w:val="000000"/>
          <w:sz w:val="20"/>
          <w:szCs w:val="20"/>
        </w:rPr>
        <w:t xml:space="preserve">ectares, </w:t>
      </w:r>
      <w:r w:rsidRPr="00D53652">
        <w:rPr>
          <w:rFonts w:ascii="Arial" w:hAnsi="Arial" w:cs="Arial"/>
          <w:sz w:val="20"/>
          <w:szCs w:val="20"/>
        </w:rPr>
        <w:t xml:space="preserve">presenting the </w:t>
      </w:r>
      <w:r w:rsidR="00B0650D">
        <w:rPr>
          <w:rFonts w:ascii="Arial" w:hAnsi="Arial" w:cs="Arial"/>
          <w:sz w:val="20"/>
          <w:szCs w:val="20"/>
        </w:rPr>
        <w:t>in</w:t>
      </w:r>
      <w:r w:rsidRPr="00D53652">
        <w:rPr>
          <w:rFonts w:ascii="Arial" w:hAnsi="Arial" w:cs="Arial"/>
          <w:sz w:val="20"/>
          <w:szCs w:val="20"/>
        </w:rPr>
        <w:t xml:space="preserve">crease of </w:t>
      </w:r>
      <w:r w:rsidR="00B0650D">
        <w:rPr>
          <w:rFonts w:ascii="Arial" w:hAnsi="Arial" w:cs="Arial"/>
          <w:sz w:val="20"/>
          <w:szCs w:val="20"/>
        </w:rPr>
        <w:t>3.7</w:t>
      </w:r>
      <w:r w:rsidRPr="00D53652">
        <w:rPr>
          <w:rFonts w:ascii="Arial" w:hAnsi="Arial" w:cs="Arial"/>
          <w:sz w:val="20"/>
          <w:szCs w:val="20"/>
        </w:rPr>
        <w:t>%, compared to 201</w:t>
      </w:r>
      <w:r w:rsidR="00B0650D">
        <w:rPr>
          <w:rFonts w:ascii="Arial" w:hAnsi="Arial" w:cs="Arial"/>
          <w:sz w:val="20"/>
          <w:szCs w:val="20"/>
        </w:rPr>
        <w:t>8</w:t>
      </w:r>
      <w:r w:rsidRPr="00D53652">
        <w:rPr>
          <w:rFonts w:ascii="Arial" w:hAnsi="Arial" w:cs="Arial"/>
          <w:sz w:val="20"/>
          <w:szCs w:val="20"/>
        </w:rPr>
        <w:t>.</w:t>
      </w:r>
      <w:r w:rsidRPr="00D53652">
        <w:rPr>
          <w:rFonts w:ascii="Arial" w:hAnsi="Arial" w:cs="Arial"/>
          <w:color w:val="000000"/>
          <w:sz w:val="20"/>
          <w:szCs w:val="20"/>
        </w:rPr>
        <w:t xml:space="preserve"> </w:t>
      </w:r>
      <w:r w:rsidR="00476299" w:rsidRPr="00D53652">
        <w:rPr>
          <w:rStyle w:val="hps"/>
          <w:rFonts w:ascii="Arial" w:hAnsi="Arial" w:cs="Arial"/>
          <w:color w:val="000000"/>
          <w:sz w:val="20"/>
          <w:szCs w:val="20"/>
        </w:rPr>
        <w:t>Utiliz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>ed</w:t>
      </w:r>
      <w:r w:rsidRPr="00D536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>agricultural land</w:t>
      </w:r>
      <w:r w:rsidRPr="00D53652">
        <w:rPr>
          <w:rFonts w:ascii="Arial" w:hAnsi="Arial" w:cs="Arial"/>
          <w:color w:val="000000"/>
          <w:sz w:val="20"/>
          <w:szCs w:val="20"/>
        </w:rPr>
        <w:t xml:space="preserve"> represent</w:t>
      </w:r>
      <w:r w:rsidR="00476299" w:rsidRPr="00D53652">
        <w:rPr>
          <w:rFonts w:ascii="Arial" w:hAnsi="Arial" w:cs="Arial"/>
          <w:color w:val="000000"/>
          <w:sz w:val="20"/>
          <w:szCs w:val="20"/>
        </w:rPr>
        <w:t>s</w:t>
      </w:r>
      <w:r w:rsidRPr="00D53652">
        <w:rPr>
          <w:rFonts w:ascii="Arial" w:hAnsi="Arial" w:cs="Arial"/>
          <w:color w:val="000000"/>
          <w:sz w:val="20"/>
          <w:szCs w:val="20"/>
        </w:rPr>
        <w:t xml:space="preserve"> </w:t>
      </w:r>
      <w:r w:rsidR="00B0650D">
        <w:rPr>
          <w:rFonts w:ascii="Arial" w:hAnsi="Arial" w:cs="Arial"/>
          <w:color w:val="000000"/>
          <w:sz w:val="20"/>
          <w:szCs w:val="20"/>
        </w:rPr>
        <w:t>84</w:t>
      </w:r>
      <w:r w:rsidRPr="00D53652">
        <w:rPr>
          <w:rFonts w:ascii="Arial" w:hAnsi="Arial" w:cs="Arial"/>
          <w:color w:val="000000"/>
          <w:sz w:val="20"/>
          <w:szCs w:val="20"/>
        </w:rPr>
        <w:t>.</w:t>
      </w:r>
      <w:r w:rsidR="00B0650D">
        <w:rPr>
          <w:rFonts w:ascii="Arial" w:hAnsi="Arial" w:cs="Arial"/>
          <w:color w:val="000000"/>
          <w:sz w:val="20"/>
          <w:szCs w:val="20"/>
        </w:rPr>
        <w:t>5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 xml:space="preserve">% of </w:t>
      </w:r>
      <w:r w:rsidR="00476299" w:rsidRPr="00D53652">
        <w:rPr>
          <w:rStyle w:val="hps"/>
          <w:rFonts w:ascii="Arial" w:hAnsi="Arial" w:cs="Arial"/>
          <w:color w:val="000000"/>
          <w:sz w:val="20"/>
          <w:szCs w:val="20"/>
        </w:rPr>
        <w:t>total protected land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 xml:space="preserve">. </w:t>
      </w:r>
      <w:r w:rsidR="00476299" w:rsidRPr="00D53652">
        <w:rPr>
          <w:rStyle w:val="hps"/>
          <w:rFonts w:ascii="Arial" w:hAnsi="Arial" w:cs="Arial"/>
          <w:color w:val="000000"/>
          <w:sz w:val="20"/>
          <w:szCs w:val="20"/>
        </w:rPr>
        <w:t>Total l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 xml:space="preserve">ength of </w:t>
      </w:r>
      <w:r w:rsidR="00476299" w:rsidRPr="00D53652">
        <w:rPr>
          <w:rStyle w:val="hps"/>
          <w:rFonts w:ascii="Arial" w:hAnsi="Arial" w:cs="Arial"/>
          <w:color w:val="000000"/>
          <w:sz w:val="20"/>
          <w:szCs w:val="20"/>
        </w:rPr>
        <w:t>embankment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 xml:space="preserve"> was 3 </w:t>
      </w:r>
      <w:r w:rsidR="00DE3923">
        <w:rPr>
          <w:rStyle w:val="hps"/>
          <w:rFonts w:ascii="Arial" w:hAnsi="Arial" w:cs="Arial"/>
          <w:color w:val="000000"/>
          <w:sz w:val="20"/>
          <w:szCs w:val="20"/>
        </w:rPr>
        <w:t>419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 xml:space="preserve"> km. The greatest share in total protected area related to the Danube </w:t>
      </w:r>
      <w:r w:rsidR="00A02BD1" w:rsidRPr="00D53652">
        <w:rPr>
          <w:rStyle w:val="hps"/>
          <w:rFonts w:ascii="Arial" w:hAnsi="Arial" w:cs="Arial"/>
          <w:color w:val="000000"/>
          <w:sz w:val="20"/>
          <w:szCs w:val="20"/>
        </w:rPr>
        <w:t>basin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>, 7</w:t>
      </w:r>
      <w:r w:rsidR="00DE3923">
        <w:rPr>
          <w:rStyle w:val="hps"/>
          <w:rFonts w:ascii="Arial" w:hAnsi="Arial" w:cs="Arial"/>
          <w:color w:val="000000"/>
          <w:sz w:val="20"/>
          <w:szCs w:val="20"/>
        </w:rPr>
        <w:t>6</w:t>
      </w:r>
      <w:r w:rsidR="00D52224" w:rsidRPr="00D53652">
        <w:rPr>
          <w:rStyle w:val="hps"/>
          <w:rFonts w:ascii="Arial" w:hAnsi="Arial" w:cs="Arial"/>
          <w:color w:val="000000"/>
          <w:sz w:val="20"/>
          <w:szCs w:val="20"/>
        </w:rPr>
        <w:t>.</w:t>
      </w:r>
      <w:r w:rsidR="00DE3923">
        <w:rPr>
          <w:rStyle w:val="hps"/>
          <w:rFonts w:ascii="Arial" w:hAnsi="Arial" w:cs="Arial"/>
          <w:color w:val="000000"/>
          <w:sz w:val="20"/>
          <w:szCs w:val="20"/>
        </w:rPr>
        <w:t>3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 xml:space="preserve">%, </w:t>
      </w:r>
      <w:r w:rsidR="00D52224" w:rsidRPr="00D53652">
        <w:rPr>
          <w:rStyle w:val="hps"/>
          <w:rFonts w:ascii="Arial" w:hAnsi="Arial" w:cs="Arial"/>
          <w:color w:val="000000"/>
          <w:sz w:val="20"/>
          <w:szCs w:val="20"/>
        </w:rPr>
        <w:t>followed by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 xml:space="preserve"> two other </w:t>
      </w:r>
      <w:r w:rsidR="00A02BD1" w:rsidRPr="00D53652">
        <w:rPr>
          <w:rStyle w:val="hps"/>
          <w:rFonts w:ascii="Arial" w:hAnsi="Arial" w:cs="Arial"/>
          <w:color w:val="000000"/>
          <w:sz w:val="20"/>
          <w:szCs w:val="20"/>
        </w:rPr>
        <w:t>basins</w:t>
      </w:r>
      <w:r w:rsidR="00D52224" w:rsidRPr="00D53652">
        <w:rPr>
          <w:rStyle w:val="hps"/>
          <w:rFonts w:ascii="Arial" w:hAnsi="Arial" w:cs="Arial"/>
          <w:color w:val="000000"/>
          <w:sz w:val="20"/>
          <w:szCs w:val="20"/>
        </w:rPr>
        <w:t>,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 xml:space="preserve"> of </w:t>
      </w:r>
      <w:r w:rsidR="00A02BD1" w:rsidRPr="00D53652">
        <w:rPr>
          <w:rStyle w:val="hps"/>
          <w:rFonts w:ascii="Arial" w:hAnsi="Arial" w:cs="Arial"/>
          <w:color w:val="000000"/>
          <w:sz w:val="20"/>
          <w:szCs w:val="20"/>
        </w:rPr>
        <w:t xml:space="preserve">the 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 xml:space="preserve">Sava – </w:t>
      </w:r>
      <w:r w:rsidR="00DE3923">
        <w:rPr>
          <w:rStyle w:val="hps"/>
          <w:rFonts w:ascii="Arial" w:hAnsi="Arial" w:cs="Arial"/>
          <w:color w:val="000000"/>
          <w:sz w:val="20"/>
          <w:szCs w:val="20"/>
        </w:rPr>
        <w:t>19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>.</w:t>
      </w:r>
      <w:r w:rsidR="00DE3923">
        <w:rPr>
          <w:rStyle w:val="hps"/>
          <w:rFonts w:ascii="Arial" w:hAnsi="Arial" w:cs="Arial"/>
          <w:color w:val="000000"/>
          <w:sz w:val="20"/>
          <w:szCs w:val="20"/>
        </w:rPr>
        <w:t>6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 xml:space="preserve">% and </w:t>
      </w:r>
      <w:r w:rsidR="00A02BD1" w:rsidRPr="00D53652">
        <w:rPr>
          <w:rStyle w:val="hps"/>
          <w:rFonts w:ascii="Arial" w:hAnsi="Arial" w:cs="Arial"/>
          <w:color w:val="000000"/>
          <w:sz w:val="20"/>
          <w:szCs w:val="20"/>
        </w:rPr>
        <w:t xml:space="preserve">the </w:t>
      </w:r>
      <w:r w:rsidR="00DE3923">
        <w:rPr>
          <w:rStyle w:val="hps"/>
          <w:rFonts w:ascii="Arial" w:hAnsi="Arial" w:cs="Arial"/>
          <w:color w:val="000000"/>
          <w:sz w:val="20"/>
          <w:szCs w:val="20"/>
        </w:rPr>
        <w:t>Morava – 4.1</w:t>
      </w:r>
      <w:r w:rsidRPr="00D53652">
        <w:rPr>
          <w:rStyle w:val="hps"/>
          <w:rFonts w:ascii="Arial" w:hAnsi="Arial" w:cs="Arial"/>
          <w:color w:val="000000"/>
          <w:sz w:val="20"/>
          <w:szCs w:val="20"/>
        </w:rPr>
        <w:t>%.</w:t>
      </w:r>
    </w:p>
    <w:p w:rsidR="001A26EF" w:rsidRPr="00D53652" w:rsidRDefault="001A26EF" w:rsidP="001A26EF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D53652">
        <w:rPr>
          <w:rFonts w:ascii="Arial" w:hAnsi="Arial" w:cs="Arial"/>
          <w:bCs/>
          <w:sz w:val="20"/>
          <w:szCs w:val="20"/>
        </w:rPr>
        <w:t xml:space="preserve">Surface waters flooded </w:t>
      </w:r>
      <w:proofErr w:type="gramStart"/>
      <w:r w:rsidRPr="00D53652">
        <w:rPr>
          <w:rFonts w:ascii="Arial" w:hAnsi="Arial" w:cs="Arial"/>
          <w:bCs/>
          <w:sz w:val="20"/>
          <w:szCs w:val="20"/>
        </w:rPr>
        <w:t>2</w:t>
      </w:r>
      <w:r w:rsidR="00BB5013">
        <w:rPr>
          <w:rFonts w:ascii="Arial" w:hAnsi="Arial" w:cs="Arial"/>
          <w:bCs/>
          <w:sz w:val="20"/>
          <w:szCs w:val="20"/>
        </w:rPr>
        <w:t xml:space="preserve">6 </w:t>
      </w:r>
      <w:r w:rsidRPr="00D53652">
        <w:rPr>
          <w:rFonts w:ascii="Arial" w:hAnsi="Arial" w:cs="Arial"/>
          <w:bCs/>
          <w:sz w:val="20"/>
          <w:szCs w:val="20"/>
        </w:rPr>
        <w:t xml:space="preserve"> hectares</w:t>
      </w:r>
      <w:proofErr w:type="gramEnd"/>
      <w:r w:rsidRPr="00D53652">
        <w:rPr>
          <w:rFonts w:ascii="Arial" w:hAnsi="Arial" w:cs="Arial"/>
          <w:bCs/>
          <w:sz w:val="20"/>
          <w:szCs w:val="20"/>
        </w:rPr>
        <w:t>, out of which 7</w:t>
      </w:r>
      <w:r w:rsidR="00BB5013">
        <w:rPr>
          <w:rFonts w:ascii="Arial" w:hAnsi="Arial" w:cs="Arial"/>
          <w:bCs/>
          <w:sz w:val="20"/>
          <w:szCs w:val="20"/>
        </w:rPr>
        <w:t>3.8</w:t>
      </w:r>
      <w:r w:rsidRPr="00D53652">
        <w:rPr>
          <w:rFonts w:ascii="Arial" w:hAnsi="Arial" w:cs="Arial"/>
          <w:bCs/>
          <w:sz w:val="20"/>
          <w:szCs w:val="20"/>
        </w:rPr>
        <w:t xml:space="preserve">% referred to utilized agricultural land. In </w:t>
      </w:r>
      <w:r w:rsidR="00A02BD1" w:rsidRPr="00D53652">
        <w:rPr>
          <w:rFonts w:ascii="Arial" w:hAnsi="Arial" w:cs="Arial"/>
          <w:bCs/>
          <w:sz w:val="20"/>
          <w:szCs w:val="20"/>
        </w:rPr>
        <w:t xml:space="preserve">the </w:t>
      </w:r>
      <w:r w:rsidRPr="00D53652">
        <w:rPr>
          <w:rFonts w:ascii="Arial" w:hAnsi="Arial" w:cs="Arial"/>
          <w:bCs/>
          <w:sz w:val="20"/>
          <w:szCs w:val="20"/>
        </w:rPr>
        <w:t>Morava</w:t>
      </w:r>
      <w:r w:rsidR="00A02BD1" w:rsidRPr="00D53652">
        <w:rPr>
          <w:rFonts w:ascii="Arial" w:hAnsi="Arial" w:cs="Arial"/>
          <w:bCs/>
          <w:sz w:val="20"/>
          <w:szCs w:val="20"/>
        </w:rPr>
        <w:t xml:space="preserve"> basin</w:t>
      </w:r>
      <w:r w:rsidRPr="00D53652">
        <w:rPr>
          <w:rFonts w:ascii="Arial" w:hAnsi="Arial" w:cs="Arial"/>
          <w:bCs/>
          <w:sz w:val="20"/>
          <w:szCs w:val="20"/>
        </w:rPr>
        <w:t>, flo</w:t>
      </w:r>
      <w:r w:rsidR="004F2244" w:rsidRPr="00D53652">
        <w:rPr>
          <w:rFonts w:ascii="Arial" w:hAnsi="Arial" w:cs="Arial"/>
          <w:bCs/>
          <w:sz w:val="20"/>
          <w:szCs w:val="20"/>
        </w:rPr>
        <w:t>o</w:t>
      </w:r>
      <w:r w:rsidR="00BB5013">
        <w:rPr>
          <w:rFonts w:ascii="Arial" w:hAnsi="Arial" w:cs="Arial"/>
          <w:bCs/>
          <w:sz w:val="20"/>
          <w:szCs w:val="20"/>
        </w:rPr>
        <w:t>ded were 17 724 hectares, presenting 92.3</w:t>
      </w:r>
      <w:r w:rsidRPr="00D53652">
        <w:rPr>
          <w:rFonts w:ascii="Arial" w:hAnsi="Arial" w:cs="Arial"/>
          <w:bCs/>
          <w:sz w:val="20"/>
          <w:szCs w:val="20"/>
        </w:rPr>
        <w:t>% of total utilized land.</w:t>
      </w:r>
    </w:p>
    <w:p w:rsidR="001A26EF" w:rsidRPr="00D53652" w:rsidRDefault="00D267F0" w:rsidP="001A26EF">
      <w:pPr>
        <w:spacing w:before="120" w:after="120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D53652">
        <w:rPr>
          <w:rFonts w:ascii="Arial" w:hAnsi="Arial" w:cs="Arial"/>
          <w:bCs/>
          <w:sz w:val="20"/>
          <w:szCs w:val="20"/>
        </w:rPr>
        <w:t>G</w:t>
      </w:r>
      <w:r w:rsidR="004F2244" w:rsidRPr="00D53652">
        <w:rPr>
          <w:rFonts w:ascii="Arial" w:hAnsi="Arial" w:cs="Arial"/>
          <w:bCs/>
          <w:sz w:val="20"/>
          <w:szCs w:val="20"/>
        </w:rPr>
        <w:t xml:space="preserve">round waters flooded </w:t>
      </w:r>
      <w:r w:rsidR="00BB5013">
        <w:rPr>
          <w:rFonts w:ascii="Arial" w:hAnsi="Arial" w:cs="Arial"/>
          <w:bCs/>
          <w:sz w:val="20"/>
          <w:szCs w:val="20"/>
        </w:rPr>
        <w:t>251</w:t>
      </w:r>
      <w:r w:rsidR="004F2244" w:rsidRPr="00D53652">
        <w:rPr>
          <w:rFonts w:ascii="Arial" w:hAnsi="Arial" w:cs="Arial"/>
          <w:bCs/>
          <w:sz w:val="20"/>
          <w:szCs w:val="20"/>
        </w:rPr>
        <w:t xml:space="preserve"> hectares, </w:t>
      </w:r>
      <w:r w:rsidR="00FA61E6" w:rsidRPr="00D53652">
        <w:rPr>
          <w:rFonts w:ascii="Arial" w:hAnsi="Arial" w:cs="Arial"/>
          <w:bCs/>
          <w:sz w:val="20"/>
          <w:szCs w:val="20"/>
        </w:rPr>
        <w:t>whereof</w:t>
      </w:r>
      <w:r w:rsidR="004F2244" w:rsidRPr="00D53652">
        <w:rPr>
          <w:rFonts w:ascii="Arial" w:hAnsi="Arial" w:cs="Arial"/>
          <w:bCs/>
          <w:sz w:val="20"/>
          <w:szCs w:val="20"/>
        </w:rPr>
        <w:t xml:space="preserve"> </w:t>
      </w:r>
      <w:r w:rsidR="00BB5013">
        <w:rPr>
          <w:rFonts w:ascii="Arial" w:hAnsi="Arial" w:cs="Arial"/>
          <w:bCs/>
          <w:sz w:val="20"/>
          <w:szCs w:val="20"/>
        </w:rPr>
        <w:t>92</w:t>
      </w:r>
      <w:r w:rsidR="004F2244" w:rsidRPr="00D53652">
        <w:rPr>
          <w:rFonts w:ascii="Arial" w:hAnsi="Arial" w:cs="Arial"/>
          <w:bCs/>
          <w:sz w:val="20"/>
          <w:szCs w:val="20"/>
        </w:rPr>
        <w:t>.</w:t>
      </w:r>
      <w:r w:rsidR="00BB5013">
        <w:rPr>
          <w:rFonts w:ascii="Arial" w:hAnsi="Arial" w:cs="Arial"/>
          <w:bCs/>
          <w:sz w:val="20"/>
          <w:szCs w:val="20"/>
        </w:rPr>
        <w:t>0</w:t>
      </w:r>
      <w:r w:rsidR="004F2244" w:rsidRPr="00D53652">
        <w:rPr>
          <w:rFonts w:ascii="Arial" w:hAnsi="Arial" w:cs="Arial"/>
          <w:bCs/>
          <w:sz w:val="20"/>
          <w:szCs w:val="20"/>
        </w:rPr>
        <w:t xml:space="preserve">% related to utilized land. The greatest share of utilized agricultural land was flooded in the </w:t>
      </w:r>
      <w:r w:rsidR="00D52224" w:rsidRPr="00D53652">
        <w:rPr>
          <w:rFonts w:ascii="Arial" w:hAnsi="Arial" w:cs="Arial"/>
          <w:bCs/>
          <w:sz w:val="20"/>
          <w:szCs w:val="20"/>
        </w:rPr>
        <w:t>Morava</w:t>
      </w:r>
      <w:r w:rsidR="00A02BD1" w:rsidRPr="00D53652">
        <w:rPr>
          <w:rFonts w:ascii="Arial" w:hAnsi="Arial" w:cs="Arial"/>
          <w:bCs/>
          <w:sz w:val="20"/>
          <w:szCs w:val="20"/>
        </w:rPr>
        <w:t xml:space="preserve"> </w:t>
      </w:r>
      <w:r w:rsidR="00BB5013">
        <w:rPr>
          <w:rFonts w:ascii="Arial" w:hAnsi="Arial" w:cs="Arial"/>
          <w:bCs/>
          <w:sz w:val="20"/>
          <w:szCs w:val="20"/>
        </w:rPr>
        <w:t>basin.</w:t>
      </w:r>
    </w:p>
    <w:p w:rsidR="004F2244" w:rsidRPr="00D53652" w:rsidRDefault="004F2244" w:rsidP="004F2244">
      <w:pPr>
        <w:autoSpaceDE w:val="0"/>
        <w:autoSpaceDN w:val="0"/>
        <w:adjustRightInd w:val="0"/>
        <w:spacing w:before="160"/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D53652">
        <w:rPr>
          <w:rFonts w:ascii="Arial" w:hAnsi="Arial" w:cs="Arial"/>
          <w:bCs/>
          <w:sz w:val="20"/>
          <w:szCs w:val="20"/>
        </w:rPr>
        <w:t xml:space="preserve">Drainage system covered </w:t>
      </w:r>
      <w:r w:rsidR="00D52224" w:rsidRPr="00D53652">
        <w:rPr>
          <w:rFonts w:ascii="Arial" w:hAnsi="Arial" w:cs="Arial"/>
          <w:bCs/>
          <w:sz w:val="20"/>
          <w:szCs w:val="20"/>
        </w:rPr>
        <w:t>0</w:t>
      </w:r>
      <w:r w:rsidRPr="00D53652">
        <w:rPr>
          <w:rFonts w:ascii="Arial" w:hAnsi="Arial" w:cs="Arial"/>
          <w:bCs/>
          <w:sz w:val="20"/>
          <w:szCs w:val="20"/>
        </w:rPr>
        <w:t>.</w:t>
      </w:r>
      <w:r w:rsidR="000A3594">
        <w:rPr>
          <w:rFonts w:ascii="Arial" w:hAnsi="Arial" w:cs="Arial"/>
          <w:bCs/>
          <w:sz w:val="20"/>
          <w:szCs w:val="20"/>
        </w:rPr>
        <w:t>01</w:t>
      </w:r>
      <w:r w:rsidRPr="00D53652">
        <w:rPr>
          <w:rFonts w:ascii="Arial" w:hAnsi="Arial" w:cs="Arial"/>
          <w:bCs/>
          <w:sz w:val="20"/>
          <w:szCs w:val="20"/>
        </w:rPr>
        <w:t>% more land than in 201</w:t>
      </w:r>
      <w:r w:rsidR="000A3594">
        <w:rPr>
          <w:rFonts w:ascii="Arial" w:hAnsi="Arial" w:cs="Arial"/>
          <w:bCs/>
          <w:sz w:val="20"/>
          <w:szCs w:val="20"/>
        </w:rPr>
        <w:t>8</w:t>
      </w:r>
      <w:r w:rsidRPr="00D53652">
        <w:rPr>
          <w:rFonts w:ascii="Arial" w:hAnsi="Arial" w:cs="Arial"/>
          <w:bCs/>
          <w:sz w:val="20"/>
          <w:szCs w:val="20"/>
        </w:rPr>
        <w:t xml:space="preserve">. </w:t>
      </w:r>
      <w:r w:rsidR="00D52224" w:rsidRPr="00D53652">
        <w:rPr>
          <w:rFonts w:ascii="Arial" w:hAnsi="Arial" w:cs="Arial"/>
          <w:bCs/>
          <w:sz w:val="20"/>
          <w:szCs w:val="20"/>
        </w:rPr>
        <w:t>The</w:t>
      </w:r>
      <w:r w:rsidRPr="00D53652">
        <w:rPr>
          <w:rFonts w:ascii="Arial" w:hAnsi="Arial" w:cs="Arial"/>
          <w:bCs/>
          <w:sz w:val="20"/>
          <w:szCs w:val="20"/>
        </w:rPr>
        <w:t xml:space="preserve"> Danube </w:t>
      </w:r>
      <w:r w:rsidR="00D52224" w:rsidRPr="00D53652">
        <w:rPr>
          <w:rFonts w:ascii="Arial" w:hAnsi="Arial" w:cs="Arial"/>
          <w:bCs/>
          <w:sz w:val="20"/>
          <w:szCs w:val="20"/>
        </w:rPr>
        <w:t xml:space="preserve">basin, </w:t>
      </w:r>
      <w:r w:rsidRPr="00D53652">
        <w:rPr>
          <w:rFonts w:ascii="Arial" w:hAnsi="Arial" w:cs="Arial"/>
          <w:bCs/>
          <w:sz w:val="20"/>
          <w:szCs w:val="20"/>
        </w:rPr>
        <w:t xml:space="preserve">with 1 </w:t>
      </w:r>
      <w:r w:rsidR="000A3594">
        <w:rPr>
          <w:rFonts w:ascii="Arial" w:hAnsi="Arial" w:cs="Arial"/>
          <w:bCs/>
          <w:sz w:val="20"/>
          <w:szCs w:val="20"/>
        </w:rPr>
        <w:t>973</w:t>
      </w:r>
      <w:r w:rsidRPr="00D53652">
        <w:rPr>
          <w:rFonts w:ascii="Arial" w:hAnsi="Arial" w:cs="Arial"/>
          <w:bCs/>
          <w:sz w:val="20"/>
          <w:szCs w:val="20"/>
        </w:rPr>
        <w:t xml:space="preserve"> thousand hectares has the greatest area covered by drainage system, followed by </w:t>
      </w:r>
      <w:r w:rsidR="00D52224" w:rsidRPr="00D53652">
        <w:rPr>
          <w:rFonts w:ascii="Arial" w:hAnsi="Arial" w:cs="Arial"/>
          <w:bCs/>
          <w:sz w:val="20"/>
          <w:szCs w:val="20"/>
        </w:rPr>
        <w:t xml:space="preserve">the </w:t>
      </w:r>
      <w:r w:rsidRPr="00D53652">
        <w:rPr>
          <w:rFonts w:ascii="Arial" w:hAnsi="Arial" w:cs="Arial"/>
          <w:bCs/>
          <w:sz w:val="20"/>
          <w:szCs w:val="20"/>
        </w:rPr>
        <w:t>Sav</w:t>
      </w:r>
      <w:r w:rsidR="00D52224" w:rsidRPr="00D53652">
        <w:rPr>
          <w:rFonts w:ascii="Arial" w:hAnsi="Arial" w:cs="Arial"/>
          <w:bCs/>
          <w:sz w:val="20"/>
          <w:szCs w:val="20"/>
        </w:rPr>
        <w:t>a basin</w:t>
      </w:r>
      <w:r w:rsidRPr="00D53652">
        <w:rPr>
          <w:rFonts w:ascii="Arial" w:hAnsi="Arial" w:cs="Arial"/>
          <w:bCs/>
          <w:sz w:val="20"/>
          <w:szCs w:val="20"/>
        </w:rPr>
        <w:t xml:space="preserve">, with </w:t>
      </w:r>
      <w:r w:rsidR="00D52224" w:rsidRPr="00D53652">
        <w:rPr>
          <w:rFonts w:ascii="Arial" w:hAnsi="Arial" w:cs="Arial"/>
          <w:bCs/>
          <w:sz w:val="20"/>
          <w:szCs w:val="20"/>
        </w:rPr>
        <w:t>42</w:t>
      </w:r>
      <w:r w:rsidRPr="00D53652">
        <w:rPr>
          <w:rFonts w:ascii="Arial" w:hAnsi="Arial" w:cs="Arial"/>
          <w:bCs/>
          <w:sz w:val="20"/>
          <w:szCs w:val="20"/>
        </w:rPr>
        <w:t>7 thousand hectar</w:t>
      </w:r>
      <w:r w:rsidR="00120646" w:rsidRPr="00D53652">
        <w:rPr>
          <w:rFonts w:ascii="Arial" w:hAnsi="Arial" w:cs="Arial"/>
          <w:bCs/>
          <w:sz w:val="20"/>
          <w:szCs w:val="20"/>
        </w:rPr>
        <w:t>e</w:t>
      </w:r>
      <w:r w:rsidRPr="00D53652">
        <w:rPr>
          <w:rFonts w:ascii="Arial" w:hAnsi="Arial" w:cs="Arial"/>
          <w:bCs/>
          <w:sz w:val="20"/>
          <w:szCs w:val="20"/>
        </w:rPr>
        <w:t xml:space="preserve">s and Morava, with </w:t>
      </w:r>
      <w:r w:rsidR="000A3594">
        <w:rPr>
          <w:rFonts w:ascii="Arial" w:hAnsi="Arial" w:cs="Arial"/>
          <w:bCs/>
          <w:sz w:val="20"/>
          <w:szCs w:val="20"/>
        </w:rPr>
        <w:t>119</w:t>
      </w:r>
      <w:r w:rsidRPr="00D53652">
        <w:rPr>
          <w:rFonts w:ascii="Arial" w:hAnsi="Arial" w:cs="Arial"/>
          <w:bCs/>
          <w:sz w:val="20"/>
          <w:szCs w:val="20"/>
        </w:rPr>
        <w:t xml:space="preserve"> thousand hectares. Length of drainage system was by </w:t>
      </w:r>
      <w:r w:rsidR="000A3594">
        <w:rPr>
          <w:rFonts w:ascii="Arial" w:hAnsi="Arial" w:cs="Arial"/>
          <w:bCs/>
          <w:sz w:val="20"/>
          <w:szCs w:val="20"/>
        </w:rPr>
        <w:t>1</w:t>
      </w:r>
      <w:r w:rsidRPr="00D53652">
        <w:rPr>
          <w:rFonts w:ascii="Arial" w:hAnsi="Arial" w:cs="Arial"/>
          <w:bCs/>
          <w:sz w:val="20"/>
          <w:szCs w:val="20"/>
        </w:rPr>
        <w:t>.</w:t>
      </w:r>
      <w:r w:rsidR="000A3594">
        <w:rPr>
          <w:rFonts w:ascii="Arial" w:hAnsi="Arial" w:cs="Arial"/>
          <w:bCs/>
          <w:sz w:val="20"/>
          <w:szCs w:val="20"/>
        </w:rPr>
        <w:t>0</w:t>
      </w:r>
      <w:r w:rsidRPr="00D53652">
        <w:rPr>
          <w:rFonts w:ascii="Arial" w:hAnsi="Arial" w:cs="Arial"/>
          <w:bCs/>
          <w:sz w:val="20"/>
          <w:szCs w:val="20"/>
        </w:rPr>
        <w:t>% increased, compared to the previous year.</w:t>
      </w:r>
    </w:p>
    <w:p w:rsidR="004F2244" w:rsidRPr="001E6695" w:rsidRDefault="004F2244" w:rsidP="004F2244">
      <w:pPr>
        <w:spacing w:before="120" w:after="120"/>
        <w:ind w:firstLine="397"/>
        <w:jc w:val="both"/>
        <w:rPr>
          <w:rFonts w:ascii="Arial" w:hAnsi="Arial" w:cs="Arial"/>
          <w:bCs/>
          <w:sz w:val="20"/>
        </w:rPr>
      </w:pPr>
      <w:r w:rsidRPr="00D53652">
        <w:rPr>
          <w:rFonts w:ascii="Arial" w:hAnsi="Arial" w:cs="Arial"/>
          <w:bCs/>
          <w:sz w:val="20"/>
        </w:rPr>
        <w:t>In 201</w:t>
      </w:r>
      <w:r w:rsidR="0002397A">
        <w:rPr>
          <w:rFonts w:ascii="Arial" w:hAnsi="Arial" w:cs="Arial"/>
          <w:bCs/>
          <w:sz w:val="20"/>
        </w:rPr>
        <w:t>9</w:t>
      </w:r>
      <w:r w:rsidRPr="00D53652">
        <w:rPr>
          <w:rFonts w:ascii="Arial" w:hAnsi="Arial" w:cs="Arial"/>
          <w:bCs/>
          <w:sz w:val="20"/>
        </w:rPr>
        <w:t xml:space="preserve">, area of eroded land </w:t>
      </w:r>
      <w:r w:rsidR="00476299" w:rsidRPr="00D53652">
        <w:rPr>
          <w:rFonts w:ascii="Arial" w:hAnsi="Arial" w:cs="Arial"/>
          <w:bCs/>
          <w:sz w:val="20"/>
        </w:rPr>
        <w:t>amounted to</w:t>
      </w:r>
      <w:r w:rsidRPr="00D53652">
        <w:rPr>
          <w:rFonts w:ascii="Arial" w:hAnsi="Arial" w:cs="Arial"/>
          <w:bCs/>
          <w:sz w:val="20"/>
        </w:rPr>
        <w:t xml:space="preserve"> </w:t>
      </w:r>
      <w:r w:rsidR="0002397A">
        <w:rPr>
          <w:rFonts w:ascii="Arial" w:hAnsi="Arial" w:cs="Arial"/>
          <w:bCs/>
          <w:sz w:val="20"/>
        </w:rPr>
        <w:t>6 090</w:t>
      </w:r>
      <w:r w:rsidRPr="00D53652">
        <w:rPr>
          <w:rFonts w:ascii="Arial" w:hAnsi="Arial" w:cs="Arial"/>
          <w:bCs/>
          <w:sz w:val="20"/>
        </w:rPr>
        <w:t xml:space="preserve"> km</w:t>
      </w:r>
      <w:r w:rsidRPr="00D53652">
        <w:rPr>
          <w:rFonts w:ascii="Arial" w:hAnsi="Arial" w:cs="Arial"/>
          <w:bCs/>
          <w:sz w:val="20"/>
          <w:vertAlign w:val="superscript"/>
        </w:rPr>
        <w:t>2</w:t>
      </w:r>
      <w:r w:rsidRPr="00D53652">
        <w:rPr>
          <w:rFonts w:ascii="Arial" w:hAnsi="Arial" w:cs="Arial"/>
          <w:bCs/>
          <w:sz w:val="20"/>
        </w:rPr>
        <w:t xml:space="preserve">, presenting the </w:t>
      </w:r>
      <w:r w:rsidR="0002397A">
        <w:rPr>
          <w:rFonts w:ascii="Arial" w:hAnsi="Arial" w:cs="Arial"/>
          <w:bCs/>
          <w:sz w:val="20"/>
        </w:rPr>
        <w:t>in</w:t>
      </w:r>
      <w:r w:rsidRPr="00D53652">
        <w:rPr>
          <w:rFonts w:ascii="Arial" w:hAnsi="Arial" w:cs="Arial"/>
          <w:bCs/>
          <w:sz w:val="20"/>
        </w:rPr>
        <w:t xml:space="preserve">crease of </w:t>
      </w:r>
      <w:r w:rsidR="0002397A">
        <w:rPr>
          <w:rFonts w:ascii="Arial" w:hAnsi="Arial" w:cs="Arial"/>
          <w:bCs/>
          <w:sz w:val="20"/>
        </w:rPr>
        <w:t>58</w:t>
      </w:r>
      <w:r w:rsidRPr="00D53652">
        <w:rPr>
          <w:rFonts w:ascii="Arial" w:hAnsi="Arial" w:cs="Arial"/>
          <w:bCs/>
          <w:sz w:val="20"/>
        </w:rPr>
        <w:t>.</w:t>
      </w:r>
      <w:r w:rsidR="0002397A">
        <w:rPr>
          <w:rFonts w:ascii="Arial" w:hAnsi="Arial" w:cs="Arial"/>
          <w:bCs/>
          <w:sz w:val="20"/>
        </w:rPr>
        <w:t>8</w:t>
      </w:r>
      <w:r w:rsidRPr="00D53652">
        <w:rPr>
          <w:rFonts w:ascii="Arial" w:hAnsi="Arial" w:cs="Arial"/>
          <w:bCs/>
          <w:sz w:val="20"/>
        </w:rPr>
        <w:t xml:space="preserve">% relative to the previous year. </w:t>
      </w:r>
      <w:r w:rsidR="00910C09" w:rsidRPr="00D53652">
        <w:rPr>
          <w:rFonts w:ascii="Arial" w:hAnsi="Arial" w:cs="Arial"/>
          <w:bCs/>
          <w:sz w:val="20"/>
        </w:rPr>
        <w:t>Reclaimed</w:t>
      </w:r>
      <w:r w:rsidRPr="00D53652">
        <w:rPr>
          <w:rFonts w:ascii="Arial" w:hAnsi="Arial" w:cs="Arial"/>
          <w:bCs/>
          <w:sz w:val="20"/>
        </w:rPr>
        <w:t xml:space="preserve"> </w:t>
      </w:r>
      <w:r w:rsidR="00910C09" w:rsidRPr="00D53652">
        <w:rPr>
          <w:rFonts w:ascii="Arial" w:hAnsi="Arial" w:cs="Arial"/>
          <w:bCs/>
          <w:sz w:val="20"/>
        </w:rPr>
        <w:t>land</w:t>
      </w:r>
      <w:r w:rsidRPr="00D53652">
        <w:rPr>
          <w:rFonts w:ascii="Arial" w:hAnsi="Arial" w:cs="Arial"/>
          <w:bCs/>
          <w:sz w:val="20"/>
        </w:rPr>
        <w:t xml:space="preserve"> amounted to </w:t>
      </w:r>
      <w:r w:rsidR="0002397A">
        <w:rPr>
          <w:rFonts w:ascii="Arial" w:hAnsi="Arial" w:cs="Arial"/>
          <w:bCs/>
          <w:sz w:val="20"/>
        </w:rPr>
        <w:t>1 165</w:t>
      </w:r>
      <w:r w:rsidRPr="00D53652">
        <w:rPr>
          <w:rFonts w:ascii="Arial" w:hAnsi="Arial" w:cs="Arial"/>
          <w:bCs/>
          <w:sz w:val="20"/>
        </w:rPr>
        <w:t xml:space="preserve"> km</w:t>
      </w:r>
      <w:r w:rsidRPr="00D53652">
        <w:rPr>
          <w:rFonts w:ascii="Arial" w:hAnsi="Arial" w:cs="Arial"/>
          <w:bCs/>
          <w:sz w:val="20"/>
          <w:vertAlign w:val="superscript"/>
        </w:rPr>
        <w:t>2</w:t>
      </w:r>
      <w:r w:rsidRPr="00D53652">
        <w:rPr>
          <w:rFonts w:ascii="Arial" w:hAnsi="Arial" w:cs="Arial"/>
          <w:bCs/>
          <w:sz w:val="20"/>
        </w:rPr>
        <w:t>.</w:t>
      </w:r>
      <w:r w:rsidRPr="001E6695">
        <w:rPr>
          <w:rFonts w:ascii="Arial" w:hAnsi="Arial" w:cs="Arial"/>
          <w:bCs/>
          <w:sz w:val="20"/>
        </w:rPr>
        <w:t xml:space="preserve">  </w:t>
      </w:r>
    </w:p>
    <w:p w:rsidR="004F2244" w:rsidRPr="001E6695" w:rsidRDefault="004F2244" w:rsidP="004F2244">
      <w:pPr>
        <w:autoSpaceDE w:val="0"/>
        <w:autoSpaceDN w:val="0"/>
        <w:adjustRightInd w:val="0"/>
        <w:spacing w:before="160"/>
        <w:ind w:firstLine="397"/>
        <w:jc w:val="both"/>
        <w:rPr>
          <w:rFonts w:ascii="Arial" w:hAnsi="Arial" w:cs="Arial"/>
          <w:bCs/>
          <w:sz w:val="20"/>
        </w:rPr>
      </w:pPr>
    </w:p>
    <w:p w:rsidR="000F44DE" w:rsidRPr="001E6695" w:rsidRDefault="000F44DE" w:rsidP="004F2244">
      <w:pPr>
        <w:autoSpaceDE w:val="0"/>
        <w:autoSpaceDN w:val="0"/>
        <w:adjustRightInd w:val="0"/>
        <w:spacing w:before="160"/>
        <w:ind w:firstLine="397"/>
        <w:jc w:val="both"/>
        <w:rPr>
          <w:rFonts w:ascii="Arial" w:hAnsi="Arial" w:cs="Arial"/>
          <w:bCs/>
          <w:sz w:val="20"/>
        </w:rPr>
      </w:pPr>
    </w:p>
    <w:p w:rsidR="0002397A" w:rsidRDefault="000F44DE" w:rsidP="000F44DE">
      <w:pPr>
        <w:spacing w:line="235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E6695">
        <w:rPr>
          <w:rFonts w:ascii="Arial" w:hAnsi="Arial" w:cs="Arial"/>
          <w:b/>
          <w:bCs/>
          <w:sz w:val="18"/>
          <w:szCs w:val="18"/>
        </w:rPr>
        <w:t xml:space="preserve">Graph Structure of utilized agricultural land protected against floods, </w:t>
      </w:r>
      <w:r w:rsidR="0002397A">
        <w:rPr>
          <w:rFonts w:ascii="Arial" w:hAnsi="Arial" w:cs="Arial"/>
          <w:b/>
          <w:bCs/>
          <w:sz w:val="18"/>
          <w:szCs w:val="18"/>
        </w:rPr>
        <w:t>2019</w:t>
      </w:r>
    </w:p>
    <w:p w:rsidR="000F44DE" w:rsidRPr="001E6695" w:rsidRDefault="000F44DE" w:rsidP="000F44DE">
      <w:pPr>
        <w:spacing w:line="235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E6695">
        <w:rPr>
          <w:rFonts w:ascii="Arial" w:hAnsi="Arial" w:cs="Arial"/>
          <w:b/>
          <w:bCs/>
          <w:sz w:val="18"/>
          <w:szCs w:val="18"/>
        </w:rPr>
        <w:t xml:space="preserve">  </w:t>
      </w:r>
      <w:r w:rsidR="008F2B55" w:rsidRPr="008F2B55">
        <w:rPr>
          <w:rFonts w:ascii="Arial" w:hAnsi="Arial" w:cs="Arial"/>
          <w:b/>
          <w:bCs/>
          <w:noProof/>
          <w:sz w:val="18"/>
          <w:szCs w:val="18"/>
          <w:lang w:val="en-US"/>
        </w:rPr>
        <w:drawing>
          <wp:inline distT="0" distB="0" distL="0" distR="0">
            <wp:extent cx="4314825" cy="2867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44DE" w:rsidRPr="001E6695" w:rsidRDefault="007D218E" w:rsidP="000F44DE">
      <w:pPr>
        <w:spacing w:line="235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E6695">
        <w:rPr>
          <w:rFonts w:ascii="Arial" w:hAnsi="Arial" w:cs="Arial"/>
        </w:rPr>
        <w:t xml:space="preserve"> </w:t>
      </w:r>
    </w:p>
    <w:p w:rsidR="000F44DE" w:rsidRPr="001E6695" w:rsidRDefault="000F44DE" w:rsidP="000F44DE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1E6695">
        <w:rPr>
          <w:rFonts w:ascii="Arial" w:hAnsi="Arial" w:cs="Arial"/>
          <w:b/>
          <w:bCs/>
          <w:sz w:val="20"/>
          <w:szCs w:val="20"/>
        </w:rPr>
        <w:br w:type="page"/>
      </w:r>
    </w:p>
    <w:p w:rsidR="009213F0" w:rsidRPr="001E6695" w:rsidRDefault="00B52E66" w:rsidP="00B52E66">
      <w:pPr>
        <w:spacing w:after="60"/>
        <w:rPr>
          <w:rFonts w:ascii="Arial" w:hAnsi="Arial" w:cs="Arial"/>
          <w:b/>
          <w:sz w:val="20"/>
          <w:szCs w:val="20"/>
        </w:rPr>
      </w:pPr>
      <w:r w:rsidRPr="001E669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1. </w:t>
      </w:r>
      <w:r w:rsidR="009213F0" w:rsidRPr="001E6695">
        <w:rPr>
          <w:rFonts w:ascii="Arial" w:hAnsi="Arial" w:cs="Arial"/>
          <w:b/>
          <w:color w:val="000000"/>
          <w:sz w:val="20"/>
          <w:szCs w:val="20"/>
        </w:rPr>
        <w:t xml:space="preserve">Floods and protection against damaging water effects, </w:t>
      </w:r>
      <w:r w:rsidR="009213F0" w:rsidRPr="001E6695">
        <w:rPr>
          <w:rFonts w:ascii="Arial" w:hAnsi="Arial" w:cs="Arial"/>
          <w:b/>
          <w:sz w:val="20"/>
          <w:szCs w:val="20"/>
        </w:rPr>
        <w:t>201</w:t>
      </w:r>
      <w:r w:rsidR="007F6DC4">
        <w:rPr>
          <w:rFonts w:ascii="Arial" w:hAnsi="Arial" w:cs="Arial"/>
          <w:b/>
          <w:sz w:val="20"/>
          <w:szCs w:val="20"/>
        </w:rPr>
        <w:t>8</w:t>
      </w:r>
      <w:r w:rsidR="009213F0" w:rsidRPr="001E6695">
        <w:rPr>
          <w:rFonts w:ascii="Arial" w:hAnsi="Arial" w:cs="Arial"/>
          <w:b/>
          <w:sz w:val="20"/>
          <w:szCs w:val="20"/>
        </w:rPr>
        <w:t>–201</w:t>
      </w:r>
      <w:r w:rsidR="007F6DC4">
        <w:rPr>
          <w:rFonts w:ascii="Arial" w:hAnsi="Arial" w:cs="Arial"/>
          <w:b/>
          <w:sz w:val="20"/>
          <w:szCs w:val="20"/>
        </w:rPr>
        <w:t>9</w:t>
      </w: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139"/>
        <w:gridCol w:w="2137"/>
      </w:tblGrid>
      <w:tr w:rsidR="00B52E66" w:rsidRPr="001E6695" w:rsidTr="00B52E66"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2E66" w:rsidRPr="001E6695" w:rsidRDefault="00B52E66" w:rsidP="003F7BC5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52E66" w:rsidRPr="001E6695" w:rsidRDefault="007F6DC4" w:rsidP="003F7BC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52E66" w:rsidRPr="001E6695" w:rsidRDefault="007F6DC4" w:rsidP="003F7BC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</w:tr>
      <w:tr w:rsidR="00B52E66" w:rsidRPr="001E6695" w:rsidTr="00B52E66"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52E66" w:rsidRPr="001E6695" w:rsidRDefault="00B52E66" w:rsidP="003F7BC5">
            <w:pPr>
              <w:spacing w:before="120" w:after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b/>
                <w:bCs/>
                <w:sz w:val="16"/>
                <w:szCs w:val="16"/>
              </w:rPr>
              <w:t>Area and facilities protected against floods</w:t>
            </w:r>
          </w:p>
        </w:tc>
        <w:tc>
          <w:tcPr>
            <w:tcW w:w="21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B52E66" w:rsidRPr="001E6695" w:rsidRDefault="00B52E66" w:rsidP="003F7BC5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E66" w:rsidRPr="001E6695" w:rsidRDefault="00B52E66" w:rsidP="003F7BC5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6DC4" w:rsidRPr="001E6695" w:rsidTr="00B52E66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spacing w:line="252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66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Total flooded area, ha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1 442 379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2A35AC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1 495 218</w:t>
            </w:r>
          </w:p>
        </w:tc>
      </w:tr>
      <w:tr w:rsidR="007F6DC4" w:rsidRPr="001E6695" w:rsidTr="00B52E66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Utilized agricultural area, ha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955 684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264</w:t>
            </w: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</w:tr>
      <w:tr w:rsidR="007F6DC4" w:rsidRPr="001E6695" w:rsidTr="00B52E66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tabs>
                <w:tab w:val="left" w:pos="215"/>
              </w:tabs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 xml:space="preserve"> Settlements, number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670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2A35AC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669</w:t>
            </w:r>
          </w:p>
        </w:tc>
      </w:tr>
      <w:tr w:rsidR="007F6DC4" w:rsidRPr="001E6695" w:rsidTr="00B52E66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>Industrial facilities, number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658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2A35AC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861</w:t>
            </w:r>
          </w:p>
        </w:tc>
      </w:tr>
      <w:tr w:rsidR="007F6DC4" w:rsidRPr="001E6695" w:rsidTr="00B52E66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>Railway lines, km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2A35AC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616</w:t>
            </w:r>
          </w:p>
        </w:tc>
      </w:tr>
      <w:tr w:rsidR="007F6DC4" w:rsidRPr="001E6695" w:rsidTr="00B52E66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>Roads, km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2 637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2A35AC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3 013</w:t>
            </w:r>
          </w:p>
        </w:tc>
      </w:tr>
      <w:tr w:rsidR="007F6DC4" w:rsidRPr="001E6695" w:rsidTr="00B52E66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Total length of embankment, km</w:t>
            </w:r>
            <w:r w:rsidRPr="001E669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3 411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3 419</w:t>
            </w:r>
          </w:p>
        </w:tc>
      </w:tr>
      <w:tr w:rsidR="007F6DC4" w:rsidRPr="001E6695" w:rsidTr="00B52E66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spacing w:before="120" w:after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b/>
                <w:bCs/>
                <w:sz w:val="16"/>
                <w:szCs w:val="16"/>
              </w:rPr>
              <w:t>Drainage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6DC4" w:rsidRPr="001E6695" w:rsidTr="00B52E66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Total area covered by drainage system, ha</w:t>
            </w:r>
            <w:r w:rsidRPr="001E669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24BA4">
              <w:rPr>
                <w:rFonts w:ascii="Arial" w:hAnsi="Arial" w:cs="Arial"/>
                <w:bCs/>
                <w:sz w:val="16"/>
                <w:szCs w:val="16"/>
              </w:rPr>
              <w:t>2 518 163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F50E9D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2 518 411</w:t>
            </w:r>
          </w:p>
        </w:tc>
      </w:tr>
      <w:tr w:rsidR="007F6DC4" w:rsidRPr="001E6695" w:rsidTr="00B52E66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Utilized agricultural area covered by drainage system, ha</w:t>
            </w:r>
            <w:r w:rsidRPr="001E669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1 933 419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F50E9D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1 889 622</w:t>
            </w:r>
          </w:p>
        </w:tc>
      </w:tr>
      <w:tr w:rsidR="007F6DC4" w:rsidRPr="001E6695" w:rsidTr="00B52E66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Drainage canals, km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6 716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F50E9D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6 782</w:t>
            </w:r>
          </w:p>
        </w:tc>
      </w:tr>
      <w:tr w:rsidR="007F6DC4" w:rsidRPr="001E6695" w:rsidTr="00B52E66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Pumping stations, number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248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F50E9D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236</w:t>
            </w: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spacing w:before="120" w:after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Areas and facilities flooded by surface waters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Total flooded area, ha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25 843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154CDB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26 010</w:t>
            </w: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ind w:left="78" w:hanging="78"/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>Utilized agricultural area, ha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19 428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154CDB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19 194</w:t>
            </w: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>Settlements, number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 xml:space="preserve">201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154CDB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175</w:t>
            </w: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>Industrial facilities, number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154CDB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109</w:t>
            </w: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 xml:space="preserve"> Railway lines, km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154CDB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31</w:t>
            </w: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 xml:space="preserve"> Roads, km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787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154CDB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1 059</w:t>
            </w: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spacing w:before="120" w:after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Areas and facilities flooded by ground waters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Total flooded area, ha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1 222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3903A1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251</w:t>
            </w: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ind w:left="78" w:hanging="78"/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>Utilized agricultural area, ha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1 049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3903A1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231</w:t>
            </w: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>Settlements, number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3903A1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24</w:t>
            </w: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>Industrial facilities, number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3903A1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49</w:t>
            </w: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 xml:space="preserve"> Railway lines, km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3903A1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-</w:t>
            </w: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 xml:space="preserve"> Roads, km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3903A1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48</w:t>
            </w: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spacing w:before="120" w:after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1E6695">
              <w:rPr>
                <w:rFonts w:ascii="Arial" w:hAnsi="Arial" w:cs="Arial"/>
                <w:b/>
                <w:bCs/>
                <w:sz w:val="16"/>
                <w:szCs w:val="16"/>
              </w:rPr>
              <w:t>Land erosion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before="120" w:after="120" w:line="264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 xml:space="preserve"> Eroded land, km</w:t>
            </w:r>
            <w:r w:rsidRPr="001E66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3 834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6 090</w:t>
            </w:r>
          </w:p>
        </w:tc>
      </w:tr>
      <w:tr w:rsidR="007F6DC4" w:rsidRPr="001E6695" w:rsidTr="00B52E66">
        <w:trPr>
          <w:trHeight w:val="18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6DC4" w:rsidRPr="001E6695" w:rsidRDefault="007F6DC4" w:rsidP="007F6DC4">
            <w:pPr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695">
              <w:rPr>
                <w:rFonts w:ascii="Arial" w:hAnsi="Arial" w:cs="Arial"/>
                <w:color w:val="000000"/>
                <w:sz w:val="16"/>
                <w:szCs w:val="16"/>
              </w:rPr>
              <w:t xml:space="preserve"> Reclaimed land, km</w:t>
            </w:r>
            <w:r w:rsidRPr="001E6695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B52CA">
              <w:rPr>
                <w:rFonts w:ascii="Arial" w:hAnsi="Arial" w:cs="Arial"/>
                <w:bCs/>
                <w:sz w:val="16"/>
                <w:szCs w:val="16"/>
              </w:rPr>
              <w:t>1 177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DC4" w:rsidRPr="00AB52CA" w:rsidRDefault="007F6DC4" w:rsidP="007F6DC4">
            <w:pPr>
              <w:spacing w:line="264" w:lineRule="auto"/>
              <w:ind w:right="43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1 165</w:t>
            </w:r>
          </w:p>
        </w:tc>
      </w:tr>
    </w:tbl>
    <w:p w:rsidR="00B52E66" w:rsidRPr="001E6695" w:rsidRDefault="00B52E66" w:rsidP="00B52E66">
      <w:pPr>
        <w:spacing w:after="60"/>
        <w:rPr>
          <w:rFonts w:ascii="Arial" w:hAnsi="Arial" w:cs="Arial"/>
          <w:color w:val="000000"/>
          <w:sz w:val="18"/>
          <w:szCs w:val="18"/>
        </w:rPr>
      </w:pPr>
    </w:p>
    <w:p w:rsidR="00B52E66" w:rsidRPr="001E6695" w:rsidRDefault="00B52E66" w:rsidP="00B52E66">
      <w:pPr>
        <w:spacing w:after="60"/>
        <w:rPr>
          <w:rFonts w:ascii="Arial" w:hAnsi="Arial" w:cs="Arial"/>
          <w:color w:val="000000"/>
          <w:sz w:val="18"/>
          <w:szCs w:val="18"/>
        </w:rPr>
      </w:pPr>
    </w:p>
    <w:p w:rsidR="00B52E66" w:rsidRPr="001E6695" w:rsidRDefault="00B52E66" w:rsidP="00B52E66">
      <w:pPr>
        <w:spacing w:after="60"/>
        <w:rPr>
          <w:rFonts w:ascii="Arial" w:hAnsi="Arial" w:cs="Arial"/>
          <w:color w:val="000000"/>
          <w:sz w:val="18"/>
          <w:szCs w:val="18"/>
        </w:rPr>
      </w:pPr>
    </w:p>
    <w:p w:rsidR="009213F0" w:rsidRPr="001E6695" w:rsidRDefault="009213F0" w:rsidP="004F2244">
      <w:pPr>
        <w:autoSpaceDE w:val="0"/>
        <w:autoSpaceDN w:val="0"/>
        <w:adjustRightInd w:val="0"/>
        <w:spacing w:before="160"/>
        <w:ind w:firstLine="397"/>
        <w:jc w:val="both"/>
        <w:rPr>
          <w:rFonts w:ascii="Arial" w:hAnsi="Arial" w:cs="Arial"/>
          <w:bCs/>
          <w:sz w:val="20"/>
        </w:rPr>
      </w:pPr>
      <w:r w:rsidRPr="001E6695">
        <w:rPr>
          <w:rFonts w:ascii="Arial" w:hAnsi="Arial" w:cs="Arial"/>
          <w:bCs/>
          <w:sz w:val="20"/>
        </w:rPr>
        <w:tab/>
      </w:r>
      <w:r w:rsidRPr="001E6695">
        <w:rPr>
          <w:rFonts w:ascii="Arial" w:hAnsi="Arial" w:cs="Arial"/>
          <w:bCs/>
          <w:sz w:val="20"/>
        </w:rPr>
        <w:tab/>
      </w:r>
      <w:r w:rsidRPr="001E6695">
        <w:rPr>
          <w:rFonts w:ascii="Arial" w:hAnsi="Arial" w:cs="Arial"/>
          <w:bCs/>
          <w:sz w:val="20"/>
        </w:rPr>
        <w:tab/>
      </w:r>
      <w:r w:rsidRPr="001E6695">
        <w:rPr>
          <w:rFonts w:ascii="Arial" w:hAnsi="Arial" w:cs="Arial"/>
          <w:bCs/>
          <w:sz w:val="20"/>
        </w:rPr>
        <w:tab/>
      </w:r>
      <w:r w:rsidRPr="001E6695">
        <w:rPr>
          <w:rFonts w:ascii="Arial" w:hAnsi="Arial" w:cs="Arial"/>
          <w:bCs/>
          <w:sz w:val="20"/>
        </w:rPr>
        <w:tab/>
      </w:r>
    </w:p>
    <w:p w:rsidR="00476299" w:rsidRPr="001E6695" w:rsidRDefault="00476299" w:rsidP="00476299">
      <w:pPr>
        <w:spacing w:before="120" w:after="120"/>
        <w:ind w:firstLine="397"/>
        <w:jc w:val="both"/>
        <w:rPr>
          <w:rStyle w:val="hpsalt-edited"/>
          <w:rFonts w:ascii="Arial" w:hAnsi="Arial" w:cs="Arial"/>
          <w:sz w:val="20"/>
          <w:szCs w:val="20"/>
        </w:rPr>
      </w:pPr>
      <w:r w:rsidRPr="001E6695">
        <w:rPr>
          <w:rStyle w:val="hpsalt-edited"/>
          <w:rFonts w:ascii="Arial" w:hAnsi="Arial" w:cs="Arial"/>
          <w:sz w:val="20"/>
          <w:szCs w:val="20"/>
        </w:rPr>
        <w:t xml:space="preserve">Starting from 1999 the Statistical Office of the Republic of Serbia has not at disposal and may not provide available certain data relative to AP Kosovo and </w:t>
      </w:r>
      <w:proofErr w:type="spellStart"/>
      <w:r w:rsidRPr="001E6695">
        <w:rPr>
          <w:rStyle w:val="hpsalt-edited"/>
          <w:rFonts w:ascii="Arial" w:hAnsi="Arial" w:cs="Arial"/>
          <w:sz w:val="20"/>
          <w:szCs w:val="20"/>
        </w:rPr>
        <w:t>Metohia</w:t>
      </w:r>
      <w:proofErr w:type="spellEnd"/>
      <w:r w:rsidRPr="001E6695">
        <w:rPr>
          <w:rStyle w:val="hpsalt-edited"/>
          <w:rFonts w:ascii="Arial" w:hAnsi="Arial" w:cs="Arial"/>
          <w:sz w:val="20"/>
          <w:szCs w:val="20"/>
        </w:rPr>
        <w:t xml:space="preserve"> and therefore these data are not included in the coverage for the Republic of Serbia (total).</w:t>
      </w:r>
    </w:p>
    <w:p w:rsidR="00305FEB" w:rsidRPr="001E6695" w:rsidRDefault="00476299" w:rsidP="00305FEB">
      <w:pPr>
        <w:spacing w:before="240" w:after="120"/>
        <w:ind w:firstLine="397"/>
        <w:jc w:val="both"/>
        <w:rPr>
          <w:rFonts w:ascii="Arial" w:hAnsi="Arial" w:cs="Arial"/>
          <w:bCs/>
          <w:sz w:val="20"/>
          <w:u w:val="single"/>
        </w:rPr>
      </w:pPr>
      <w:r w:rsidRPr="001E6695">
        <w:rPr>
          <w:rFonts w:ascii="Arial" w:hAnsi="Arial" w:cs="Arial"/>
          <w:bCs/>
          <w:sz w:val="20"/>
        </w:rPr>
        <w:t xml:space="preserve">Methodological explanations on protection against damaging water effects can be found on the SORS website: </w:t>
      </w:r>
      <w:hyperlink r:id="rId10" w:history="1">
        <w:r w:rsidR="00305FEB" w:rsidRPr="001E6695">
          <w:rPr>
            <w:rStyle w:val="Hyperlink"/>
            <w:rFonts w:ascii="Arial" w:hAnsi="Arial" w:cs="Arial"/>
            <w:bCs/>
            <w:sz w:val="20"/>
          </w:rPr>
          <w:t>http://publikacije.stat.gov.rs/G2016/Pdf/G201620089.pdf</w:t>
        </w:r>
      </w:hyperlink>
      <w:r w:rsidR="00305FEB" w:rsidRPr="001E6695">
        <w:rPr>
          <w:rStyle w:val="Hyperlink"/>
          <w:rFonts w:ascii="Arial" w:hAnsi="Arial" w:cs="Arial"/>
          <w:bCs/>
          <w:sz w:val="20"/>
        </w:rPr>
        <w:t>.</w:t>
      </w:r>
    </w:p>
    <w:p w:rsidR="00305FEB" w:rsidRPr="001E6695" w:rsidRDefault="00476299" w:rsidP="00305FEB">
      <w:pPr>
        <w:spacing w:before="240" w:after="120"/>
        <w:ind w:firstLine="397"/>
        <w:jc w:val="both"/>
        <w:rPr>
          <w:rFonts w:ascii="Arial" w:hAnsi="Arial" w:cs="Arial"/>
          <w:b/>
          <w:sz w:val="22"/>
          <w:szCs w:val="22"/>
        </w:rPr>
      </w:pPr>
      <w:r w:rsidRPr="001E6695">
        <w:rPr>
          <w:rFonts w:ascii="Arial" w:hAnsi="Arial" w:cs="Arial"/>
          <w:bCs/>
          <w:sz w:val="20"/>
        </w:rPr>
        <w:t xml:space="preserve">Data series on protection against damaging water effects are available as a part of the SORS publications: </w:t>
      </w:r>
      <w:hyperlink r:id="rId11" w:history="1">
        <w:r w:rsidR="00305FEB" w:rsidRPr="001E6695">
          <w:rPr>
            <w:rStyle w:val="Hyperlink"/>
            <w:rFonts w:ascii="Arial" w:hAnsi="Arial" w:cs="Arial"/>
            <w:bCs/>
            <w:sz w:val="20"/>
          </w:rPr>
          <w:t>http://www.stat.gov.rs/sr-Cyrl/publikacije</w:t>
        </w:r>
      </w:hyperlink>
      <w:r w:rsidR="00305FEB" w:rsidRPr="001E6695">
        <w:rPr>
          <w:rStyle w:val="Hyperlink"/>
          <w:rFonts w:ascii="Arial" w:hAnsi="Arial" w:cs="Arial"/>
          <w:bCs/>
          <w:sz w:val="20"/>
        </w:rPr>
        <w:t>.</w:t>
      </w:r>
    </w:p>
    <w:p w:rsidR="00476299" w:rsidRPr="001E6695" w:rsidRDefault="00476299" w:rsidP="00E00FB9">
      <w:pPr>
        <w:spacing w:after="120"/>
        <w:ind w:firstLine="397"/>
        <w:jc w:val="both"/>
        <w:rPr>
          <w:rFonts w:ascii="Arial" w:hAnsi="Arial" w:cs="Arial"/>
          <w:bCs/>
          <w:sz w:val="20"/>
        </w:rPr>
      </w:pPr>
    </w:p>
    <w:p w:rsidR="00476299" w:rsidRPr="001E6695" w:rsidRDefault="00476299" w:rsidP="00476299">
      <w:pPr>
        <w:spacing w:before="240" w:after="120"/>
        <w:ind w:firstLine="397"/>
        <w:jc w:val="both"/>
        <w:rPr>
          <w:rFonts w:ascii="Arial" w:hAnsi="Arial" w:cs="Arial"/>
          <w:bCs/>
          <w:sz w:val="20"/>
        </w:rPr>
      </w:pPr>
    </w:p>
    <w:p w:rsidR="00476299" w:rsidRPr="001E6695" w:rsidRDefault="00476299" w:rsidP="00476299">
      <w:pPr>
        <w:spacing w:before="240" w:after="120"/>
        <w:ind w:firstLine="397"/>
        <w:jc w:val="both"/>
        <w:rPr>
          <w:rFonts w:ascii="Arial" w:hAnsi="Arial" w:cs="Arial"/>
          <w:bCs/>
          <w:sz w:val="20"/>
        </w:rPr>
      </w:pPr>
    </w:p>
    <w:p w:rsidR="00747A71" w:rsidRPr="001E6695" w:rsidRDefault="00747A71" w:rsidP="00476299">
      <w:pPr>
        <w:spacing w:before="240" w:after="120"/>
        <w:ind w:firstLine="397"/>
        <w:jc w:val="both"/>
        <w:rPr>
          <w:rFonts w:ascii="Arial" w:hAnsi="Arial" w:cs="Arial"/>
          <w:bCs/>
          <w:sz w:val="20"/>
        </w:rPr>
      </w:pPr>
    </w:p>
    <w:p w:rsidR="00476299" w:rsidRPr="001E6695" w:rsidRDefault="00476299" w:rsidP="00476299">
      <w:pPr>
        <w:ind w:left="1440" w:firstLine="720"/>
        <w:rPr>
          <w:rFonts w:ascii="Arial" w:hAnsi="Arial" w:cs="Arial"/>
          <w:sz w:val="18"/>
          <w:szCs w:val="18"/>
        </w:rPr>
      </w:pPr>
      <w:r w:rsidRPr="001E6695">
        <w:rPr>
          <w:rFonts w:ascii="Arial" w:hAnsi="Arial" w:cs="Arial"/>
          <w:sz w:val="18"/>
          <w:szCs w:val="18"/>
        </w:rPr>
        <w:t xml:space="preserve">Contact: </w:t>
      </w:r>
      <w:hyperlink r:id="rId12" w:history="1">
        <w:r w:rsidRPr="001E6695">
          <w:rPr>
            <w:rStyle w:val="Hyperlink"/>
            <w:rFonts w:ascii="Arial" w:hAnsi="Arial" w:cs="Arial"/>
            <w:bCs/>
            <w:sz w:val="20"/>
          </w:rPr>
          <w:t>gordana.isailovic@stat.gov.rs</w:t>
        </w:r>
      </w:hyperlink>
      <w:r w:rsidRPr="001E6695">
        <w:rPr>
          <w:rFonts w:ascii="Arial" w:hAnsi="Arial" w:cs="Arial"/>
          <w:sz w:val="18"/>
          <w:szCs w:val="18"/>
        </w:rPr>
        <w:t xml:space="preserve"> phone: 011 3290-242</w:t>
      </w:r>
    </w:p>
    <w:p w:rsidR="00476299" w:rsidRPr="001E6695" w:rsidRDefault="00476299" w:rsidP="00476299">
      <w:pPr>
        <w:jc w:val="center"/>
        <w:rPr>
          <w:rFonts w:ascii="Arial" w:hAnsi="Arial" w:cs="Arial"/>
          <w:bCs/>
          <w:sz w:val="18"/>
          <w:szCs w:val="18"/>
        </w:rPr>
      </w:pPr>
      <w:r w:rsidRPr="001E6695">
        <w:rPr>
          <w:rFonts w:ascii="Arial" w:hAnsi="Arial" w:cs="Arial"/>
          <w:sz w:val="18"/>
          <w:szCs w:val="18"/>
        </w:rPr>
        <w:t xml:space="preserve">Printed and published by: Statistical Office of the Republic of Serbia, Belgrade, </w:t>
      </w:r>
      <w:proofErr w:type="spellStart"/>
      <w:r w:rsidRPr="001E6695">
        <w:rPr>
          <w:rFonts w:ascii="Arial" w:hAnsi="Arial" w:cs="Arial"/>
          <w:sz w:val="18"/>
          <w:szCs w:val="18"/>
        </w:rPr>
        <w:t>Мilana</w:t>
      </w:r>
      <w:proofErr w:type="spellEnd"/>
      <w:r w:rsidRPr="001E669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6695">
        <w:rPr>
          <w:rFonts w:ascii="Arial" w:hAnsi="Arial" w:cs="Arial"/>
          <w:sz w:val="18"/>
          <w:szCs w:val="18"/>
        </w:rPr>
        <w:t>Rakica</w:t>
      </w:r>
      <w:proofErr w:type="spellEnd"/>
      <w:r w:rsidRPr="001E6695">
        <w:rPr>
          <w:rFonts w:ascii="Arial" w:hAnsi="Arial" w:cs="Arial"/>
          <w:sz w:val="18"/>
          <w:szCs w:val="18"/>
        </w:rPr>
        <w:t xml:space="preserve"> 5 </w:t>
      </w:r>
      <w:r w:rsidRPr="001E6695">
        <w:rPr>
          <w:rFonts w:ascii="Arial" w:hAnsi="Arial" w:cs="Arial"/>
          <w:sz w:val="18"/>
          <w:szCs w:val="18"/>
        </w:rPr>
        <w:br/>
        <w:t>Telephone: +381 11 2412-922 • Fax: +381 11 2411-260 • www.stat.gov.rs</w:t>
      </w:r>
      <w:r w:rsidRPr="001E6695">
        <w:rPr>
          <w:rFonts w:ascii="Arial" w:hAnsi="Arial" w:cs="Arial"/>
          <w:sz w:val="18"/>
          <w:szCs w:val="18"/>
        </w:rPr>
        <w:br/>
      </w:r>
      <w:r w:rsidRPr="001E6695">
        <w:rPr>
          <w:rFonts w:ascii="Arial" w:hAnsi="Arial" w:cs="Arial"/>
          <w:bCs/>
          <w:sz w:val="18"/>
          <w:szCs w:val="18"/>
        </w:rPr>
        <w:t xml:space="preserve">Responsible: Dr Miladin </w:t>
      </w:r>
      <w:proofErr w:type="spellStart"/>
      <w:r w:rsidRPr="001E6695">
        <w:rPr>
          <w:rFonts w:ascii="Arial" w:hAnsi="Arial" w:cs="Arial"/>
          <w:bCs/>
          <w:sz w:val="18"/>
          <w:szCs w:val="18"/>
        </w:rPr>
        <w:t>Kovačević</w:t>
      </w:r>
      <w:proofErr w:type="spellEnd"/>
      <w:r w:rsidRPr="001E6695">
        <w:rPr>
          <w:rFonts w:ascii="Arial" w:hAnsi="Arial" w:cs="Arial"/>
          <w:bCs/>
          <w:sz w:val="18"/>
          <w:szCs w:val="18"/>
        </w:rPr>
        <w:t>, Director</w:t>
      </w:r>
    </w:p>
    <w:p w:rsidR="00476299" w:rsidRPr="001E6695" w:rsidRDefault="00476299" w:rsidP="00476299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1E6695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7C722" wp14:editId="580F5624">
                <wp:simplePos x="0" y="0"/>
                <wp:positionH relativeFrom="column">
                  <wp:posOffset>-114300</wp:posOffset>
                </wp:positionH>
                <wp:positionV relativeFrom="paragraph">
                  <wp:posOffset>4415790</wp:posOffset>
                </wp:positionV>
                <wp:extent cx="6057900" cy="685800"/>
                <wp:effectExtent l="5715" t="8890" r="13335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1AD84" id="Rectangle 3" o:spid="_x0000_s1026" style="position:absolute;margin-left:-9pt;margin-top:347.7pt;width:47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" filled="f"/>
            </w:pict>
          </mc:Fallback>
        </mc:AlternateContent>
      </w:r>
      <w:r w:rsidRPr="001E6695">
        <w:rPr>
          <w:rFonts w:ascii="Arial" w:hAnsi="Arial" w:cs="Arial"/>
          <w:bCs/>
          <w:sz w:val="18"/>
          <w:szCs w:val="18"/>
        </w:rPr>
        <w:t>Circulation: 20 ● Issued annually</w:t>
      </w:r>
    </w:p>
    <w:sectPr w:rsidR="00476299" w:rsidRPr="001E6695" w:rsidSect="00593953">
      <w:footerReference w:type="even" r:id="rId13"/>
      <w:footerReference w:type="default" r:id="rId14"/>
      <w:footnotePr>
        <w:numRestart w:val="eachPage"/>
      </w:footnotePr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F5" w:rsidRDefault="009977F5">
      <w:r>
        <w:separator/>
      </w:r>
    </w:p>
  </w:endnote>
  <w:endnote w:type="continuationSeparator" w:id="0">
    <w:p w:rsidR="009977F5" w:rsidRDefault="0099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99" w:rsidRPr="006C0141" w:rsidRDefault="00476299" w:rsidP="000F5426">
    <w:pPr>
      <w:pStyle w:val="Footer"/>
      <w:pBdr>
        <w:top w:val="single" w:sz="4" w:space="1" w:color="auto"/>
      </w:pBdr>
      <w:tabs>
        <w:tab w:val="clear" w:pos="8640"/>
        <w:tab w:val="right" w:pos="9624"/>
        <w:tab w:val="right" w:pos="10206"/>
      </w:tabs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8F2B55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  <w:lang w:val="sr-Cyrl-CS"/>
      </w:rPr>
      <w:t xml:space="preserve">   </w:t>
    </w:r>
    <w:r>
      <w:rPr>
        <w:rStyle w:val="PageNumber"/>
        <w:rFonts w:ascii="Arial" w:hAnsi="Arial" w:cs="Arial"/>
        <w:sz w:val="16"/>
        <w:lang w:val="sr-Cyrl-CS"/>
      </w:rPr>
      <w:tab/>
    </w:r>
    <w:r>
      <w:rPr>
        <w:rStyle w:val="PageNumber"/>
        <w:rFonts w:ascii="Arial" w:hAnsi="Arial" w:cs="Arial"/>
        <w:sz w:val="16"/>
        <w:lang w:val="sr-Latn-CS"/>
      </w:rPr>
      <w:t>SERB</w:t>
    </w:r>
    <w:r w:rsidR="00C83B3D">
      <w:rPr>
        <w:rStyle w:val="PageNumber"/>
        <w:rFonts w:ascii="Arial" w:hAnsi="Arial" w:cs="Arial"/>
        <w:sz w:val="16"/>
        <w:lang w:val="sr-Latn-CS"/>
      </w:rPr>
      <w:t>112</w:t>
    </w:r>
    <w:r>
      <w:rPr>
        <w:rStyle w:val="PageNumber"/>
        <w:rFonts w:ascii="Arial" w:hAnsi="Arial" w:cs="Arial"/>
        <w:sz w:val="16"/>
        <w:lang w:val="sr-Latn-CS"/>
      </w:rPr>
      <w:t xml:space="preserve"> ZS</w:t>
    </w:r>
    <w:r>
      <w:rPr>
        <w:rStyle w:val="PageNumber"/>
        <w:rFonts w:ascii="Arial" w:hAnsi="Arial" w:cs="Arial"/>
        <w:sz w:val="16"/>
        <w:lang w:val="sr-Cyrl-CS"/>
      </w:rPr>
      <w:t>1</w:t>
    </w:r>
    <w:r>
      <w:rPr>
        <w:rStyle w:val="PageNumber"/>
        <w:rFonts w:ascii="Arial" w:hAnsi="Arial" w:cs="Arial"/>
        <w:sz w:val="16"/>
        <w:lang w:val="sr-Latn-CS"/>
      </w:rPr>
      <w:t>0</w:t>
    </w:r>
    <w:r>
      <w:rPr>
        <w:rStyle w:val="PageNumber"/>
        <w:rFonts w:ascii="Arial" w:hAnsi="Arial" w:cs="Arial"/>
        <w:sz w:val="16"/>
        <w:lang w:val="sr-Cyrl-CS"/>
      </w:rPr>
      <w:t xml:space="preserve"> </w:t>
    </w:r>
    <w:r w:rsidR="00C83B3D">
      <w:rPr>
        <w:rStyle w:val="PageNumber"/>
        <w:rFonts w:ascii="Arial" w:hAnsi="Arial" w:cs="Arial"/>
        <w:sz w:val="16"/>
        <w:lang w:val="sr-Latn-CS"/>
      </w:rPr>
      <w:t>070520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99" w:rsidRDefault="00476299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  <w:lang w:val="sr-Latn-CS"/>
      </w:rPr>
      <w:t>SERB1</w:t>
    </w:r>
    <w:r>
      <w:rPr>
        <w:rStyle w:val="PageNumber"/>
        <w:rFonts w:ascii="Arial" w:hAnsi="Arial" w:cs="Arial"/>
        <w:sz w:val="16"/>
      </w:rPr>
      <w:t>19</w:t>
    </w:r>
    <w:r>
      <w:rPr>
        <w:rStyle w:val="PageNumber"/>
        <w:rFonts w:ascii="Arial" w:hAnsi="Arial" w:cs="Arial"/>
        <w:sz w:val="16"/>
        <w:lang w:val="sr-Latn-CS"/>
      </w:rPr>
      <w:t xml:space="preserve"> ZS</w:t>
    </w:r>
    <w:r>
      <w:rPr>
        <w:rStyle w:val="PageNumber"/>
        <w:rFonts w:ascii="Arial" w:hAnsi="Arial" w:cs="Arial"/>
        <w:sz w:val="16"/>
        <w:lang w:val="sr-Cyrl-CS"/>
      </w:rPr>
      <w:t>1</w:t>
    </w:r>
    <w:r>
      <w:rPr>
        <w:rStyle w:val="PageNumber"/>
        <w:rFonts w:ascii="Arial" w:hAnsi="Arial" w:cs="Arial"/>
        <w:sz w:val="16"/>
        <w:lang w:val="sr-Latn-CS"/>
      </w:rPr>
      <w:t>0</w:t>
    </w:r>
    <w:r>
      <w:rPr>
        <w:rStyle w:val="PageNumber"/>
        <w:rFonts w:ascii="Arial" w:hAnsi="Arial" w:cs="Arial"/>
        <w:sz w:val="16"/>
        <w:lang w:val="sr-Cyrl-CS"/>
      </w:rPr>
      <w:t xml:space="preserve"> </w:t>
    </w:r>
    <w:r>
      <w:rPr>
        <w:rStyle w:val="PageNumber"/>
        <w:rFonts w:ascii="Arial" w:hAnsi="Arial" w:cs="Arial"/>
        <w:sz w:val="16"/>
        <w:lang w:val="sr-Latn-CS"/>
      </w:rPr>
      <w:t>230</w:t>
    </w:r>
    <w:r>
      <w:rPr>
        <w:rStyle w:val="PageNumber"/>
        <w:rFonts w:ascii="Arial" w:hAnsi="Arial" w:cs="Arial"/>
        <w:sz w:val="16"/>
        <w:lang w:val="sr-Cyrl-RS"/>
      </w:rPr>
      <w:t>6</w:t>
    </w:r>
    <w:r>
      <w:rPr>
        <w:rStyle w:val="PageNumber"/>
        <w:rFonts w:ascii="Arial" w:hAnsi="Arial" w:cs="Arial"/>
        <w:sz w:val="16"/>
        <w:lang w:val="sr-Latn-CS"/>
      </w:rPr>
      <w:t>1</w:t>
    </w:r>
    <w:r>
      <w:rPr>
        <w:rStyle w:val="PageNumber"/>
        <w:rFonts w:ascii="Arial" w:hAnsi="Arial" w:cs="Arial"/>
        <w:sz w:val="16"/>
      </w:rPr>
      <w:t>7</w:t>
    </w:r>
    <w:r>
      <w:rPr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02397A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F5" w:rsidRDefault="009977F5">
      <w:r>
        <w:t>_________</w:t>
      </w:r>
    </w:p>
  </w:footnote>
  <w:footnote w:type="continuationSeparator" w:id="0">
    <w:p w:rsidR="009977F5" w:rsidRDefault="0099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305BC"/>
    <w:multiLevelType w:val="hybridMultilevel"/>
    <w:tmpl w:val="DD18A240"/>
    <w:lvl w:ilvl="0" w:tplc="FC448B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1D76"/>
    <w:multiLevelType w:val="hybridMultilevel"/>
    <w:tmpl w:val="69F2C1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A01D37"/>
    <w:multiLevelType w:val="hybridMultilevel"/>
    <w:tmpl w:val="65E6C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0B32F7"/>
    <w:multiLevelType w:val="hybridMultilevel"/>
    <w:tmpl w:val="5FF49FCA"/>
    <w:lvl w:ilvl="0" w:tplc="98D25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13"/>
  </w:num>
  <w:num w:numId="11">
    <w:abstractNumId w:val="12"/>
  </w:num>
  <w:num w:numId="12">
    <w:abstractNumId w:val="1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2AC5"/>
    <w:rsid w:val="000044A7"/>
    <w:rsid w:val="000051D1"/>
    <w:rsid w:val="00005F47"/>
    <w:rsid w:val="000134CA"/>
    <w:rsid w:val="00014396"/>
    <w:rsid w:val="0002397A"/>
    <w:rsid w:val="00023DD5"/>
    <w:rsid w:val="00024654"/>
    <w:rsid w:val="00040099"/>
    <w:rsid w:val="0004014F"/>
    <w:rsid w:val="000411E9"/>
    <w:rsid w:val="00045169"/>
    <w:rsid w:val="000479DB"/>
    <w:rsid w:val="00051BF2"/>
    <w:rsid w:val="0005496B"/>
    <w:rsid w:val="00055E4A"/>
    <w:rsid w:val="000708D5"/>
    <w:rsid w:val="00075376"/>
    <w:rsid w:val="000767C0"/>
    <w:rsid w:val="00076897"/>
    <w:rsid w:val="00077201"/>
    <w:rsid w:val="00077A40"/>
    <w:rsid w:val="00080CC2"/>
    <w:rsid w:val="00093A4E"/>
    <w:rsid w:val="00095CB7"/>
    <w:rsid w:val="00097FE7"/>
    <w:rsid w:val="000A3594"/>
    <w:rsid w:val="000B3017"/>
    <w:rsid w:val="000B5A3F"/>
    <w:rsid w:val="000D047C"/>
    <w:rsid w:val="000E4D07"/>
    <w:rsid w:val="000E5108"/>
    <w:rsid w:val="000E5ED3"/>
    <w:rsid w:val="000F44DE"/>
    <w:rsid w:val="000F5426"/>
    <w:rsid w:val="00100C66"/>
    <w:rsid w:val="00103344"/>
    <w:rsid w:val="0010792F"/>
    <w:rsid w:val="001114AD"/>
    <w:rsid w:val="00120646"/>
    <w:rsid w:val="0012284A"/>
    <w:rsid w:val="0012320D"/>
    <w:rsid w:val="00124EBB"/>
    <w:rsid w:val="00125C36"/>
    <w:rsid w:val="00131691"/>
    <w:rsid w:val="00135AFB"/>
    <w:rsid w:val="001378BD"/>
    <w:rsid w:val="00142771"/>
    <w:rsid w:val="001467D7"/>
    <w:rsid w:val="001502C3"/>
    <w:rsid w:val="00165255"/>
    <w:rsid w:val="00166DE0"/>
    <w:rsid w:val="001754D9"/>
    <w:rsid w:val="00186CD8"/>
    <w:rsid w:val="0019666B"/>
    <w:rsid w:val="001A1EC7"/>
    <w:rsid w:val="001A26EF"/>
    <w:rsid w:val="001B04AD"/>
    <w:rsid w:val="001B323D"/>
    <w:rsid w:val="001B6C8E"/>
    <w:rsid w:val="001D1F88"/>
    <w:rsid w:val="001D2BC9"/>
    <w:rsid w:val="001D2EF4"/>
    <w:rsid w:val="001D454A"/>
    <w:rsid w:val="001D673E"/>
    <w:rsid w:val="001E4238"/>
    <w:rsid w:val="001E5614"/>
    <w:rsid w:val="001E61C3"/>
    <w:rsid w:val="001E6695"/>
    <w:rsid w:val="001E74DA"/>
    <w:rsid w:val="001F04C3"/>
    <w:rsid w:val="001F1718"/>
    <w:rsid w:val="001F1752"/>
    <w:rsid w:val="001F1825"/>
    <w:rsid w:val="001F1E55"/>
    <w:rsid w:val="001F3800"/>
    <w:rsid w:val="001F6B86"/>
    <w:rsid w:val="001F6D20"/>
    <w:rsid w:val="00205D69"/>
    <w:rsid w:val="002136FB"/>
    <w:rsid w:val="00220C19"/>
    <w:rsid w:val="0022509D"/>
    <w:rsid w:val="0022675D"/>
    <w:rsid w:val="0023093B"/>
    <w:rsid w:val="002371A4"/>
    <w:rsid w:val="00244CEC"/>
    <w:rsid w:val="002523E8"/>
    <w:rsid w:val="00255B86"/>
    <w:rsid w:val="002566F7"/>
    <w:rsid w:val="00257A21"/>
    <w:rsid w:val="00267BAF"/>
    <w:rsid w:val="0027498F"/>
    <w:rsid w:val="0027611E"/>
    <w:rsid w:val="00276991"/>
    <w:rsid w:val="00281D20"/>
    <w:rsid w:val="00291326"/>
    <w:rsid w:val="00292658"/>
    <w:rsid w:val="00292ED6"/>
    <w:rsid w:val="002A0EC0"/>
    <w:rsid w:val="002A7671"/>
    <w:rsid w:val="002B1570"/>
    <w:rsid w:val="002C04A9"/>
    <w:rsid w:val="002C5CCF"/>
    <w:rsid w:val="002E30C4"/>
    <w:rsid w:val="002F24B7"/>
    <w:rsid w:val="002F322A"/>
    <w:rsid w:val="002F76C2"/>
    <w:rsid w:val="00302F1A"/>
    <w:rsid w:val="003035B6"/>
    <w:rsid w:val="00304838"/>
    <w:rsid w:val="00304858"/>
    <w:rsid w:val="00305FEB"/>
    <w:rsid w:val="00312219"/>
    <w:rsid w:val="00314C15"/>
    <w:rsid w:val="003251A6"/>
    <w:rsid w:val="00325467"/>
    <w:rsid w:val="0032750D"/>
    <w:rsid w:val="0033549F"/>
    <w:rsid w:val="00343C1A"/>
    <w:rsid w:val="00346742"/>
    <w:rsid w:val="0035257E"/>
    <w:rsid w:val="003577DB"/>
    <w:rsid w:val="003607C8"/>
    <w:rsid w:val="0036148B"/>
    <w:rsid w:val="00362B70"/>
    <w:rsid w:val="00366869"/>
    <w:rsid w:val="0037588D"/>
    <w:rsid w:val="00385870"/>
    <w:rsid w:val="00385CE8"/>
    <w:rsid w:val="00391C94"/>
    <w:rsid w:val="00392C41"/>
    <w:rsid w:val="003A3600"/>
    <w:rsid w:val="003A371C"/>
    <w:rsid w:val="003A5A67"/>
    <w:rsid w:val="003A5CB6"/>
    <w:rsid w:val="003D1D4E"/>
    <w:rsid w:val="003D3ACE"/>
    <w:rsid w:val="003D641F"/>
    <w:rsid w:val="003F1838"/>
    <w:rsid w:val="003F65B0"/>
    <w:rsid w:val="0040064F"/>
    <w:rsid w:val="004021BF"/>
    <w:rsid w:val="004034EC"/>
    <w:rsid w:val="00404075"/>
    <w:rsid w:val="00406C0E"/>
    <w:rsid w:val="00407B08"/>
    <w:rsid w:val="00411C18"/>
    <w:rsid w:val="00412D8F"/>
    <w:rsid w:val="00422B53"/>
    <w:rsid w:val="00422DDD"/>
    <w:rsid w:val="00424425"/>
    <w:rsid w:val="00425112"/>
    <w:rsid w:val="00435763"/>
    <w:rsid w:val="004422A9"/>
    <w:rsid w:val="00452374"/>
    <w:rsid w:val="00454107"/>
    <w:rsid w:val="004678D3"/>
    <w:rsid w:val="00472C89"/>
    <w:rsid w:val="0047397D"/>
    <w:rsid w:val="00476299"/>
    <w:rsid w:val="0048056A"/>
    <w:rsid w:val="004845C2"/>
    <w:rsid w:val="004A3970"/>
    <w:rsid w:val="004B7F1C"/>
    <w:rsid w:val="004C45EA"/>
    <w:rsid w:val="004D00BE"/>
    <w:rsid w:val="004D1BE2"/>
    <w:rsid w:val="004D25C7"/>
    <w:rsid w:val="004D3DD2"/>
    <w:rsid w:val="004E3274"/>
    <w:rsid w:val="004F2244"/>
    <w:rsid w:val="004F23E8"/>
    <w:rsid w:val="00501E4B"/>
    <w:rsid w:val="00512CB2"/>
    <w:rsid w:val="00513E72"/>
    <w:rsid w:val="00515C5A"/>
    <w:rsid w:val="00522BFE"/>
    <w:rsid w:val="005343D4"/>
    <w:rsid w:val="00534D8D"/>
    <w:rsid w:val="005378DF"/>
    <w:rsid w:val="00541C4B"/>
    <w:rsid w:val="00542272"/>
    <w:rsid w:val="00544A89"/>
    <w:rsid w:val="00551745"/>
    <w:rsid w:val="00554539"/>
    <w:rsid w:val="005628AF"/>
    <w:rsid w:val="00563A59"/>
    <w:rsid w:val="00575062"/>
    <w:rsid w:val="00581387"/>
    <w:rsid w:val="00582733"/>
    <w:rsid w:val="0059290D"/>
    <w:rsid w:val="0059292C"/>
    <w:rsid w:val="00593953"/>
    <w:rsid w:val="005946DB"/>
    <w:rsid w:val="0059505F"/>
    <w:rsid w:val="00595CD0"/>
    <w:rsid w:val="00596A1C"/>
    <w:rsid w:val="005B178E"/>
    <w:rsid w:val="005B3F9A"/>
    <w:rsid w:val="005B42EA"/>
    <w:rsid w:val="005B6AD6"/>
    <w:rsid w:val="005C24A2"/>
    <w:rsid w:val="005D125C"/>
    <w:rsid w:val="005D1C7C"/>
    <w:rsid w:val="005D4391"/>
    <w:rsid w:val="005E18C1"/>
    <w:rsid w:val="005E49E0"/>
    <w:rsid w:val="005E6EB7"/>
    <w:rsid w:val="00601670"/>
    <w:rsid w:val="00602D73"/>
    <w:rsid w:val="006038F3"/>
    <w:rsid w:val="00605CBF"/>
    <w:rsid w:val="00610A87"/>
    <w:rsid w:val="00610E46"/>
    <w:rsid w:val="00611801"/>
    <w:rsid w:val="00613C8C"/>
    <w:rsid w:val="00622E88"/>
    <w:rsid w:val="0062543B"/>
    <w:rsid w:val="00634750"/>
    <w:rsid w:val="006426A7"/>
    <w:rsid w:val="00644823"/>
    <w:rsid w:val="00656362"/>
    <w:rsid w:val="006570CA"/>
    <w:rsid w:val="00664E1C"/>
    <w:rsid w:val="006672EC"/>
    <w:rsid w:val="00670121"/>
    <w:rsid w:val="006716DF"/>
    <w:rsid w:val="00674C4F"/>
    <w:rsid w:val="006768AD"/>
    <w:rsid w:val="00682912"/>
    <w:rsid w:val="0068307B"/>
    <w:rsid w:val="0068389C"/>
    <w:rsid w:val="00692DA4"/>
    <w:rsid w:val="0069757C"/>
    <w:rsid w:val="006A062F"/>
    <w:rsid w:val="006A5287"/>
    <w:rsid w:val="006B2343"/>
    <w:rsid w:val="006B4318"/>
    <w:rsid w:val="006C0141"/>
    <w:rsid w:val="006C30A6"/>
    <w:rsid w:val="006C4AB3"/>
    <w:rsid w:val="006D02EA"/>
    <w:rsid w:val="006D401B"/>
    <w:rsid w:val="006D40B6"/>
    <w:rsid w:val="006D722E"/>
    <w:rsid w:val="006D7DBF"/>
    <w:rsid w:val="006E04B7"/>
    <w:rsid w:val="006E0DF2"/>
    <w:rsid w:val="006E159C"/>
    <w:rsid w:val="006E1D5A"/>
    <w:rsid w:val="006E51FB"/>
    <w:rsid w:val="00701977"/>
    <w:rsid w:val="00703E28"/>
    <w:rsid w:val="00707636"/>
    <w:rsid w:val="007213AA"/>
    <w:rsid w:val="00721497"/>
    <w:rsid w:val="007312B5"/>
    <w:rsid w:val="00733BC0"/>
    <w:rsid w:val="00735A7C"/>
    <w:rsid w:val="00746B73"/>
    <w:rsid w:val="00747A71"/>
    <w:rsid w:val="007505E6"/>
    <w:rsid w:val="0075758A"/>
    <w:rsid w:val="007705DC"/>
    <w:rsid w:val="007706E0"/>
    <w:rsid w:val="00774823"/>
    <w:rsid w:val="00777216"/>
    <w:rsid w:val="00787AB2"/>
    <w:rsid w:val="00787E2A"/>
    <w:rsid w:val="007A426D"/>
    <w:rsid w:val="007A6818"/>
    <w:rsid w:val="007B0349"/>
    <w:rsid w:val="007B13C5"/>
    <w:rsid w:val="007C43EC"/>
    <w:rsid w:val="007C4AEE"/>
    <w:rsid w:val="007D218E"/>
    <w:rsid w:val="007D3B5C"/>
    <w:rsid w:val="007E5A0E"/>
    <w:rsid w:val="007E6D35"/>
    <w:rsid w:val="007F27CC"/>
    <w:rsid w:val="007F3B18"/>
    <w:rsid w:val="007F4454"/>
    <w:rsid w:val="007F6DC4"/>
    <w:rsid w:val="007F7748"/>
    <w:rsid w:val="00803C79"/>
    <w:rsid w:val="00804587"/>
    <w:rsid w:val="008169B9"/>
    <w:rsid w:val="00817C09"/>
    <w:rsid w:val="00822082"/>
    <w:rsid w:val="008253C8"/>
    <w:rsid w:val="00827664"/>
    <w:rsid w:val="00827C06"/>
    <w:rsid w:val="008531DB"/>
    <w:rsid w:val="00854831"/>
    <w:rsid w:val="00857DEE"/>
    <w:rsid w:val="00880095"/>
    <w:rsid w:val="008A7BDD"/>
    <w:rsid w:val="008B4980"/>
    <w:rsid w:val="008C536E"/>
    <w:rsid w:val="008D61BD"/>
    <w:rsid w:val="008D7DCF"/>
    <w:rsid w:val="008E2C00"/>
    <w:rsid w:val="008E37FB"/>
    <w:rsid w:val="008F08FD"/>
    <w:rsid w:val="008F2B55"/>
    <w:rsid w:val="008F70B2"/>
    <w:rsid w:val="0090329F"/>
    <w:rsid w:val="00906019"/>
    <w:rsid w:val="00910C09"/>
    <w:rsid w:val="00913AD5"/>
    <w:rsid w:val="009213F0"/>
    <w:rsid w:val="00923D32"/>
    <w:rsid w:val="00931AF1"/>
    <w:rsid w:val="00941238"/>
    <w:rsid w:val="00941AD3"/>
    <w:rsid w:val="00943E0E"/>
    <w:rsid w:val="00947673"/>
    <w:rsid w:val="00950081"/>
    <w:rsid w:val="009561DD"/>
    <w:rsid w:val="009609D3"/>
    <w:rsid w:val="00961BBA"/>
    <w:rsid w:val="009624D7"/>
    <w:rsid w:val="00966672"/>
    <w:rsid w:val="009677AB"/>
    <w:rsid w:val="00967F15"/>
    <w:rsid w:val="00970D0D"/>
    <w:rsid w:val="009727E5"/>
    <w:rsid w:val="00975869"/>
    <w:rsid w:val="00977134"/>
    <w:rsid w:val="00982A01"/>
    <w:rsid w:val="0099195B"/>
    <w:rsid w:val="00995750"/>
    <w:rsid w:val="009959EE"/>
    <w:rsid w:val="009977F5"/>
    <w:rsid w:val="009A255C"/>
    <w:rsid w:val="009A5230"/>
    <w:rsid w:val="009B29F5"/>
    <w:rsid w:val="009B2A08"/>
    <w:rsid w:val="009B2F6D"/>
    <w:rsid w:val="009B4E46"/>
    <w:rsid w:val="009D0096"/>
    <w:rsid w:val="009D315A"/>
    <w:rsid w:val="009D3290"/>
    <w:rsid w:val="009D5573"/>
    <w:rsid w:val="009D7307"/>
    <w:rsid w:val="009E094F"/>
    <w:rsid w:val="009E4231"/>
    <w:rsid w:val="00A02242"/>
    <w:rsid w:val="00A0249F"/>
    <w:rsid w:val="00A02BD1"/>
    <w:rsid w:val="00A063F7"/>
    <w:rsid w:val="00A114A2"/>
    <w:rsid w:val="00A11A1D"/>
    <w:rsid w:val="00A14605"/>
    <w:rsid w:val="00A146E2"/>
    <w:rsid w:val="00A23733"/>
    <w:rsid w:val="00A479E5"/>
    <w:rsid w:val="00A549D9"/>
    <w:rsid w:val="00A549E7"/>
    <w:rsid w:val="00A6032A"/>
    <w:rsid w:val="00A606BC"/>
    <w:rsid w:val="00A63A30"/>
    <w:rsid w:val="00A72C12"/>
    <w:rsid w:val="00A737E4"/>
    <w:rsid w:val="00A755EC"/>
    <w:rsid w:val="00A823EE"/>
    <w:rsid w:val="00A85597"/>
    <w:rsid w:val="00A90143"/>
    <w:rsid w:val="00AA304F"/>
    <w:rsid w:val="00AB69C6"/>
    <w:rsid w:val="00AC0151"/>
    <w:rsid w:val="00AC2E08"/>
    <w:rsid w:val="00AC3D71"/>
    <w:rsid w:val="00AC4B6F"/>
    <w:rsid w:val="00AC639E"/>
    <w:rsid w:val="00AC6AB2"/>
    <w:rsid w:val="00AD0AEC"/>
    <w:rsid w:val="00AD0B75"/>
    <w:rsid w:val="00AD4BF5"/>
    <w:rsid w:val="00AD6F14"/>
    <w:rsid w:val="00AE1AED"/>
    <w:rsid w:val="00AE2193"/>
    <w:rsid w:val="00AF0B82"/>
    <w:rsid w:val="00AF760A"/>
    <w:rsid w:val="00B00736"/>
    <w:rsid w:val="00B03628"/>
    <w:rsid w:val="00B0650D"/>
    <w:rsid w:val="00B07720"/>
    <w:rsid w:val="00B102C5"/>
    <w:rsid w:val="00B1492B"/>
    <w:rsid w:val="00B171FF"/>
    <w:rsid w:val="00B2049C"/>
    <w:rsid w:val="00B30C35"/>
    <w:rsid w:val="00B30EFD"/>
    <w:rsid w:val="00B35E5A"/>
    <w:rsid w:val="00B36FB2"/>
    <w:rsid w:val="00B51D79"/>
    <w:rsid w:val="00B52E66"/>
    <w:rsid w:val="00B5418C"/>
    <w:rsid w:val="00B54BC7"/>
    <w:rsid w:val="00B679CE"/>
    <w:rsid w:val="00B71F27"/>
    <w:rsid w:val="00B7479D"/>
    <w:rsid w:val="00B759EA"/>
    <w:rsid w:val="00B965DD"/>
    <w:rsid w:val="00B97903"/>
    <w:rsid w:val="00BB5013"/>
    <w:rsid w:val="00BB79B6"/>
    <w:rsid w:val="00BC1527"/>
    <w:rsid w:val="00BC4F1F"/>
    <w:rsid w:val="00BD6167"/>
    <w:rsid w:val="00BE323D"/>
    <w:rsid w:val="00BF115A"/>
    <w:rsid w:val="00C176A2"/>
    <w:rsid w:val="00C21E22"/>
    <w:rsid w:val="00C35D36"/>
    <w:rsid w:val="00C411F0"/>
    <w:rsid w:val="00C452C5"/>
    <w:rsid w:val="00C50C5B"/>
    <w:rsid w:val="00C51184"/>
    <w:rsid w:val="00C51D30"/>
    <w:rsid w:val="00C526C6"/>
    <w:rsid w:val="00C54615"/>
    <w:rsid w:val="00C63CC0"/>
    <w:rsid w:val="00C668AF"/>
    <w:rsid w:val="00C6698A"/>
    <w:rsid w:val="00C67195"/>
    <w:rsid w:val="00C80C2F"/>
    <w:rsid w:val="00C83B3D"/>
    <w:rsid w:val="00C87E82"/>
    <w:rsid w:val="00C91EBD"/>
    <w:rsid w:val="00C92159"/>
    <w:rsid w:val="00C97C77"/>
    <w:rsid w:val="00CA1E3A"/>
    <w:rsid w:val="00CA3E4B"/>
    <w:rsid w:val="00CA447A"/>
    <w:rsid w:val="00CA6800"/>
    <w:rsid w:val="00CB1F6B"/>
    <w:rsid w:val="00CB21E0"/>
    <w:rsid w:val="00CB77A5"/>
    <w:rsid w:val="00CC21D5"/>
    <w:rsid w:val="00CC4164"/>
    <w:rsid w:val="00CC7987"/>
    <w:rsid w:val="00CC7E3E"/>
    <w:rsid w:val="00CD3865"/>
    <w:rsid w:val="00CD6E1F"/>
    <w:rsid w:val="00CF64CB"/>
    <w:rsid w:val="00CF792D"/>
    <w:rsid w:val="00D04159"/>
    <w:rsid w:val="00D267F0"/>
    <w:rsid w:val="00D26BB5"/>
    <w:rsid w:val="00D34B57"/>
    <w:rsid w:val="00D34CB4"/>
    <w:rsid w:val="00D51793"/>
    <w:rsid w:val="00D52224"/>
    <w:rsid w:val="00D53652"/>
    <w:rsid w:val="00D627A6"/>
    <w:rsid w:val="00D70619"/>
    <w:rsid w:val="00D7103F"/>
    <w:rsid w:val="00D72A75"/>
    <w:rsid w:val="00D778E6"/>
    <w:rsid w:val="00D825B3"/>
    <w:rsid w:val="00D83AE5"/>
    <w:rsid w:val="00D8541A"/>
    <w:rsid w:val="00D8648F"/>
    <w:rsid w:val="00D87693"/>
    <w:rsid w:val="00D92521"/>
    <w:rsid w:val="00DA150E"/>
    <w:rsid w:val="00DA4028"/>
    <w:rsid w:val="00DB2FD5"/>
    <w:rsid w:val="00DB4BF2"/>
    <w:rsid w:val="00DB5AF3"/>
    <w:rsid w:val="00DC0384"/>
    <w:rsid w:val="00DC370E"/>
    <w:rsid w:val="00DC572A"/>
    <w:rsid w:val="00DC7A66"/>
    <w:rsid w:val="00DD2774"/>
    <w:rsid w:val="00DD4BAB"/>
    <w:rsid w:val="00DD724F"/>
    <w:rsid w:val="00DE26A1"/>
    <w:rsid w:val="00DE2DFB"/>
    <w:rsid w:val="00DE3923"/>
    <w:rsid w:val="00DE43B6"/>
    <w:rsid w:val="00DF230E"/>
    <w:rsid w:val="00E00FB9"/>
    <w:rsid w:val="00E03BDC"/>
    <w:rsid w:val="00E06C4B"/>
    <w:rsid w:val="00E20644"/>
    <w:rsid w:val="00E208F2"/>
    <w:rsid w:val="00E26909"/>
    <w:rsid w:val="00E27417"/>
    <w:rsid w:val="00E30BEB"/>
    <w:rsid w:val="00E3131D"/>
    <w:rsid w:val="00E34456"/>
    <w:rsid w:val="00E40A35"/>
    <w:rsid w:val="00E47B68"/>
    <w:rsid w:val="00E506CE"/>
    <w:rsid w:val="00E54015"/>
    <w:rsid w:val="00E60950"/>
    <w:rsid w:val="00E6105E"/>
    <w:rsid w:val="00E61378"/>
    <w:rsid w:val="00E6662E"/>
    <w:rsid w:val="00E67656"/>
    <w:rsid w:val="00E70EE3"/>
    <w:rsid w:val="00E82BF9"/>
    <w:rsid w:val="00E8635A"/>
    <w:rsid w:val="00E87F48"/>
    <w:rsid w:val="00E9035A"/>
    <w:rsid w:val="00E979F6"/>
    <w:rsid w:val="00EA10D3"/>
    <w:rsid w:val="00EA1AEC"/>
    <w:rsid w:val="00EA7FD0"/>
    <w:rsid w:val="00EB6B32"/>
    <w:rsid w:val="00EC3FD4"/>
    <w:rsid w:val="00EC71EA"/>
    <w:rsid w:val="00ED1427"/>
    <w:rsid w:val="00ED2D80"/>
    <w:rsid w:val="00ED5056"/>
    <w:rsid w:val="00EE1424"/>
    <w:rsid w:val="00EE1F3A"/>
    <w:rsid w:val="00EF4BAD"/>
    <w:rsid w:val="00F045CB"/>
    <w:rsid w:val="00F06344"/>
    <w:rsid w:val="00F16D7F"/>
    <w:rsid w:val="00F21FCA"/>
    <w:rsid w:val="00F2409D"/>
    <w:rsid w:val="00F322FD"/>
    <w:rsid w:val="00F33880"/>
    <w:rsid w:val="00F34441"/>
    <w:rsid w:val="00F35A29"/>
    <w:rsid w:val="00F4168D"/>
    <w:rsid w:val="00F452CD"/>
    <w:rsid w:val="00F4760B"/>
    <w:rsid w:val="00F509DC"/>
    <w:rsid w:val="00F54FD7"/>
    <w:rsid w:val="00F607C4"/>
    <w:rsid w:val="00F65D55"/>
    <w:rsid w:val="00F73ECD"/>
    <w:rsid w:val="00F76BBE"/>
    <w:rsid w:val="00F82EEA"/>
    <w:rsid w:val="00F917C2"/>
    <w:rsid w:val="00F92848"/>
    <w:rsid w:val="00FA61E6"/>
    <w:rsid w:val="00FC3987"/>
    <w:rsid w:val="00FD0E9A"/>
    <w:rsid w:val="00FD2714"/>
    <w:rsid w:val="00FD7B4A"/>
    <w:rsid w:val="00FD7DA9"/>
    <w:rsid w:val="00FE097C"/>
    <w:rsid w:val="00FE6646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7F88C4-A55A-4A61-8F13-10E9AEA0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33"/>
    <w:rPr>
      <w:sz w:val="24"/>
      <w:szCs w:val="24"/>
      <w:lang w:val="en-GB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paragraph" w:styleId="EndnoteText">
    <w:name w:val="endnote text"/>
    <w:basedOn w:val="Normal"/>
    <w:semiHidden/>
    <w:rsid w:val="00EF4BAD"/>
    <w:rPr>
      <w:sz w:val="20"/>
      <w:szCs w:val="20"/>
    </w:rPr>
  </w:style>
  <w:style w:type="character" w:styleId="EndnoteReference">
    <w:name w:val="endnote reference"/>
    <w:semiHidden/>
    <w:rsid w:val="00EF4BAD"/>
    <w:rPr>
      <w:vertAlign w:val="superscript"/>
    </w:rPr>
  </w:style>
  <w:style w:type="character" w:customStyle="1" w:styleId="shorttext">
    <w:name w:val="short_text"/>
    <w:basedOn w:val="DefaultParagraphFont"/>
    <w:rsid w:val="00045169"/>
  </w:style>
  <w:style w:type="character" w:customStyle="1" w:styleId="hps">
    <w:name w:val="hps"/>
    <w:basedOn w:val="DefaultParagraphFont"/>
    <w:rsid w:val="00774823"/>
  </w:style>
  <w:style w:type="character" w:customStyle="1" w:styleId="longtext">
    <w:name w:val="long_text"/>
    <w:basedOn w:val="DefaultParagraphFont"/>
    <w:rsid w:val="007F3B18"/>
  </w:style>
  <w:style w:type="paragraph" w:customStyle="1" w:styleId="CarCar">
    <w:name w:val="Car Car"/>
    <w:basedOn w:val="Normal"/>
    <w:rsid w:val="00602D7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1">
    <w:name w:val="Char1"/>
    <w:basedOn w:val="Normal"/>
    <w:rsid w:val="004A397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4A3970"/>
    <w:rPr>
      <w:color w:val="0000FF"/>
      <w:u w:val="single"/>
    </w:rPr>
  </w:style>
  <w:style w:type="table" w:styleId="TableGrid">
    <w:name w:val="Table Grid"/>
    <w:basedOn w:val="TableNormal"/>
    <w:rsid w:val="004A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icon-text">
    <w:name w:val="gt-icon-text"/>
    <w:basedOn w:val="DefaultParagraphFont"/>
    <w:rsid w:val="00682912"/>
  </w:style>
  <w:style w:type="paragraph" w:customStyle="1" w:styleId="a">
    <w:basedOn w:val="Normal"/>
    <w:rsid w:val="00AF760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Pasus">
    <w:name w:val="Pasus"/>
    <w:basedOn w:val="Normal"/>
    <w:link w:val="PasusChar"/>
    <w:autoRedefine/>
    <w:rsid w:val="00BE323D"/>
    <w:pPr>
      <w:numPr>
        <w:ilvl w:val="1"/>
      </w:numPr>
      <w:tabs>
        <w:tab w:val="num" w:pos="1440"/>
      </w:tabs>
      <w:ind w:left="57" w:firstLine="684"/>
      <w:jc w:val="both"/>
    </w:pPr>
    <w:rPr>
      <w:rFonts w:ascii="Arial" w:hAnsi="Arial" w:cs="Arial"/>
      <w:sz w:val="20"/>
      <w:szCs w:val="20"/>
      <w:lang w:val="sr-Latn-CS"/>
    </w:rPr>
  </w:style>
  <w:style w:type="character" w:customStyle="1" w:styleId="PasusChar">
    <w:name w:val="Pasus Char"/>
    <w:link w:val="Pasus"/>
    <w:rsid w:val="00BE323D"/>
    <w:rPr>
      <w:rFonts w:ascii="Arial" w:hAnsi="Arial" w:cs="Arial"/>
      <w:lang w:val="sr-Latn-CS" w:eastAsia="en-US" w:bidi="ar-SA"/>
    </w:rPr>
  </w:style>
  <w:style w:type="character" w:customStyle="1" w:styleId="hpsalt-edited">
    <w:name w:val="hps alt-edited"/>
    <w:basedOn w:val="DefaultParagraphFont"/>
    <w:rsid w:val="006768AD"/>
  </w:style>
  <w:style w:type="character" w:customStyle="1" w:styleId="FootnoteTextChar">
    <w:name w:val="Footnote Text Char"/>
    <w:link w:val="FootnoteText"/>
    <w:uiPriority w:val="99"/>
    <w:semiHidden/>
    <w:rsid w:val="00267BAF"/>
  </w:style>
  <w:style w:type="paragraph" w:styleId="ListParagraph">
    <w:name w:val="List Paragraph"/>
    <w:basedOn w:val="Normal"/>
    <w:uiPriority w:val="34"/>
    <w:qFormat/>
    <w:rsid w:val="0092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dana.isailov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/sr-Cyrl/publikaci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ublikacije.stat.gov.rs/G2016/Pdf/G20162008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93B6-8D50-4DD5-9866-BB0745DA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3817</CharactersWithSpaces>
  <SharedDoc>false</SharedDoc>
  <HLinks>
    <vt:vector size="24" baseType="variant">
      <vt:variant>
        <vt:i4>4587632</vt:i4>
      </vt:variant>
      <vt:variant>
        <vt:i4>18</vt:i4>
      </vt:variant>
      <vt:variant>
        <vt:i4>0</vt:i4>
      </vt:variant>
      <vt:variant>
        <vt:i4>5</vt:i4>
      </vt:variant>
      <vt:variant>
        <vt:lpwstr>mailto:dusanka.dostanic@stat.gov.rs</vt:lpwstr>
      </vt:variant>
      <vt:variant>
        <vt:lpwstr/>
      </vt:variant>
      <vt:variant>
        <vt:i4>1048622</vt:i4>
      </vt:variant>
      <vt:variant>
        <vt:i4>15</vt:i4>
      </vt:variant>
      <vt:variant>
        <vt:i4>0</vt:i4>
      </vt:variant>
      <vt:variant>
        <vt:i4>5</vt:i4>
      </vt:variant>
      <vt:variant>
        <vt:lpwstr>mailto:neda.cukavac@stat.gov.rs</vt:lpwstr>
      </vt:variant>
      <vt:variant>
        <vt:lpwstr/>
      </vt:variant>
      <vt:variant>
        <vt:i4>2621498</vt:i4>
      </vt:variant>
      <vt:variant>
        <vt:i4>12</vt:i4>
      </vt:variant>
      <vt:variant>
        <vt:i4>0</vt:i4>
      </vt:variant>
      <vt:variant>
        <vt:i4>5</vt:i4>
      </vt:variant>
      <vt:variant>
        <vt:lpwstr>http://webrzs.stat.gov.rs/WebSite/Public/PageView.aspx?pKey=200</vt:lpwstr>
      </vt:variant>
      <vt:variant>
        <vt:lpwstr/>
      </vt:variant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http://webrzs.stat.gov.rs/WebSite/Public/PageView.aspx?pKey=201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a15vb08</dc:creator>
  <cp:keywords/>
  <cp:lastModifiedBy>Irena Dimic</cp:lastModifiedBy>
  <cp:revision>10</cp:revision>
  <cp:lastPrinted>2019-05-07T05:35:00Z</cp:lastPrinted>
  <dcterms:created xsi:type="dcterms:W3CDTF">2020-05-04T19:05:00Z</dcterms:created>
  <dcterms:modified xsi:type="dcterms:W3CDTF">2020-05-06T06:21:00Z</dcterms:modified>
</cp:coreProperties>
</file>