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27"/>
        <w:tblW w:w="5000" w:type="pct"/>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58"/>
        <w:gridCol w:w="5222"/>
        <w:gridCol w:w="3324"/>
      </w:tblGrid>
      <w:tr w:rsidR="00391A81" w:rsidRPr="003B485B" w:rsidTr="006A1222">
        <w:trPr>
          <w:cantSplit/>
          <w:trHeight w:val="631"/>
        </w:trPr>
        <w:tc>
          <w:tcPr>
            <w:tcW w:w="812" w:type="pct"/>
            <w:tcBorders>
              <w:top w:val="single" w:sz="12" w:space="0" w:color="808080"/>
              <w:left w:val="nil"/>
              <w:bottom w:val="nil"/>
            </w:tcBorders>
            <w:vAlign w:val="center"/>
          </w:tcPr>
          <w:p w:rsidR="00391A81" w:rsidRPr="003B485B" w:rsidRDefault="00391A81" w:rsidP="00391A81">
            <w:pPr>
              <w:jc w:val="center"/>
              <w:rPr>
                <w:rFonts w:cs="Arial"/>
                <w:b/>
                <w:bCs/>
              </w:rPr>
            </w:pPr>
            <w:r w:rsidRPr="003B485B">
              <w:rPr>
                <w:noProof/>
                <w:lang w:val="en-US"/>
              </w:rPr>
              <w:drawing>
                <wp:anchor distT="0" distB="0" distL="114300" distR="114300" simplePos="0" relativeHeight="251659264" behindDoc="0" locked="0" layoutInCell="1" allowOverlap="1" wp14:anchorId="7E60498B" wp14:editId="4EF243BE">
                  <wp:simplePos x="0" y="0"/>
                  <wp:positionH relativeFrom="character">
                    <wp:posOffset>0</wp:posOffset>
                  </wp:positionH>
                  <wp:positionV relativeFrom="line">
                    <wp:posOffset>0</wp:posOffset>
                  </wp:positionV>
                  <wp:extent cx="904875" cy="219075"/>
                  <wp:effectExtent l="0" t="0" r="0" b="0"/>
                  <wp:wrapNone/>
                  <wp:docPr id="16"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Pr="003B485B">
              <w:rPr>
                <w:rFonts w:cs="Arial"/>
                <w:b/>
                <w:bCs/>
                <w:noProof/>
                <w:lang w:val="en-US"/>
              </w:rPr>
              <mc:AlternateContent>
                <mc:Choice Requires="wps">
                  <w:drawing>
                    <wp:inline distT="0" distB="0" distL="0" distR="0" wp14:anchorId="3F1DBF98" wp14:editId="734BEF73">
                      <wp:extent cx="903605" cy="223520"/>
                      <wp:effectExtent l="0" t="0" r="2540" b="0"/>
                      <wp:docPr id="15"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360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2E7375" id="Rectangle 1" o:spid="_x0000_s1026" style="width:71.1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" filled="f" stroked="f">
                      <o:lock v:ext="edit" aspectratio="t"/>
                      <w10:anchorlock/>
                    </v:rect>
                  </w:pict>
                </mc:Fallback>
              </mc:AlternateContent>
            </w:r>
          </w:p>
        </w:tc>
        <w:tc>
          <w:tcPr>
            <w:tcW w:w="2559" w:type="pct"/>
            <w:tcBorders>
              <w:top w:val="single" w:sz="12" w:space="0" w:color="808080"/>
              <w:left w:val="nil"/>
              <w:bottom w:val="nil"/>
            </w:tcBorders>
            <w:vAlign w:val="center"/>
          </w:tcPr>
          <w:p w:rsidR="00391A81" w:rsidRPr="003B485B" w:rsidRDefault="00391A81" w:rsidP="00391A81">
            <w:pPr>
              <w:jc w:val="right"/>
              <w:rPr>
                <w:rFonts w:cs="Arial"/>
                <w:b/>
                <w:bCs/>
                <w:color w:val="808080"/>
              </w:rPr>
            </w:pPr>
          </w:p>
        </w:tc>
        <w:tc>
          <w:tcPr>
            <w:tcW w:w="0" w:type="auto"/>
            <w:tcBorders>
              <w:top w:val="single" w:sz="12" w:space="0" w:color="808080"/>
              <w:bottom w:val="nil"/>
              <w:right w:val="nil"/>
            </w:tcBorders>
            <w:vAlign w:val="center"/>
          </w:tcPr>
          <w:p w:rsidR="00391A81" w:rsidRPr="003B485B" w:rsidRDefault="00391A81" w:rsidP="00391A81">
            <w:pPr>
              <w:jc w:val="right"/>
              <w:rPr>
                <w:rFonts w:cs="Arial"/>
                <w:b/>
                <w:color w:val="808080"/>
              </w:rPr>
            </w:pPr>
            <w:r w:rsidRPr="003B485B">
              <w:rPr>
                <w:rFonts w:cs="Arial"/>
              </w:rPr>
              <w:t>ISSN 0353-9555</w:t>
            </w:r>
          </w:p>
        </w:tc>
      </w:tr>
      <w:tr w:rsidR="00391A81" w:rsidRPr="003B485B" w:rsidTr="00146319">
        <w:trPr>
          <w:cantSplit/>
          <w:trHeight w:val="836"/>
        </w:trPr>
        <w:tc>
          <w:tcPr>
            <w:tcW w:w="0" w:type="auto"/>
            <w:gridSpan w:val="2"/>
            <w:tcBorders>
              <w:top w:val="nil"/>
              <w:left w:val="nil"/>
              <w:right w:val="nil"/>
            </w:tcBorders>
            <w:vAlign w:val="center"/>
          </w:tcPr>
          <w:p w:rsidR="00391A81" w:rsidRPr="003B485B" w:rsidRDefault="00391A81" w:rsidP="00391A81">
            <w:pPr>
              <w:rPr>
                <w:rFonts w:cs="Arial"/>
                <w:color w:val="808080"/>
              </w:rPr>
            </w:pPr>
            <w:r w:rsidRPr="003B485B">
              <w:rPr>
                <w:rFonts w:cs="Arial"/>
                <w:b/>
                <w:bCs/>
                <w:color w:val="808080"/>
                <w:sz w:val="48"/>
                <w:szCs w:val="48"/>
              </w:rPr>
              <w:t>STATISTICAL RELEASE</w:t>
            </w:r>
          </w:p>
        </w:tc>
        <w:tc>
          <w:tcPr>
            <w:tcW w:w="0" w:type="auto"/>
            <w:tcBorders>
              <w:top w:val="nil"/>
              <w:left w:val="nil"/>
              <w:right w:val="nil"/>
            </w:tcBorders>
            <w:shd w:val="clear" w:color="auto" w:fill="auto"/>
            <w:vAlign w:val="center"/>
          </w:tcPr>
          <w:p w:rsidR="00391A81" w:rsidRPr="003B485B" w:rsidRDefault="00391A81" w:rsidP="00391A81">
            <w:pPr>
              <w:jc w:val="right"/>
              <w:rPr>
                <w:rFonts w:cs="Arial"/>
                <w:b/>
                <w:bCs/>
                <w:color w:val="808080"/>
                <w:sz w:val="12"/>
                <w:szCs w:val="12"/>
              </w:rPr>
            </w:pPr>
            <w:r w:rsidRPr="003B485B">
              <w:rPr>
                <w:rFonts w:cs="Arial"/>
                <w:b/>
                <w:bCs/>
                <w:color w:val="808080"/>
                <w:sz w:val="48"/>
                <w:szCs w:val="48"/>
              </w:rPr>
              <w:t>RS10</w:t>
            </w:r>
          </w:p>
        </w:tc>
      </w:tr>
      <w:tr w:rsidR="00391A81" w:rsidRPr="003B485B" w:rsidTr="00146319">
        <w:trPr>
          <w:cantSplit/>
          <w:trHeight w:hRule="exact" w:val="279"/>
        </w:trPr>
        <w:tc>
          <w:tcPr>
            <w:tcW w:w="0" w:type="auto"/>
            <w:gridSpan w:val="2"/>
            <w:tcBorders>
              <w:top w:val="nil"/>
              <w:left w:val="nil"/>
              <w:bottom w:val="nil"/>
              <w:right w:val="nil"/>
            </w:tcBorders>
            <w:vAlign w:val="center"/>
          </w:tcPr>
          <w:p w:rsidR="00391A81" w:rsidRPr="003B485B" w:rsidRDefault="00391A81" w:rsidP="00075BA9">
            <w:pPr>
              <w:rPr>
                <w:rFonts w:cs="Arial"/>
                <w:color w:val="FF0000"/>
              </w:rPr>
            </w:pPr>
            <w:r w:rsidRPr="003B485B">
              <w:rPr>
                <w:rFonts w:cs="Arial"/>
              </w:rPr>
              <w:t xml:space="preserve">Number </w:t>
            </w:r>
            <w:r w:rsidR="00075BA9" w:rsidRPr="003B485B">
              <w:rPr>
                <w:rFonts w:cs="Arial"/>
              </w:rPr>
              <w:t>051</w:t>
            </w:r>
            <w:r w:rsidR="007336AE" w:rsidRPr="003B485B">
              <w:rPr>
                <w:rFonts w:cs="Arial"/>
              </w:rPr>
              <w:t xml:space="preserve"> </w:t>
            </w:r>
            <w:r w:rsidRPr="003B485B">
              <w:rPr>
                <w:rFonts w:cs="Arial"/>
              </w:rPr>
              <w:t>- Year LX</w:t>
            </w:r>
            <w:r w:rsidR="005D0BFA" w:rsidRPr="003B485B">
              <w:rPr>
                <w:rFonts w:cs="Arial"/>
              </w:rPr>
              <w:t>X</w:t>
            </w:r>
            <w:r w:rsidRPr="003B485B">
              <w:rPr>
                <w:rFonts w:cs="Arial"/>
              </w:rPr>
              <w:t xml:space="preserve">, </w:t>
            </w:r>
            <w:r w:rsidR="00783A4C" w:rsidRPr="003B485B">
              <w:rPr>
                <w:rFonts w:cs="Arial"/>
              </w:rPr>
              <w:t>2</w:t>
            </w:r>
            <w:r w:rsidR="00075BA9" w:rsidRPr="003B485B">
              <w:rPr>
                <w:rFonts w:cs="Arial"/>
              </w:rPr>
              <w:t>8</w:t>
            </w:r>
            <w:r w:rsidRPr="003B485B">
              <w:rPr>
                <w:rFonts w:cs="Arial"/>
              </w:rPr>
              <w:t>/</w:t>
            </w:r>
            <w:r w:rsidR="00783A4C" w:rsidRPr="003B485B">
              <w:rPr>
                <w:rFonts w:cs="Arial"/>
              </w:rPr>
              <w:t>02</w:t>
            </w:r>
            <w:r w:rsidRPr="003B485B">
              <w:rPr>
                <w:rFonts w:cs="Arial"/>
              </w:rPr>
              <w:t>/20</w:t>
            </w:r>
            <w:r w:rsidR="00783A4C" w:rsidRPr="003B485B">
              <w:rPr>
                <w:rFonts w:cs="Arial"/>
              </w:rPr>
              <w:t>20</w:t>
            </w:r>
          </w:p>
        </w:tc>
        <w:tc>
          <w:tcPr>
            <w:tcW w:w="0" w:type="auto"/>
            <w:tcBorders>
              <w:left w:val="nil"/>
              <w:bottom w:val="nil"/>
              <w:right w:val="nil"/>
            </w:tcBorders>
            <w:shd w:val="clear" w:color="auto" w:fill="auto"/>
            <w:vAlign w:val="center"/>
          </w:tcPr>
          <w:p w:rsidR="00391A81" w:rsidRPr="003B485B" w:rsidRDefault="00391A81" w:rsidP="00391A81">
            <w:pPr>
              <w:jc w:val="right"/>
              <w:rPr>
                <w:rFonts w:cs="Arial"/>
                <w:b/>
                <w:bCs/>
                <w:color w:val="FF0000"/>
                <w:sz w:val="48"/>
                <w:szCs w:val="48"/>
              </w:rPr>
            </w:pPr>
          </w:p>
        </w:tc>
      </w:tr>
      <w:tr w:rsidR="00391A81" w:rsidRPr="003B485B" w:rsidTr="00146319">
        <w:trPr>
          <w:cantSplit/>
          <w:trHeight w:val="411"/>
        </w:trPr>
        <w:tc>
          <w:tcPr>
            <w:tcW w:w="0" w:type="auto"/>
            <w:gridSpan w:val="2"/>
            <w:tcBorders>
              <w:top w:val="nil"/>
              <w:left w:val="nil"/>
              <w:bottom w:val="single" w:sz="12" w:space="0" w:color="808080"/>
              <w:right w:val="nil"/>
            </w:tcBorders>
            <w:vAlign w:val="center"/>
          </w:tcPr>
          <w:p w:rsidR="00391A81" w:rsidRPr="003B485B" w:rsidRDefault="00391A81" w:rsidP="00391A81">
            <w:pPr>
              <w:rPr>
                <w:rFonts w:cs="Arial"/>
                <w:b/>
                <w:bCs/>
                <w:sz w:val="24"/>
                <w:szCs w:val="24"/>
              </w:rPr>
            </w:pPr>
            <w:r w:rsidRPr="003B485B">
              <w:rPr>
                <w:rFonts w:cs="Arial"/>
                <w:b/>
                <w:bCs/>
                <w:sz w:val="24"/>
                <w:szCs w:val="24"/>
              </w:rPr>
              <w:t xml:space="preserve">Labour Force Survey </w:t>
            </w:r>
          </w:p>
        </w:tc>
        <w:tc>
          <w:tcPr>
            <w:tcW w:w="0" w:type="auto"/>
            <w:tcBorders>
              <w:top w:val="nil"/>
              <w:left w:val="nil"/>
              <w:bottom w:val="single" w:sz="12" w:space="0" w:color="808080"/>
              <w:right w:val="nil"/>
            </w:tcBorders>
            <w:vAlign w:val="center"/>
          </w:tcPr>
          <w:p w:rsidR="00391A81" w:rsidRPr="003B485B" w:rsidRDefault="00391A81" w:rsidP="00075BA9">
            <w:pPr>
              <w:jc w:val="right"/>
              <w:rPr>
                <w:rFonts w:cs="Arial"/>
                <w:b/>
                <w:bCs/>
              </w:rPr>
            </w:pPr>
            <w:r w:rsidRPr="003B485B">
              <w:rPr>
                <w:rFonts w:cs="Arial"/>
              </w:rPr>
              <w:t>SERB</w:t>
            </w:r>
            <w:r w:rsidR="00075BA9" w:rsidRPr="003B485B">
              <w:rPr>
                <w:rFonts w:cs="Arial"/>
              </w:rPr>
              <w:t>051</w:t>
            </w:r>
            <w:r w:rsidR="007336AE" w:rsidRPr="003B485B">
              <w:rPr>
                <w:rFonts w:cs="Arial"/>
              </w:rPr>
              <w:t xml:space="preserve"> </w:t>
            </w:r>
            <w:r w:rsidRPr="003B485B">
              <w:rPr>
                <w:rFonts w:cs="Arial"/>
              </w:rPr>
              <w:t xml:space="preserve">RS10 </w:t>
            </w:r>
            <w:r w:rsidR="00075BA9" w:rsidRPr="003B485B">
              <w:rPr>
                <w:rFonts w:cs="Arial"/>
              </w:rPr>
              <w:t>280220</w:t>
            </w:r>
          </w:p>
        </w:tc>
      </w:tr>
    </w:tbl>
    <w:p w:rsidR="00391A81" w:rsidRPr="003B485B" w:rsidRDefault="00391A81" w:rsidP="00F20EB9">
      <w:pPr>
        <w:spacing w:before="600" w:after="480"/>
        <w:jc w:val="center"/>
        <w:rPr>
          <w:rFonts w:cs="Arial"/>
          <w:b/>
          <w:bCs/>
          <w:sz w:val="24"/>
          <w:szCs w:val="24"/>
        </w:rPr>
      </w:pPr>
      <w:r w:rsidRPr="003B485B">
        <w:rPr>
          <w:rFonts w:cs="Arial"/>
          <w:b/>
          <w:bCs/>
          <w:sz w:val="24"/>
          <w:szCs w:val="24"/>
        </w:rPr>
        <w:t xml:space="preserve">Labour Force Survey, </w:t>
      </w:r>
      <w:r w:rsidR="00810978" w:rsidRPr="003B485B">
        <w:rPr>
          <w:rFonts w:cs="Arial"/>
          <w:b/>
          <w:bCs/>
          <w:sz w:val="24"/>
          <w:szCs w:val="24"/>
        </w:rPr>
        <w:t>I</w:t>
      </w:r>
      <w:r w:rsidR="00783A4C" w:rsidRPr="003B485B">
        <w:rPr>
          <w:rFonts w:cs="Arial"/>
          <w:b/>
          <w:bCs/>
          <w:sz w:val="24"/>
          <w:szCs w:val="24"/>
        </w:rPr>
        <w:t>V</w:t>
      </w:r>
      <w:r w:rsidRPr="003B485B">
        <w:rPr>
          <w:rFonts w:cs="Arial"/>
          <w:b/>
          <w:bCs/>
          <w:sz w:val="24"/>
          <w:szCs w:val="24"/>
        </w:rPr>
        <w:t xml:space="preserve"> quarter 201</w:t>
      </w:r>
      <w:r w:rsidR="00077879" w:rsidRPr="003B485B">
        <w:rPr>
          <w:rFonts w:cs="Arial"/>
          <w:b/>
          <w:bCs/>
          <w:sz w:val="24"/>
          <w:szCs w:val="24"/>
        </w:rPr>
        <w:t>9</w:t>
      </w:r>
    </w:p>
    <w:p w:rsidR="00391A81" w:rsidRPr="003B485B" w:rsidRDefault="00391A81" w:rsidP="00F7497D">
      <w:pPr>
        <w:pStyle w:val="NormalWeb"/>
        <w:spacing w:beforeLines="0" w:before="120" w:afterLines="0" w:after="120" w:line="264" w:lineRule="auto"/>
        <w:ind w:firstLine="403"/>
        <w:jc w:val="both"/>
        <w:rPr>
          <w:rFonts w:ascii="Arial" w:hAnsi="Arial" w:cs="Arial"/>
          <w:lang w:val="en-GB"/>
        </w:rPr>
      </w:pPr>
      <w:r w:rsidRPr="003B485B">
        <w:rPr>
          <w:rFonts w:ascii="Arial" w:hAnsi="Arial" w:cs="Arial"/>
          <w:lang w:val="en-GB"/>
        </w:rPr>
        <w:t xml:space="preserve">In the </w:t>
      </w:r>
      <w:r w:rsidR="00007669" w:rsidRPr="003B485B">
        <w:rPr>
          <w:rFonts w:ascii="Arial" w:hAnsi="Arial" w:cs="Arial"/>
          <w:lang w:val="en-GB"/>
        </w:rPr>
        <w:t>fourth</w:t>
      </w:r>
      <w:r w:rsidRPr="003B485B">
        <w:rPr>
          <w:rFonts w:ascii="Arial" w:hAnsi="Arial" w:cs="Arial"/>
          <w:lang w:val="en-GB"/>
        </w:rPr>
        <w:t xml:space="preserve"> quarter of 201</w:t>
      </w:r>
      <w:r w:rsidR="00077879" w:rsidRPr="003B485B">
        <w:rPr>
          <w:rFonts w:ascii="Arial" w:hAnsi="Arial" w:cs="Arial"/>
          <w:lang w:val="en-GB"/>
        </w:rPr>
        <w:t>9</w:t>
      </w:r>
      <w:r w:rsidRPr="003B485B">
        <w:rPr>
          <w:rFonts w:ascii="Arial" w:hAnsi="Arial" w:cs="Arial"/>
          <w:lang w:val="en-GB"/>
        </w:rPr>
        <w:t>, number of the employed amounted to 2 </w:t>
      </w:r>
      <w:r w:rsidR="00077879" w:rsidRPr="003B485B">
        <w:rPr>
          <w:rFonts w:ascii="Arial" w:hAnsi="Arial" w:cs="Arial"/>
          <w:lang w:val="en-GB"/>
        </w:rPr>
        <w:t>9</w:t>
      </w:r>
      <w:r w:rsidR="00F1064B" w:rsidRPr="003B485B">
        <w:rPr>
          <w:rFonts w:ascii="Arial" w:hAnsi="Arial" w:cs="Arial"/>
          <w:lang w:val="en-GB"/>
        </w:rPr>
        <w:t>38</w:t>
      </w:r>
      <w:r w:rsidRPr="003B485B">
        <w:rPr>
          <w:rFonts w:ascii="Arial" w:hAnsi="Arial" w:cs="Arial"/>
          <w:lang w:val="en-GB"/>
        </w:rPr>
        <w:t> </w:t>
      </w:r>
      <w:r w:rsidR="00007669" w:rsidRPr="003B485B">
        <w:rPr>
          <w:rFonts w:ascii="Arial" w:hAnsi="Arial" w:cs="Arial"/>
          <w:lang w:val="en-GB"/>
        </w:rPr>
        <w:t>2</w:t>
      </w:r>
      <w:r w:rsidRPr="003B485B">
        <w:rPr>
          <w:rFonts w:ascii="Arial" w:hAnsi="Arial" w:cs="Arial"/>
          <w:lang w:val="en-GB"/>
        </w:rPr>
        <w:t xml:space="preserve">00, and number of the unemployed to </w:t>
      </w:r>
      <w:r w:rsidR="00077879" w:rsidRPr="003B485B">
        <w:rPr>
          <w:rFonts w:ascii="Arial" w:hAnsi="Arial" w:cs="Arial"/>
          <w:lang w:val="en-GB"/>
        </w:rPr>
        <w:t>3</w:t>
      </w:r>
      <w:r w:rsidR="00007669" w:rsidRPr="003B485B">
        <w:rPr>
          <w:rFonts w:ascii="Arial" w:hAnsi="Arial" w:cs="Arial"/>
          <w:lang w:val="en-GB"/>
        </w:rPr>
        <w:t>14</w:t>
      </w:r>
      <w:r w:rsidRPr="003B485B">
        <w:rPr>
          <w:rFonts w:ascii="Arial" w:hAnsi="Arial" w:cs="Arial"/>
          <w:lang w:val="en-GB"/>
        </w:rPr>
        <w:t> </w:t>
      </w:r>
      <w:r w:rsidR="00007669" w:rsidRPr="003B485B">
        <w:rPr>
          <w:rFonts w:ascii="Arial" w:hAnsi="Arial" w:cs="Arial"/>
          <w:lang w:val="en-GB"/>
        </w:rPr>
        <w:t>1</w:t>
      </w:r>
      <w:r w:rsidRPr="003B485B">
        <w:rPr>
          <w:rFonts w:ascii="Arial" w:hAnsi="Arial" w:cs="Arial"/>
          <w:lang w:val="en-GB"/>
        </w:rPr>
        <w:t>00. Employment rate</w:t>
      </w:r>
      <w:r w:rsidR="00901882" w:rsidRPr="003B485B">
        <w:rPr>
          <w:rFonts w:ascii="Arial" w:hAnsi="Arial" w:cs="Arial"/>
          <w:lang w:val="en-GB"/>
        </w:rPr>
        <w:t xml:space="preserve"> for the </w:t>
      </w:r>
      <w:r w:rsidR="001156FD" w:rsidRPr="003B485B">
        <w:rPr>
          <w:rFonts w:ascii="Arial" w:hAnsi="Arial" w:cs="Arial"/>
          <w:lang w:val="en-GB"/>
        </w:rPr>
        <w:t xml:space="preserve">mentioned </w:t>
      </w:r>
      <w:r w:rsidR="00901882" w:rsidRPr="003B485B">
        <w:rPr>
          <w:rFonts w:ascii="Arial" w:hAnsi="Arial" w:cs="Arial"/>
          <w:lang w:val="en-GB"/>
        </w:rPr>
        <w:t xml:space="preserve">period </w:t>
      </w:r>
      <w:r w:rsidRPr="003B485B">
        <w:rPr>
          <w:rFonts w:ascii="Arial" w:hAnsi="Arial" w:cs="Arial"/>
          <w:lang w:val="en-GB"/>
        </w:rPr>
        <w:t>amount</w:t>
      </w:r>
      <w:r w:rsidR="001156FD" w:rsidRPr="003B485B">
        <w:rPr>
          <w:rFonts w:ascii="Arial" w:hAnsi="Arial" w:cs="Arial"/>
          <w:lang w:val="en-GB"/>
        </w:rPr>
        <w:t>ed</w:t>
      </w:r>
      <w:r w:rsidRPr="003B485B">
        <w:rPr>
          <w:rFonts w:ascii="Arial" w:hAnsi="Arial" w:cs="Arial"/>
          <w:lang w:val="en-GB"/>
        </w:rPr>
        <w:t xml:space="preserve"> to 4</w:t>
      </w:r>
      <w:r w:rsidR="00077879" w:rsidRPr="003B485B">
        <w:rPr>
          <w:rFonts w:ascii="Arial" w:hAnsi="Arial" w:cs="Arial"/>
          <w:lang w:val="en-GB"/>
        </w:rPr>
        <w:t>9</w:t>
      </w:r>
      <w:r w:rsidRPr="003B485B">
        <w:rPr>
          <w:rFonts w:ascii="Arial" w:hAnsi="Arial" w:cs="Arial"/>
          <w:lang w:val="en-GB"/>
        </w:rPr>
        <w:t>.</w:t>
      </w:r>
      <w:r w:rsidR="00007669" w:rsidRPr="003B485B">
        <w:rPr>
          <w:rFonts w:ascii="Arial" w:hAnsi="Arial" w:cs="Arial"/>
          <w:lang w:val="en-GB"/>
        </w:rPr>
        <w:t>7</w:t>
      </w:r>
      <w:r w:rsidRPr="003B485B">
        <w:rPr>
          <w:rFonts w:ascii="Arial" w:hAnsi="Arial" w:cs="Arial"/>
          <w:lang w:val="en-GB"/>
        </w:rPr>
        <w:t>%</w:t>
      </w:r>
      <w:r w:rsidR="00A92DE7" w:rsidRPr="003B485B">
        <w:rPr>
          <w:rFonts w:ascii="Arial" w:hAnsi="Arial" w:cs="Arial"/>
          <w:lang w:val="en-GB"/>
        </w:rPr>
        <w:t>,</w:t>
      </w:r>
      <w:r w:rsidR="00901882" w:rsidRPr="003B485B">
        <w:rPr>
          <w:rFonts w:ascii="Arial" w:hAnsi="Arial" w:cs="Arial"/>
          <w:lang w:val="en-GB"/>
        </w:rPr>
        <w:t xml:space="preserve"> while unemployment rate, in the same period, had the value</w:t>
      </w:r>
      <w:r w:rsidR="001156FD" w:rsidRPr="003B485B">
        <w:rPr>
          <w:rFonts w:ascii="Arial" w:hAnsi="Arial" w:cs="Arial"/>
          <w:lang w:val="en-GB"/>
        </w:rPr>
        <w:t xml:space="preserve"> of</w:t>
      </w:r>
      <w:r w:rsidR="00901882" w:rsidRPr="003B485B">
        <w:rPr>
          <w:rFonts w:ascii="Arial" w:hAnsi="Arial" w:cs="Arial"/>
          <w:lang w:val="en-GB"/>
        </w:rPr>
        <w:t xml:space="preserve"> </w:t>
      </w:r>
      <w:r w:rsidR="00F1064B" w:rsidRPr="003B485B">
        <w:rPr>
          <w:rFonts w:ascii="Arial" w:hAnsi="Arial" w:cs="Arial"/>
          <w:lang w:val="en-GB"/>
        </w:rPr>
        <w:t>9</w:t>
      </w:r>
      <w:r w:rsidR="00901882" w:rsidRPr="003B485B">
        <w:rPr>
          <w:rFonts w:ascii="Arial" w:hAnsi="Arial" w:cs="Arial"/>
          <w:lang w:val="en-GB"/>
        </w:rPr>
        <w:t>.</w:t>
      </w:r>
      <w:r w:rsidR="00007669" w:rsidRPr="003B485B">
        <w:rPr>
          <w:rFonts w:ascii="Arial" w:hAnsi="Arial" w:cs="Arial"/>
          <w:lang w:val="en-GB"/>
        </w:rPr>
        <w:t>7</w:t>
      </w:r>
      <w:r w:rsidR="00901882" w:rsidRPr="003B485B">
        <w:rPr>
          <w:rFonts w:ascii="Arial" w:hAnsi="Arial" w:cs="Arial"/>
          <w:lang w:val="en-GB"/>
        </w:rPr>
        <w:t>%</w:t>
      </w:r>
      <w:r w:rsidR="00FB2E36" w:rsidRPr="003B485B">
        <w:rPr>
          <w:rFonts w:ascii="Arial" w:hAnsi="Arial" w:cs="Arial"/>
          <w:lang w:val="en-GB"/>
        </w:rPr>
        <w:t xml:space="preserve">. </w:t>
      </w:r>
    </w:p>
    <w:p w:rsidR="00391A81" w:rsidRPr="003B485B" w:rsidRDefault="00391A81" w:rsidP="00F20EB9">
      <w:pPr>
        <w:pStyle w:val="NormalWeb"/>
        <w:spacing w:beforeLines="0" w:before="480" w:afterLines="0"/>
        <w:jc w:val="center"/>
        <w:rPr>
          <w:rFonts w:ascii="Arial" w:hAnsi="Arial" w:cs="Arial"/>
          <w:lang w:val="en-GB"/>
        </w:rPr>
      </w:pPr>
      <w:r w:rsidRPr="003B485B">
        <w:rPr>
          <w:rFonts w:ascii="Arial" w:hAnsi="Arial" w:cs="Arial"/>
          <w:bCs/>
          <w:lang w:val="en-GB"/>
        </w:rPr>
        <w:t xml:space="preserve">Graph </w:t>
      </w:r>
      <w:proofErr w:type="gramStart"/>
      <w:r w:rsidRPr="003B485B">
        <w:rPr>
          <w:rFonts w:ascii="Arial" w:hAnsi="Arial" w:cs="Arial"/>
          <w:bCs/>
          <w:lang w:val="en-GB"/>
        </w:rPr>
        <w:t>1</w:t>
      </w:r>
      <w:r w:rsidR="00F20EB9" w:rsidRPr="003B485B">
        <w:rPr>
          <w:rFonts w:ascii="Arial" w:hAnsi="Arial" w:cs="Arial"/>
          <w:bCs/>
          <w:lang w:val="en-GB"/>
        </w:rPr>
        <w:t xml:space="preserve"> </w:t>
      </w:r>
      <w:r w:rsidRPr="003B485B">
        <w:rPr>
          <w:rFonts w:ascii="Arial" w:hAnsi="Arial" w:cs="Arial"/>
          <w:lang w:val="en-GB"/>
        </w:rPr>
        <w:t xml:space="preserve"> </w:t>
      </w:r>
      <w:r w:rsidR="00007669" w:rsidRPr="003B485B">
        <w:rPr>
          <w:rFonts w:ascii="Arial" w:hAnsi="Arial" w:cs="Arial"/>
          <w:lang w:val="en-GB"/>
        </w:rPr>
        <w:t>E</w:t>
      </w:r>
      <w:r w:rsidRPr="003B485B">
        <w:rPr>
          <w:rFonts w:ascii="Arial" w:hAnsi="Arial" w:cs="Arial"/>
          <w:lang w:val="en-GB"/>
        </w:rPr>
        <w:t>mployment</w:t>
      </w:r>
      <w:proofErr w:type="gramEnd"/>
      <w:r w:rsidRPr="003B485B">
        <w:rPr>
          <w:rFonts w:ascii="Arial" w:hAnsi="Arial" w:cs="Arial"/>
          <w:lang w:val="en-GB"/>
        </w:rPr>
        <w:t>/unemployment rates (in %), population 15+, 2014-201</w:t>
      </w:r>
      <w:r w:rsidR="008F5D88" w:rsidRPr="003B485B">
        <w:rPr>
          <w:rFonts w:ascii="Arial" w:hAnsi="Arial" w:cs="Arial"/>
          <w:lang w:val="en-GB"/>
        </w:rPr>
        <w:t>9</w:t>
      </w:r>
      <w:r w:rsidRPr="003B485B">
        <w:rPr>
          <w:rFonts w:ascii="Arial" w:hAnsi="Arial" w:cs="Arial"/>
          <w:lang w:val="en-GB"/>
        </w:rPr>
        <w:t xml:space="preserve"> </w:t>
      </w:r>
    </w:p>
    <w:p w:rsidR="00E263C3" w:rsidRPr="003B485B" w:rsidRDefault="00783A4C" w:rsidP="00AE37FB">
      <w:pPr>
        <w:jc w:val="center"/>
        <w:rPr>
          <w:rFonts w:cs="Arial"/>
        </w:rPr>
      </w:pPr>
      <w:r w:rsidRPr="003B485B">
        <w:rPr>
          <w:rFonts w:cs="Arial"/>
          <w:noProof/>
          <w:lang w:val="en-US"/>
        </w:rPr>
        <w:drawing>
          <wp:inline distT="0" distB="0" distL="0" distR="0">
            <wp:extent cx="6478337" cy="292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7256"/>
                    <a:stretch/>
                  </pic:blipFill>
                  <pic:spPr bwMode="auto">
                    <a:xfrm>
                      <a:off x="0" y="0"/>
                      <a:ext cx="6479540" cy="2922178"/>
                    </a:xfrm>
                    <a:prstGeom prst="rect">
                      <a:avLst/>
                    </a:prstGeom>
                    <a:noFill/>
                    <a:ln>
                      <a:noFill/>
                    </a:ln>
                    <a:extLst>
                      <a:ext uri="{53640926-AAD7-44D8-BBD7-CCE9431645EC}">
                        <a14:shadowObscured xmlns:a14="http://schemas.microsoft.com/office/drawing/2010/main"/>
                      </a:ext>
                    </a:extLst>
                  </pic:spPr>
                </pic:pic>
              </a:graphicData>
            </a:graphic>
          </wp:inline>
        </w:drawing>
      </w:r>
    </w:p>
    <w:p w:rsidR="00F1064B" w:rsidRPr="003B485B" w:rsidRDefault="00F1064B" w:rsidP="00F20EB9">
      <w:pPr>
        <w:spacing w:before="480" w:after="120" w:line="264" w:lineRule="auto"/>
        <w:jc w:val="both"/>
        <w:rPr>
          <w:rStyle w:val="Heading1Char"/>
          <w:rFonts w:ascii="Arial" w:hAnsi="Arial" w:cs="Arial"/>
          <w:b w:val="0"/>
          <w:i/>
          <w:color w:val="2E74B5"/>
          <w:sz w:val="22"/>
          <w:szCs w:val="22"/>
          <w:lang w:val="en-GB"/>
        </w:rPr>
      </w:pPr>
      <w:r w:rsidRPr="003B485B">
        <w:rPr>
          <w:rStyle w:val="Heading1Char"/>
          <w:rFonts w:ascii="Arial" w:hAnsi="Arial" w:cs="Arial"/>
          <w:b w:val="0"/>
          <w:iCs/>
          <w:color w:val="2E74B5"/>
          <w:sz w:val="22"/>
          <w:szCs w:val="22"/>
          <w:lang w:val="en-GB"/>
        </w:rPr>
        <w:t>Comparison with the same quarter of the previous year</w:t>
      </w:r>
      <w:r w:rsidRPr="003B485B">
        <w:rPr>
          <w:rStyle w:val="Heading1Char"/>
          <w:rFonts w:ascii="Arial" w:hAnsi="Arial" w:cs="Arial"/>
          <w:b w:val="0"/>
          <w:i/>
          <w:color w:val="2E74B5"/>
          <w:sz w:val="22"/>
          <w:szCs w:val="22"/>
          <w:lang w:val="en-GB"/>
        </w:rPr>
        <w:t xml:space="preserve"> </w:t>
      </w:r>
    </w:p>
    <w:p w:rsidR="00F1064B" w:rsidRPr="003B485B" w:rsidRDefault="00F1064B" w:rsidP="00F1064B">
      <w:pPr>
        <w:pStyle w:val="NormalWeb"/>
        <w:spacing w:beforeLines="0" w:before="120" w:afterLines="0" w:after="120" w:line="288" w:lineRule="auto"/>
        <w:ind w:firstLine="403"/>
        <w:jc w:val="both"/>
        <w:rPr>
          <w:rFonts w:ascii="Arial" w:eastAsia="Times New Roman" w:hAnsi="Arial" w:cs="Arial"/>
          <w:lang w:val="en-GB"/>
        </w:rPr>
      </w:pPr>
      <w:r w:rsidRPr="003B485B">
        <w:rPr>
          <w:rFonts w:ascii="Arial" w:eastAsia="Times New Roman" w:hAnsi="Arial" w:cs="Arial"/>
          <w:lang w:val="en-GB"/>
        </w:rPr>
        <w:t xml:space="preserve">Inter-annual increase of the number of the employed amounted to </w:t>
      </w:r>
      <w:r w:rsidR="00007669" w:rsidRPr="003B485B">
        <w:rPr>
          <w:rFonts w:ascii="Arial" w:eastAsia="Times New Roman" w:hAnsi="Arial" w:cs="Arial"/>
          <w:lang w:val="en-GB"/>
        </w:rPr>
        <w:t>120</w:t>
      </w:r>
      <w:r w:rsidR="003B485B">
        <w:rPr>
          <w:rFonts w:ascii="Arial" w:eastAsia="Times New Roman" w:hAnsi="Arial" w:cs="Arial"/>
          <w:lang w:val="en-GB"/>
        </w:rPr>
        <w:t> </w:t>
      </w:r>
      <w:r w:rsidR="00007669" w:rsidRPr="003B485B">
        <w:rPr>
          <w:rFonts w:ascii="Arial" w:eastAsia="Times New Roman" w:hAnsi="Arial" w:cs="Arial"/>
          <w:lang w:val="en-GB"/>
        </w:rPr>
        <w:t>900</w:t>
      </w:r>
      <w:r w:rsidR="00D84671" w:rsidRPr="003B485B">
        <w:rPr>
          <w:rFonts w:ascii="Arial" w:eastAsia="Times New Roman" w:hAnsi="Arial" w:cs="Arial"/>
          <w:lang w:val="en-GB"/>
        </w:rPr>
        <w:t xml:space="preserve">, while </w:t>
      </w:r>
      <w:r w:rsidR="00007669" w:rsidRPr="003B485B">
        <w:rPr>
          <w:rFonts w:ascii="Arial" w:eastAsia="Times New Roman" w:hAnsi="Arial" w:cs="Arial"/>
          <w:lang w:val="en-GB"/>
        </w:rPr>
        <w:t xml:space="preserve">the number of the unemployed decreased by 102 500 persons. </w:t>
      </w:r>
    </w:p>
    <w:p w:rsidR="00007669" w:rsidRPr="003B485B" w:rsidRDefault="00007669" w:rsidP="00007669">
      <w:pPr>
        <w:spacing w:before="120" w:after="120" w:line="264" w:lineRule="auto"/>
        <w:ind w:firstLine="403"/>
        <w:jc w:val="both"/>
        <w:rPr>
          <w:rFonts w:cs="Arial"/>
        </w:rPr>
      </w:pPr>
      <w:r w:rsidRPr="003B485B">
        <w:rPr>
          <w:rFonts w:cs="Arial"/>
        </w:rPr>
        <w:t>Employment rate increase</w:t>
      </w:r>
      <w:r w:rsidR="00D84671" w:rsidRPr="003B485B">
        <w:rPr>
          <w:rFonts w:cs="Arial"/>
        </w:rPr>
        <w:t>d</w:t>
      </w:r>
      <w:r w:rsidRPr="003B485B">
        <w:rPr>
          <w:rFonts w:cs="Arial"/>
        </w:rPr>
        <w:t xml:space="preserve"> by 2.3 percentage points (p.</w:t>
      </w:r>
      <w:r w:rsidR="008720FA">
        <w:rPr>
          <w:rFonts w:cs="Arial"/>
        </w:rPr>
        <w:t xml:space="preserve"> </w:t>
      </w:r>
      <w:r w:rsidRPr="003B485B">
        <w:rPr>
          <w:rFonts w:cs="Arial"/>
        </w:rPr>
        <w:t>p.) on inter-annual level, and unemployment rate decreased by 3.2 p.</w:t>
      </w:r>
      <w:r w:rsidR="008720FA">
        <w:rPr>
          <w:rFonts w:cs="Arial"/>
        </w:rPr>
        <w:t xml:space="preserve"> </w:t>
      </w:r>
      <w:r w:rsidRPr="003B485B">
        <w:rPr>
          <w:rFonts w:cs="Arial"/>
        </w:rPr>
        <w:t xml:space="preserve">p. </w:t>
      </w:r>
    </w:p>
    <w:p w:rsidR="00D84671" w:rsidRPr="003B485B" w:rsidRDefault="00D84671" w:rsidP="00D84671">
      <w:pPr>
        <w:pStyle w:val="NormalWeb"/>
        <w:spacing w:beforeLines="0" w:before="120" w:afterLines="0" w:after="120" w:line="288" w:lineRule="auto"/>
        <w:ind w:firstLine="403"/>
        <w:jc w:val="both"/>
        <w:rPr>
          <w:rFonts w:ascii="Arial" w:eastAsia="Times New Roman" w:hAnsi="Arial" w:cs="Arial"/>
          <w:lang w:val="en-GB"/>
        </w:rPr>
      </w:pPr>
      <w:r w:rsidRPr="003B485B">
        <w:rPr>
          <w:rFonts w:ascii="Arial" w:eastAsia="Times New Roman" w:hAnsi="Arial" w:cs="Arial"/>
          <w:lang w:val="en-GB"/>
        </w:rPr>
        <w:t xml:space="preserve">Employment increase in the fourth quarter 2019 relative to the same period last year was almost equal in all regions of Serbia, being more dominant in the </w:t>
      </w:r>
      <w:r w:rsidR="00135A4A">
        <w:rPr>
          <w:rFonts w:ascii="Arial" w:eastAsia="Times New Roman" w:hAnsi="Arial" w:cs="Arial"/>
          <w:lang w:val="en-GB"/>
        </w:rPr>
        <w:t xml:space="preserve">age </w:t>
      </w:r>
      <w:r w:rsidRPr="003B485B">
        <w:rPr>
          <w:rFonts w:ascii="Arial" w:eastAsia="Times New Roman" w:hAnsi="Arial" w:cs="Arial"/>
          <w:lang w:val="en-GB"/>
        </w:rPr>
        <w:t xml:space="preserve">group of over 45, as well as regarding persons with secondary education. </w:t>
      </w:r>
    </w:p>
    <w:p w:rsidR="00D84671" w:rsidRPr="003B485B" w:rsidRDefault="00D84671" w:rsidP="00D84671">
      <w:pPr>
        <w:pStyle w:val="NormalWeb"/>
        <w:spacing w:beforeLines="0" w:before="120" w:afterLines="0" w:after="120"/>
        <w:ind w:firstLine="403"/>
        <w:jc w:val="both"/>
        <w:rPr>
          <w:rFonts w:ascii="Arial" w:eastAsia="Times New Roman" w:hAnsi="Arial" w:cs="Arial"/>
          <w:lang w:val="en-GB"/>
        </w:rPr>
      </w:pPr>
      <w:r w:rsidRPr="003B485B">
        <w:rPr>
          <w:rFonts w:ascii="Arial" w:eastAsia="Times New Roman" w:hAnsi="Arial" w:cs="Arial"/>
          <w:lang w:val="en-GB"/>
        </w:rPr>
        <w:t>Formal employment was increased by 111 500, out of which by 97 400 in non-agricultural activities. Informal employment increased by 9 400 persons, primarily in agriculture</w:t>
      </w:r>
      <w:r w:rsidR="003B485B">
        <w:rPr>
          <w:rStyle w:val="FootnoteReference"/>
          <w:rFonts w:ascii="Arial" w:eastAsia="Times New Roman" w:hAnsi="Arial" w:cs="Arial"/>
          <w:lang w:val="en-GB"/>
        </w:rPr>
        <w:footnoteReference w:id="1"/>
      </w:r>
      <w:r w:rsidRPr="003B485B">
        <w:rPr>
          <w:rFonts w:ascii="Arial" w:eastAsia="Times New Roman" w:hAnsi="Arial" w:cs="Arial"/>
          <w:lang w:val="en-GB"/>
        </w:rPr>
        <w:t xml:space="preserve"> (by 8 700 persons). </w:t>
      </w:r>
    </w:p>
    <w:p w:rsidR="00D84671" w:rsidRPr="003B485B" w:rsidRDefault="00D84671" w:rsidP="00D84671">
      <w:pPr>
        <w:pStyle w:val="NormalWeb"/>
        <w:spacing w:beforeLines="0" w:before="120" w:afterLines="0" w:after="120"/>
        <w:ind w:firstLine="403"/>
        <w:jc w:val="both"/>
        <w:rPr>
          <w:rFonts w:ascii="Arial" w:eastAsia="Times New Roman" w:hAnsi="Arial" w:cs="Arial"/>
          <w:lang w:val="en-GB"/>
        </w:rPr>
      </w:pPr>
      <w:r w:rsidRPr="003B485B">
        <w:rPr>
          <w:rFonts w:ascii="Arial" w:eastAsia="Times New Roman" w:hAnsi="Arial" w:cs="Arial"/>
          <w:lang w:val="en-GB"/>
        </w:rPr>
        <w:t xml:space="preserve">The greatest employment increase was recorded in the section of Manufacturing, meaning that in the fourth quarter 2019 there were by 34 500 more persons employed if compared with the last year, and in the section of Construction, where increase of employment was recorded by about 14 800.  </w:t>
      </w:r>
    </w:p>
    <w:p w:rsidR="00D84671" w:rsidRPr="003B485B" w:rsidRDefault="00D84671" w:rsidP="00D84671">
      <w:pPr>
        <w:pStyle w:val="NormalWeb"/>
        <w:spacing w:beforeLines="0" w:before="120" w:afterLines="0" w:after="120"/>
        <w:ind w:firstLine="397"/>
        <w:jc w:val="both"/>
        <w:rPr>
          <w:rFonts w:ascii="Arial" w:eastAsia="Times New Roman" w:hAnsi="Arial" w:cs="Arial"/>
          <w:lang w:val="en-GB"/>
        </w:rPr>
      </w:pPr>
      <w:r w:rsidRPr="003B485B">
        <w:rPr>
          <w:rFonts w:ascii="Arial" w:eastAsia="Times New Roman" w:hAnsi="Arial" w:cs="Arial"/>
          <w:lang w:val="en-GB"/>
        </w:rPr>
        <w:t xml:space="preserve">In the fourth quarter 2019, </w:t>
      </w:r>
      <w:proofErr w:type="gramStart"/>
      <w:r w:rsidRPr="003B485B">
        <w:rPr>
          <w:rFonts w:ascii="Arial" w:eastAsia="Times New Roman" w:hAnsi="Arial" w:cs="Arial"/>
          <w:lang w:val="en-GB"/>
        </w:rPr>
        <w:t>long term</w:t>
      </w:r>
      <w:proofErr w:type="gramEnd"/>
      <w:r w:rsidRPr="003B485B">
        <w:rPr>
          <w:rFonts w:ascii="Arial" w:eastAsia="Times New Roman" w:hAnsi="Arial" w:cs="Arial"/>
          <w:lang w:val="en-GB"/>
        </w:rPr>
        <w:t xml:space="preserve"> unemployment rate amounted to 5.8% and was lower by 1.5 p.</w:t>
      </w:r>
      <w:r w:rsidR="00135A4A">
        <w:rPr>
          <w:rFonts w:ascii="Arial" w:eastAsia="Times New Roman" w:hAnsi="Arial" w:cs="Arial"/>
          <w:lang w:val="en-GB"/>
        </w:rPr>
        <w:t xml:space="preserve"> </w:t>
      </w:r>
      <w:r w:rsidRPr="003B485B">
        <w:rPr>
          <w:rFonts w:ascii="Arial" w:eastAsia="Times New Roman" w:hAnsi="Arial" w:cs="Arial"/>
          <w:lang w:val="en-GB"/>
        </w:rPr>
        <w:t xml:space="preserve">p. relative to the same period last year. </w:t>
      </w:r>
    </w:p>
    <w:p w:rsidR="00D84671" w:rsidRPr="003B485B" w:rsidRDefault="00D84671" w:rsidP="00D84671">
      <w:pPr>
        <w:pStyle w:val="NormalWeb"/>
        <w:spacing w:beforeLines="0" w:before="120" w:afterLines="0" w:after="120"/>
        <w:ind w:firstLine="403"/>
        <w:jc w:val="both"/>
        <w:rPr>
          <w:rFonts w:ascii="Arial" w:eastAsia="Times New Roman" w:hAnsi="Arial" w:cs="Arial"/>
          <w:lang w:val="en-GB"/>
        </w:rPr>
      </w:pPr>
      <w:r w:rsidRPr="003B485B">
        <w:rPr>
          <w:rFonts w:ascii="Arial" w:eastAsia="Times New Roman" w:hAnsi="Arial" w:cs="Arial"/>
          <w:lang w:val="en-GB"/>
        </w:rPr>
        <w:lastRenderedPageBreak/>
        <w:t>In the mentioned period, increased employment in the population of the young, aged 15-24 was somewhat smaller relative to the total population. Employment rate of the young increased by 1.7 p.</w:t>
      </w:r>
      <w:r w:rsidR="007A661B">
        <w:rPr>
          <w:rFonts w:ascii="Arial" w:eastAsia="Times New Roman" w:hAnsi="Arial" w:cs="Arial"/>
          <w:lang w:val="en-GB"/>
        </w:rPr>
        <w:t xml:space="preserve"> </w:t>
      </w:r>
      <w:r w:rsidRPr="003B485B">
        <w:rPr>
          <w:rFonts w:ascii="Arial" w:eastAsia="Times New Roman" w:hAnsi="Arial" w:cs="Arial"/>
          <w:lang w:val="en-GB"/>
        </w:rPr>
        <w:t>p. relative to the fourth quarter 2018, amounting to 22.4% in the fourth quarter 2019. Unemployment rate of the young was lower by 2.8 p.p.</w:t>
      </w:r>
      <w:r w:rsidR="005D3D9D" w:rsidRPr="003B485B">
        <w:rPr>
          <w:rFonts w:ascii="Arial" w:eastAsia="Times New Roman" w:hAnsi="Arial" w:cs="Arial"/>
          <w:lang w:val="en-GB"/>
        </w:rPr>
        <w:t xml:space="preserve">, amounting to 29.1%. </w:t>
      </w:r>
      <w:r w:rsidRPr="003B485B">
        <w:rPr>
          <w:rFonts w:ascii="Arial" w:eastAsia="Times New Roman" w:hAnsi="Arial" w:cs="Arial"/>
          <w:lang w:val="en-GB"/>
        </w:rPr>
        <w:t xml:space="preserve">  </w:t>
      </w:r>
    </w:p>
    <w:p w:rsidR="005D3D9D" w:rsidRPr="003B485B" w:rsidRDefault="005D3D9D" w:rsidP="005D3D9D">
      <w:pPr>
        <w:pStyle w:val="NormalWeb"/>
        <w:spacing w:beforeLines="0" w:before="120" w:afterLines="0" w:after="120"/>
        <w:ind w:firstLine="403"/>
        <w:jc w:val="both"/>
        <w:rPr>
          <w:rFonts w:ascii="Arial" w:eastAsia="Times New Roman" w:hAnsi="Arial" w:cs="Arial"/>
          <w:lang w:val="en-GB"/>
        </w:rPr>
      </w:pPr>
      <w:r w:rsidRPr="003B485B">
        <w:rPr>
          <w:rFonts w:ascii="Arial" w:eastAsia="Times New Roman" w:hAnsi="Arial" w:cs="Arial"/>
          <w:lang w:val="en-GB"/>
        </w:rPr>
        <w:t xml:space="preserve">Share of the young population aged 15-24 </w:t>
      </w:r>
      <w:r w:rsidRPr="003B485B">
        <w:rPr>
          <w:rFonts w:ascii="Arial" w:hAnsi="Arial" w:cs="Arial"/>
          <w:lang w:val="en-GB"/>
        </w:rPr>
        <w:t xml:space="preserve">who neither work nor attend school in total population, the </w:t>
      </w:r>
      <w:proofErr w:type="gramStart"/>
      <w:r w:rsidRPr="003B485B">
        <w:rPr>
          <w:rFonts w:ascii="Arial" w:hAnsi="Arial" w:cs="Arial"/>
          <w:lang w:val="en-GB"/>
        </w:rPr>
        <w:t>so called</w:t>
      </w:r>
      <w:proofErr w:type="gramEnd"/>
      <w:r w:rsidRPr="003B485B">
        <w:rPr>
          <w:rFonts w:ascii="Arial" w:hAnsi="Arial" w:cs="Arial"/>
          <w:lang w:val="en-GB"/>
        </w:rPr>
        <w:t xml:space="preserve"> NEET rate, amounted to 15.9%, being by 1.8 p.</w:t>
      </w:r>
      <w:r w:rsidR="007A661B">
        <w:rPr>
          <w:rFonts w:ascii="Arial" w:hAnsi="Arial" w:cs="Arial"/>
          <w:lang w:val="en-GB"/>
        </w:rPr>
        <w:t xml:space="preserve"> </w:t>
      </w:r>
      <w:r w:rsidRPr="003B485B">
        <w:rPr>
          <w:rFonts w:ascii="Arial" w:hAnsi="Arial" w:cs="Arial"/>
          <w:lang w:val="en-GB"/>
        </w:rPr>
        <w:t xml:space="preserve">p. less than in the same quarter 2018.  </w:t>
      </w:r>
    </w:p>
    <w:p w:rsidR="005D3D9D" w:rsidRPr="003B485B" w:rsidRDefault="005D3D9D" w:rsidP="005D3D9D">
      <w:pPr>
        <w:pStyle w:val="NormalWeb"/>
        <w:spacing w:beforeLines="0" w:before="120" w:afterLines="0" w:after="120"/>
        <w:ind w:firstLine="403"/>
        <w:jc w:val="both"/>
        <w:rPr>
          <w:rFonts w:ascii="Arial" w:hAnsi="Arial" w:cs="Arial"/>
          <w:lang w:val="en-GB"/>
        </w:rPr>
      </w:pPr>
      <w:r w:rsidRPr="003B485B">
        <w:rPr>
          <w:rFonts w:ascii="Arial" w:hAnsi="Arial" w:cs="Arial"/>
          <w:lang w:val="en-GB"/>
        </w:rPr>
        <w:t>NEET rate</w:t>
      </w:r>
      <w:r w:rsidRPr="003B485B">
        <w:rPr>
          <w:rFonts w:ascii="Arial" w:eastAsia="Times New Roman" w:hAnsi="Arial" w:cs="Arial"/>
          <w:lang w:val="en-GB"/>
        </w:rPr>
        <w:t xml:space="preserve"> of the young aged 15-29 was on the level of 19.3%, i.e. by 1.5 p.</w:t>
      </w:r>
      <w:r w:rsidR="007A661B">
        <w:rPr>
          <w:rFonts w:ascii="Arial" w:eastAsia="Times New Roman" w:hAnsi="Arial" w:cs="Arial"/>
          <w:lang w:val="en-GB"/>
        </w:rPr>
        <w:t xml:space="preserve"> </w:t>
      </w:r>
      <w:r w:rsidRPr="003B485B">
        <w:rPr>
          <w:rFonts w:ascii="Arial" w:eastAsia="Times New Roman" w:hAnsi="Arial" w:cs="Arial"/>
          <w:lang w:val="en-GB"/>
        </w:rPr>
        <w:t xml:space="preserve">p. less than in the same quarter last year.   </w:t>
      </w:r>
    </w:p>
    <w:p w:rsidR="005D3D9D" w:rsidRPr="003B485B" w:rsidRDefault="005D3D9D" w:rsidP="005D3D9D">
      <w:pPr>
        <w:spacing w:before="120" w:after="120" w:line="288" w:lineRule="auto"/>
        <w:ind w:firstLine="403"/>
        <w:jc w:val="both"/>
        <w:rPr>
          <w:rFonts w:cs="Arial"/>
        </w:rPr>
      </w:pPr>
      <w:r w:rsidRPr="003B485B">
        <w:rPr>
          <w:rFonts w:cs="Arial"/>
        </w:rPr>
        <w:t xml:space="preserve">Percentage of the young aged 18-24 who, in the best case, completed primary school and did not continue further education (in the last four weeks did not attend school or training) was decreased relative to the same period 2018, and amounted to 6.9%.  </w:t>
      </w:r>
    </w:p>
    <w:p w:rsidR="00D945F0" w:rsidRPr="003B485B" w:rsidRDefault="00D945F0" w:rsidP="00D945F0">
      <w:pPr>
        <w:spacing w:before="480" w:after="120" w:line="264" w:lineRule="auto"/>
        <w:jc w:val="both"/>
        <w:rPr>
          <w:rStyle w:val="Heading1Char"/>
          <w:rFonts w:ascii="Arial" w:hAnsi="Arial" w:cs="Arial"/>
          <w:b w:val="0"/>
          <w:color w:val="2E74B5"/>
          <w:sz w:val="22"/>
          <w:szCs w:val="22"/>
          <w:lang w:val="en-GB"/>
        </w:rPr>
      </w:pPr>
      <w:r w:rsidRPr="003B485B">
        <w:rPr>
          <w:rStyle w:val="Heading1Char"/>
          <w:rFonts w:ascii="Arial" w:hAnsi="Arial" w:cs="Arial"/>
          <w:b w:val="0"/>
          <w:color w:val="2E74B5"/>
          <w:sz w:val="22"/>
          <w:szCs w:val="22"/>
          <w:lang w:val="en-GB"/>
        </w:rPr>
        <w:t xml:space="preserve">Comparison with the previous quarter </w:t>
      </w:r>
    </w:p>
    <w:p w:rsidR="00D945F0" w:rsidRPr="003B485B" w:rsidRDefault="005D3D9D" w:rsidP="00D945F0">
      <w:pPr>
        <w:pStyle w:val="NormalWeb"/>
        <w:spacing w:beforeLines="0" w:before="120" w:afterLines="0" w:after="120" w:line="288" w:lineRule="auto"/>
        <w:ind w:firstLine="403"/>
        <w:jc w:val="both"/>
        <w:rPr>
          <w:rFonts w:ascii="Arial" w:eastAsia="Times New Roman" w:hAnsi="Arial" w:cs="Arial"/>
          <w:lang w:val="en-GB"/>
        </w:rPr>
      </w:pPr>
      <w:r w:rsidRPr="003B485B">
        <w:rPr>
          <w:rFonts w:ascii="Arial" w:eastAsia="Times New Roman" w:hAnsi="Arial" w:cs="Arial"/>
          <w:lang w:val="en-GB"/>
        </w:rPr>
        <w:t>In scope of the total employment that remained on the same level in the fourth as in the third quarter, recorded was increased formal em</w:t>
      </w:r>
      <w:r w:rsidR="00DA1920" w:rsidRPr="003B485B">
        <w:rPr>
          <w:rFonts w:ascii="Arial" w:eastAsia="Times New Roman" w:hAnsi="Arial" w:cs="Arial"/>
          <w:lang w:val="en-GB"/>
        </w:rPr>
        <w:t>pl</w:t>
      </w:r>
      <w:r w:rsidRPr="003B485B">
        <w:rPr>
          <w:rFonts w:ascii="Arial" w:eastAsia="Times New Roman" w:hAnsi="Arial" w:cs="Arial"/>
          <w:lang w:val="en-GB"/>
        </w:rPr>
        <w:t>o</w:t>
      </w:r>
      <w:r w:rsidR="00DA1920" w:rsidRPr="003B485B">
        <w:rPr>
          <w:rFonts w:ascii="Arial" w:eastAsia="Times New Roman" w:hAnsi="Arial" w:cs="Arial"/>
          <w:lang w:val="en-GB"/>
        </w:rPr>
        <w:t>y</w:t>
      </w:r>
      <w:r w:rsidRPr="003B485B">
        <w:rPr>
          <w:rFonts w:ascii="Arial" w:eastAsia="Times New Roman" w:hAnsi="Arial" w:cs="Arial"/>
          <w:lang w:val="en-GB"/>
        </w:rPr>
        <w:t>ment</w:t>
      </w:r>
      <w:r w:rsidR="00DA1920" w:rsidRPr="003B485B">
        <w:rPr>
          <w:rFonts w:ascii="Arial" w:eastAsia="Times New Roman" w:hAnsi="Arial" w:cs="Arial"/>
          <w:lang w:val="en-GB"/>
        </w:rPr>
        <w:t xml:space="preserve"> (by 33 100), primarily in non-agricultural activities and decreased informal employment (by 33 600), primarily in agriculture. </w:t>
      </w:r>
    </w:p>
    <w:p w:rsidR="00DA1920" w:rsidRPr="003B485B" w:rsidRDefault="00FC67CF" w:rsidP="00FC67CF">
      <w:pPr>
        <w:pStyle w:val="NormalWeb"/>
        <w:spacing w:beforeLines="0" w:before="120" w:afterLines="0" w:after="120"/>
        <w:ind w:firstLine="403"/>
        <w:jc w:val="both"/>
        <w:rPr>
          <w:rFonts w:ascii="Arial" w:eastAsia="Times New Roman" w:hAnsi="Arial" w:cs="Arial"/>
          <w:lang w:val="en-GB"/>
        </w:rPr>
      </w:pPr>
      <w:r w:rsidRPr="003B485B">
        <w:rPr>
          <w:rFonts w:ascii="Arial" w:eastAsia="Times New Roman" w:hAnsi="Arial" w:cs="Arial"/>
          <w:lang w:val="en-GB"/>
        </w:rPr>
        <w:t>Increase</w:t>
      </w:r>
      <w:r w:rsidR="00DA1920" w:rsidRPr="003B485B">
        <w:rPr>
          <w:rFonts w:ascii="Arial" w:eastAsia="Times New Roman" w:hAnsi="Arial" w:cs="Arial"/>
          <w:lang w:val="en-GB"/>
        </w:rPr>
        <w:t>d</w:t>
      </w:r>
      <w:r w:rsidRPr="003B485B">
        <w:rPr>
          <w:rFonts w:ascii="Arial" w:eastAsia="Times New Roman" w:hAnsi="Arial" w:cs="Arial"/>
          <w:lang w:val="en-GB"/>
        </w:rPr>
        <w:t xml:space="preserve"> employment was noted only </w:t>
      </w:r>
      <w:r w:rsidR="007A661B">
        <w:rPr>
          <w:rFonts w:ascii="Arial" w:eastAsia="Times New Roman" w:hAnsi="Arial" w:cs="Arial"/>
          <w:lang w:val="en-GB"/>
        </w:rPr>
        <w:t xml:space="preserve">in </w:t>
      </w:r>
      <w:proofErr w:type="spellStart"/>
      <w:r w:rsidRPr="003B485B">
        <w:rPr>
          <w:rFonts w:ascii="Arial" w:eastAsia="Times New Roman" w:hAnsi="Arial" w:cs="Arial"/>
          <w:lang w:val="en-GB"/>
        </w:rPr>
        <w:t>Beogradski</w:t>
      </w:r>
      <w:proofErr w:type="spellEnd"/>
      <w:r w:rsidRPr="003B485B">
        <w:rPr>
          <w:rFonts w:ascii="Arial" w:eastAsia="Times New Roman" w:hAnsi="Arial" w:cs="Arial"/>
          <w:lang w:val="en-GB"/>
        </w:rPr>
        <w:t xml:space="preserve"> region </w:t>
      </w:r>
      <w:r w:rsidR="00DA1920" w:rsidRPr="003B485B">
        <w:rPr>
          <w:rFonts w:ascii="Arial" w:eastAsia="Times New Roman" w:hAnsi="Arial" w:cs="Arial"/>
          <w:lang w:val="en-GB"/>
        </w:rPr>
        <w:t>(</w:t>
      </w:r>
      <w:r w:rsidRPr="003B485B">
        <w:rPr>
          <w:rFonts w:ascii="Arial" w:eastAsia="Times New Roman" w:hAnsi="Arial" w:cs="Arial"/>
          <w:lang w:val="en-GB"/>
        </w:rPr>
        <w:t>by 18 300</w:t>
      </w:r>
      <w:r w:rsidR="00DA1920" w:rsidRPr="003B485B">
        <w:rPr>
          <w:rFonts w:ascii="Arial" w:eastAsia="Times New Roman" w:hAnsi="Arial" w:cs="Arial"/>
          <w:lang w:val="en-GB"/>
        </w:rPr>
        <w:t>)</w:t>
      </w:r>
      <w:r w:rsidRPr="003B485B">
        <w:rPr>
          <w:rFonts w:ascii="Arial" w:eastAsia="Times New Roman" w:hAnsi="Arial" w:cs="Arial"/>
          <w:lang w:val="en-GB"/>
        </w:rPr>
        <w:t xml:space="preserve">, due to move of inactive to the category of </w:t>
      </w:r>
      <w:r w:rsidR="00DA1920" w:rsidRPr="003B485B">
        <w:rPr>
          <w:rFonts w:ascii="Arial" w:eastAsia="Times New Roman" w:hAnsi="Arial" w:cs="Arial"/>
          <w:lang w:val="en-GB"/>
        </w:rPr>
        <w:t xml:space="preserve">the </w:t>
      </w:r>
      <w:r w:rsidRPr="003B485B">
        <w:rPr>
          <w:rFonts w:ascii="Arial" w:eastAsia="Times New Roman" w:hAnsi="Arial" w:cs="Arial"/>
          <w:lang w:val="en-GB"/>
        </w:rPr>
        <w:t xml:space="preserve">employed, knowing that number of </w:t>
      </w:r>
      <w:r w:rsidR="00DA1920" w:rsidRPr="003B485B">
        <w:rPr>
          <w:rFonts w:ascii="Arial" w:eastAsia="Times New Roman" w:hAnsi="Arial" w:cs="Arial"/>
          <w:lang w:val="en-GB"/>
        </w:rPr>
        <w:t xml:space="preserve">the </w:t>
      </w:r>
      <w:r w:rsidR="00CA4936" w:rsidRPr="003B485B">
        <w:rPr>
          <w:rFonts w:ascii="Arial" w:eastAsia="Times New Roman" w:hAnsi="Arial" w:cs="Arial"/>
          <w:lang w:val="en-GB"/>
        </w:rPr>
        <w:t>un</w:t>
      </w:r>
      <w:r w:rsidRPr="003B485B">
        <w:rPr>
          <w:rFonts w:ascii="Arial" w:eastAsia="Times New Roman" w:hAnsi="Arial" w:cs="Arial"/>
          <w:lang w:val="en-GB"/>
        </w:rPr>
        <w:t xml:space="preserve">employed remained almost unchanged. </w:t>
      </w:r>
    </w:p>
    <w:p w:rsidR="00DA1920" w:rsidRPr="003B485B" w:rsidRDefault="00DA1920" w:rsidP="00FC67CF">
      <w:pPr>
        <w:pStyle w:val="NormalWeb"/>
        <w:spacing w:beforeLines="0" w:before="120" w:afterLines="0" w:after="120"/>
        <w:ind w:firstLine="403"/>
        <w:jc w:val="both"/>
        <w:rPr>
          <w:rFonts w:ascii="Arial" w:eastAsia="Times New Roman" w:hAnsi="Arial" w:cs="Arial"/>
          <w:lang w:val="en-GB"/>
        </w:rPr>
      </w:pPr>
      <w:r w:rsidRPr="003B485B">
        <w:rPr>
          <w:rFonts w:ascii="Arial" w:eastAsia="Times New Roman" w:hAnsi="Arial" w:cs="Arial"/>
          <w:lang w:val="en-GB"/>
        </w:rPr>
        <w:t xml:space="preserve">Number of employed females </w:t>
      </w:r>
      <w:r w:rsidR="00FC67CF" w:rsidRPr="003B485B">
        <w:rPr>
          <w:rFonts w:ascii="Arial" w:eastAsia="Times New Roman" w:hAnsi="Arial" w:cs="Arial"/>
          <w:lang w:val="en-GB"/>
        </w:rPr>
        <w:t xml:space="preserve">increased by 13 100, while number of employed males decreased by 13 600. </w:t>
      </w:r>
    </w:p>
    <w:p w:rsidR="00DA1920" w:rsidRPr="003B485B" w:rsidRDefault="00DA1920" w:rsidP="00DA1920">
      <w:pPr>
        <w:pStyle w:val="NormalWeb"/>
        <w:spacing w:beforeLines="0" w:before="120" w:afterLines="0" w:after="120"/>
        <w:ind w:firstLine="403"/>
        <w:jc w:val="both"/>
        <w:rPr>
          <w:rFonts w:ascii="Arial" w:eastAsia="Times New Roman" w:hAnsi="Arial" w:cs="Arial"/>
          <w:lang w:val="en-GB"/>
        </w:rPr>
      </w:pPr>
      <w:r w:rsidRPr="003B485B">
        <w:rPr>
          <w:rFonts w:ascii="Arial" w:eastAsia="Times New Roman" w:hAnsi="Arial" w:cs="Arial"/>
          <w:lang w:val="en-GB"/>
        </w:rPr>
        <w:t xml:space="preserve">The greatest increase was recorded in the section of Wholesale and retail trade and repair of motor vehicles, where, in the fourth quarter 2019, employment increased by 34 300 relative to the third quarter 2019. On the other hand, </w:t>
      </w:r>
      <w:r w:rsidR="007A661B">
        <w:rPr>
          <w:rFonts w:ascii="Arial" w:eastAsia="Times New Roman" w:hAnsi="Arial" w:cs="Arial"/>
          <w:lang w:val="en-GB"/>
        </w:rPr>
        <w:t xml:space="preserve">the greatest </w:t>
      </w:r>
      <w:r w:rsidRPr="003B485B">
        <w:rPr>
          <w:rFonts w:ascii="Arial" w:eastAsia="Times New Roman" w:hAnsi="Arial" w:cs="Arial"/>
          <w:lang w:val="en-GB"/>
        </w:rPr>
        <w:t xml:space="preserve">decreased </w:t>
      </w:r>
      <w:r w:rsidR="007A661B">
        <w:rPr>
          <w:rFonts w:ascii="Arial" w:eastAsia="Times New Roman" w:hAnsi="Arial" w:cs="Arial"/>
          <w:lang w:val="en-GB"/>
        </w:rPr>
        <w:t xml:space="preserve">of </w:t>
      </w:r>
      <w:bookmarkStart w:id="0" w:name="_GoBack"/>
      <w:bookmarkEnd w:id="0"/>
      <w:r w:rsidRPr="003B485B">
        <w:rPr>
          <w:rFonts w:ascii="Arial" w:eastAsia="Times New Roman" w:hAnsi="Arial" w:cs="Arial"/>
          <w:lang w:val="en-GB"/>
        </w:rPr>
        <w:t xml:space="preserve">employment was recorded in the section of Agriculture, forestry and fishing, where the number of the employed decreased by 38 200 relative to the third quarter, being in accordance with the end of the seasonal works in agriculture. </w:t>
      </w:r>
    </w:p>
    <w:p w:rsidR="00DA1920" w:rsidRPr="003B485B" w:rsidRDefault="00DA1920" w:rsidP="00DA1920">
      <w:pPr>
        <w:pStyle w:val="NormalWeb"/>
        <w:spacing w:beforeLines="0" w:before="120" w:afterLines="0" w:after="120"/>
        <w:ind w:firstLine="403"/>
        <w:jc w:val="both"/>
        <w:rPr>
          <w:rFonts w:ascii="Arial" w:eastAsia="Times New Roman" w:hAnsi="Arial" w:cs="Arial"/>
          <w:lang w:val="en-GB"/>
        </w:rPr>
      </w:pPr>
      <w:r w:rsidRPr="003B485B">
        <w:rPr>
          <w:rFonts w:ascii="Arial" w:eastAsia="Times New Roman" w:hAnsi="Arial" w:cs="Arial"/>
          <w:lang w:val="en-GB"/>
        </w:rPr>
        <w:t xml:space="preserve">Number of unemployed in the fourth quarter 2019 relative to the previous period increased by 5 700. Number of unemployed females decreased by 5 900, while the number of unemployed males increased by 11 600. In this period, only in Region </w:t>
      </w:r>
      <w:proofErr w:type="spellStart"/>
      <w:r w:rsidRPr="003B485B">
        <w:rPr>
          <w:rFonts w:ascii="Arial" w:eastAsia="Times New Roman" w:hAnsi="Arial" w:cs="Arial"/>
          <w:lang w:val="en-GB"/>
        </w:rPr>
        <w:t>Vojvodine</w:t>
      </w:r>
      <w:proofErr w:type="spellEnd"/>
      <w:r w:rsidRPr="003B485B">
        <w:rPr>
          <w:rFonts w:ascii="Arial" w:eastAsia="Times New Roman" w:hAnsi="Arial" w:cs="Arial"/>
          <w:lang w:val="en-GB"/>
        </w:rPr>
        <w:t xml:space="preserve">, number of unemployed decreased (by 2 300).   </w:t>
      </w:r>
    </w:p>
    <w:p w:rsidR="00DA1920" w:rsidRPr="003B485B" w:rsidRDefault="00DA1920" w:rsidP="00DA1920">
      <w:pPr>
        <w:pStyle w:val="NormalWeb"/>
        <w:spacing w:beforeLines="0" w:before="120" w:afterLines="0" w:after="120"/>
        <w:ind w:firstLine="403"/>
        <w:jc w:val="both"/>
        <w:rPr>
          <w:rFonts w:ascii="Arial" w:eastAsia="Times New Roman" w:hAnsi="Arial" w:cs="Arial"/>
          <w:lang w:val="en-GB"/>
        </w:rPr>
      </w:pPr>
      <w:r w:rsidRPr="003B485B">
        <w:rPr>
          <w:rFonts w:ascii="Arial" w:eastAsia="Times New Roman" w:hAnsi="Arial" w:cs="Arial"/>
          <w:lang w:val="en-GB"/>
        </w:rPr>
        <w:t xml:space="preserve">Decrease of inactive population by 12 500 in the fourth quarter relative to the third quarter 2019 is partially a consequence of increased activity (by 5 200), and partially due to decrease of total population aged 15 and over </w:t>
      </w:r>
      <w:r w:rsidR="006B565F" w:rsidRPr="003B485B">
        <w:rPr>
          <w:rFonts w:ascii="Arial" w:eastAsia="Times New Roman" w:hAnsi="Arial" w:cs="Arial"/>
          <w:lang w:val="en-GB"/>
        </w:rPr>
        <w:t>(</w:t>
      </w:r>
      <w:r w:rsidRPr="003B485B">
        <w:rPr>
          <w:rFonts w:ascii="Arial" w:eastAsia="Times New Roman" w:hAnsi="Arial" w:cs="Arial"/>
          <w:lang w:val="en-GB"/>
        </w:rPr>
        <w:t>by 7 300</w:t>
      </w:r>
      <w:r w:rsidR="006B565F" w:rsidRPr="003B485B">
        <w:rPr>
          <w:rFonts w:ascii="Arial" w:eastAsia="Times New Roman" w:hAnsi="Arial" w:cs="Arial"/>
          <w:lang w:val="en-GB"/>
        </w:rPr>
        <w:t>)</w:t>
      </w:r>
      <w:r w:rsidRPr="003B485B">
        <w:rPr>
          <w:rFonts w:ascii="Arial" w:eastAsia="Times New Roman" w:hAnsi="Arial" w:cs="Arial"/>
          <w:lang w:val="en-GB"/>
        </w:rPr>
        <w:t xml:space="preserve">.  </w:t>
      </w:r>
    </w:p>
    <w:p w:rsidR="008F53C9" w:rsidRPr="003B485B" w:rsidRDefault="008F53C9" w:rsidP="008F53C9">
      <w:pPr>
        <w:spacing w:before="480" w:after="120" w:line="264" w:lineRule="auto"/>
        <w:jc w:val="both"/>
        <w:rPr>
          <w:rStyle w:val="Heading1Char"/>
          <w:rFonts w:ascii="Arial" w:hAnsi="Arial" w:cs="Arial"/>
          <w:b w:val="0"/>
          <w:iCs/>
          <w:color w:val="2E74B5"/>
          <w:sz w:val="22"/>
          <w:szCs w:val="22"/>
          <w:lang w:val="en-GB"/>
        </w:rPr>
      </w:pPr>
      <w:r w:rsidRPr="003B485B">
        <w:rPr>
          <w:rStyle w:val="Heading1Char"/>
          <w:rFonts w:ascii="Arial" w:hAnsi="Arial" w:cs="Arial"/>
          <w:b w:val="0"/>
          <w:iCs/>
          <w:color w:val="2E74B5"/>
          <w:sz w:val="22"/>
          <w:szCs w:val="22"/>
          <w:lang w:val="en-GB"/>
        </w:rPr>
        <w:t>Main indicators, I</w:t>
      </w:r>
      <w:r w:rsidR="00783A4C" w:rsidRPr="003B485B">
        <w:rPr>
          <w:rStyle w:val="Heading1Char"/>
          <w:rFonts w:ascii="Arial" w:hAnsi="Arial" w:cs="Arial"/>
          <w:b w:val="0"/>
          <w:iCs/>
          <w:color w:val="2E74B5"/>
          <w:sz w:val="22"/>
          <w:szCs w:val="22"/>
          <w:lang w:val="en-GB"/>
        </w:rPr>
        <w:t>V</w:t>
      </w:r>
      <w:r w:rsidRPr="003B485B">
        <w:rPr>
          <w:rStyle w:val="Heading1Char"/>
          <w:rFonts w:ascii="Arial" w:hAnsi="Arial" w:cs="Arial"/>
          <w:b w:val="0"/>
          <w:iCs/>
          <w:color w:val="2E74B5"/>
          <w:sz w:val="22"/>
          <w:szCs w:val="22"/>
          <w:lang w:val="en-GB"/>
        </w:rPr>
        <w:t xml:space="preserve"> quarter 2019</w:t>
      </w:r>
    </w:p>
    <w:p w:rsidR="00B05442" w:rsidRPr="003B485B" w:rsidRDefault="008F53C9" w:rsidP="00030DBF">
      <w:pPr>
        <w:spacing w:before="240" w:after="120" w:line="264" w:lineRule="auto"/>
        <w:ind w:firstLine="403"/>
        <w:jc w:val="both"/>
        <w:rPr>
          <w:rFonts w:cs="Arial"/>
        </w:rPr>
      </w:pPr>
      <w:r w:rsidRPr="003B485B">
        <w:rPr>
          <w:rFonts w:cs="Arial"/>
          <w:b/>
        </w:rPr>
        <w:t>A</w:t>
      </w:r>
      <w:r w:rsidR="00930544" w:rsidRPr="003B485B">
        <w:rPr>
          <w:rFonts w:cs="Arial"/>
          <w:b/>
        </w:rPr>
        <w:t>ctivity rate</w:t>
      </w:r>
      <w:r w:rsidR="00930544" w:rsidRPr="003B485B">
        <w:rPr>
          <w:rFonts w:cs="Arial"/>
        </w:rPr>
        <w:t xml:space="preserve"> of population aged 15 and over </w:t>
      </w:r>
      <w:r w:rsidR="00901882" w:rsidRPr="003B485B">
        <w:rPr>
          <w:rFonts w:cs="Arial"/>
        </w:rPr>
        <w:t xml:space="preserve">in the </w:t>
      </w:r>
      <w:r w:rsidR="003266BF" w:rsidRPr="003B485B">
        <w:rPr>
          <w:rFonts w:cs="Arial"/>
        </w:rPr>
        <w:t>fourth</w:t>
      </w:r>
      <w:r w:rsidR="00901882" w:rsidRPr="003B485B">
        <w:rPr>
          <w:rFonts w:cs="Arial"/>
        </w:rPr>
        <w:t xml:space="preserve"> quarter</w:t>
      </w:r>
      <w:r w:rsidR="001156FD" w:rsidRPr="003B485B">
        <w:rPr>
          <w:rFonts w:cs="Arial"/>
        </w:rPr>
        <w:t xml:space="preserve"> 201</w:t>
      </w:r>
      <w:r w:rsidR="00077879" w:rsidRPr="003B485B">
        <w:rPr>
          <w:rFonts w:cs="Arial"/>
        </w:rPr>
        <w:t>9</w:t>
      </w:r>
      <w:r w:rsidR="00901882" w:rsidRPr="003B485B">
        <w:rPr>
          <w:rFonts w:cs="Arial"/>
        </w:rPr>
        <w:t xml:space="preserve"> </w:t>
      </w:r>
      <w:r w:rsidR="00930544" w:rsidRPr="003B485B">
        <w:rPr>
          <w:rFonts w:cs="Arial"/>
        </w:rPr>
        <w:t>amounted to 5</w:t>
      </w:r>
      <w:r w:rsidR="003266BF" w:rsidRPr="003B485B">
        <w:rPr>
          <w:rFonts w:cs="Arial"/>
        </w:rPr>
        <w:t>5</w:t>
      </w:r>
      <w:r w:rsidR="00930544" w:rsidRPr="003B485B">
        <w:rPr>
          <w:rFonts w:cs="Arial"/>
        </w:rPr>
        <w:t>.</w:t>
      </w:r>
      <w:r w:rsidR="003266BF" w:rsidRPr="003B485B">
        <w:rPr>
          <w:rFonts w:cs="Arial"/>
        </w:rPr>
        <w:t>0</w:t>
      </w:r>
      <w:r w:rsidR="00930544" w:rsidRPr="003B485B">
        <w:rPr>
          <w:rFonts w:cs="Arial"/>
        </w:rPr>
        <w:t>%, where the activity rate of males was 6</w:t>
      </w:r>
      <w:r w:rsidR="00030DBF" w:rsidRPr="003B485B">
        <w:rPr>
          <w:rFonts w:cs="Arial"/>
        </w:rPr>
        <w:t>3</w:t>
      </w:r>
      <w:r w:rsidR="00930544" w:rsidRPr="003B485B">
        <w:rPr>
          <w:rFonts w:cs="Arial"/>
        </w:rPr>
        <w:t>.</w:t>
      </w:r>
      <w:r w:rsidR="00030DBF" w:rsidRPr="003B485B">
        <w:rPr>
          <w:rFonts w:cs="Arial"/>
        </w:rPr>
        <w:t>3</w:t>
      </w:r>
      <w:r w:rsidR="00930544" w:rsidRPr="003B485B">
        <w:rPr>
          <w:rFonts w:cs="Arial"/>
        </w:rPr>
        <w:t>%, and of females 4</w:t>
      </w:r>
      <w:r w:rsidR="00FB2E36" w:rsidRPr="003B485B">
        <w:rPr>
          <w:rFonts w:cs="Arial"/>
        </w:rPr>
        <w:t>7</w:t>
      </w:r>
      <w:r w:rsidR="00930544" w:rsidRPr="003B485B">
        <w:rPr>
          <w:rFonts w:cs="Arial"/>
        </w:rPr>
        <w:t>.</w:t>
      </w:r>
      <w:r w:rsidR="003266BF" w:rsidRPr="003B485B">
        <w:rPr>
          <w:rFonts w:cs="Arial"/>
        </w:rPr>
        <w:t>3</w:t>
      </w:r>
      <w:r w:rsidR="00930544" w:rsidRPr="003B485B">
        <w:rPr>
          <w:rFonts w:cs="Arial"/>
        </w:rPr>
        <w:t xml:space="preserve">%. </w:t>
      </w:r>
      <w:r w:rsidR="00391A81" w:rsidRPr="003B485B">
        <w:rPr>
          <w:rFonts w:cs="Arial"/>
        </w:rPr>
        <w:t>The activity rate w</w:t>
      </w:r>
      <w:r w:rsidR="00077879" w:rsidRPr="003B485B">
        <w:rPr>
          <w:rFonts w:cs="Arial"/>
        </w:rPr>
        <w:t>as</w:t>
      </w:r>
      <w:r w:rsidR="001156FD" w:rsidRPr="003B485B">
        <w:rPr>
          <w:rFonts w:cs="Arial"/>
        </w:rPr>
        <w:t xml:space="preserve"> </w:t>
      </w:r>
      <w:r w:rsidR="00077879" w:rsidRPr="003B485B">
        <w:rPr>
          <w:rFonts w:cs="Arial"/>
        </w:rPr>
        <w:t xml:space="preserve">the greatest </w:t>
      </w:r>
      <w:r w:rsidR="001156FD" w:rsidRPr="003B485B">
        <w:rPr>
          <w:rFonts w:cs="Arial"/>
        </w:rPr>
        <w:t xml:space="preserve">in </w:t>
      </w:r>
      <w:proofErr w:type="spellStart"/>
      <w:r w:rsidR="003266BF" w:rsidRPr="003B485B">
        <w:rPr>
          <w:rFonts w:cs="Arial"/>
        </w:rPr>
        <w:t>Beogradski</w:t>
      </w:r>
      <w:proofErr w:type="spellEnd"/>
      <w:r w:rsidR="003266BF" w:rsidRPr="003B485B">
        <w:rPr>
          <w:rFonts w:cs="Arial"/>
        </w:rPr>
        <w:t xml:space="preserve"> region (56.6%), and in </w:t>
      </w:r>
      <w:r w:rsidR="00030DBF" w:rsidRPr="003B485B">
        <w:rPr>
          <w:rFonts w:cs="Arial"/>
        </w:rPr>
        <w:t xml:space="preserve">Region </w:t>
      </w:r>
      <w:proofErr w:type="spellStart"/>
      <w:r w:rsidR="00030DBF" w:rsidRPr="003B485B">
        <w:rPr>
          <w:rFonts w:cs="Arial"/>
        </w:rPr>
        <w:t>Šumadije</w:t>
      </w:r>
      <w:proofErr w:type="spellEnd"/>
      <w:r w:rsidR="00030DBF" w:rsidRPr="003B485B">
        <w:rPr>
          <w:rFonts w:cs="Arial"/>
        </w:rPr>
        <w:t xml:space="preserve"> </w:t>
      </w:r>
      <w:proofErr w:type="spellStart"/>
      <w:r w:rsidR="00030DBF" w:rsidRPr="003B485B">
        <w:rPr>
          <w:rFonts w:cs="Arial"/>
        </w:rPr>
        <w:t>i</w:t>
      </w:r>
      <w:proofErr w:type="spellEnd"/>
      <w:r w:rsidR="00030DBF" w:rsidRPr="003B485B">
        <w:rPr>
          <w:rFonts w:cs="Arial"/>
        </w:rPr>
        <w:t xml:space="preserve"> </w:t>
      </w:r>
      <w:proofErr w:type="spellStart"/>
      <w:r w:rsidR="00030DBF" w:rsidRPr="003B485B">
        <w:rPr>
          <w:rFonts w:cs="Arial"/>
        </w:rPr>
        <w:t>Zapadne</w:t>
      </w:r>
      <w:proofErr w:type="spellEnd"/>
      <w:r w:rsidR="00030DBF" w:rsidRPr="003B485B">
        <w:rPr>
          <w:rFonts w:cs="Arial"/>
        </w:rPr>
        <w:t xml:space="preserve"> </w:t>
      </w:r>
      <w:proofErr w:type="spellStart"/>
      <w:r w:rsidR="00030DBF" w:rsidRPr="003B485B">
        <w:rPr>
          <w:rFonts w:cs="Arial"/>
        </w:rPr>
        <w:t>Srbije</w:t>
      </w:r>
      <w:proofErr w:type="spellEnd"/>
      <w:r w:rsidR="00030DBF" w:rsidRPr="003B485B">
        <w:rPr>
          <w:rFonts w:cs="Arial"/>
        </w:rPr>
        <w:t xml:space="preserve"> </w:t>
      </w:r>
      <w:r w:rsidR="00077879" w:rsidRPr="003B485B">
        <w:rPr>
          <w:rFonts w:cs="Arial"/>
        </w:rPr>
        <w:t>(56.</w:t>
      </w:r>
      <w:r w:rsidR="003266BF" w:rsidRPr="003B485B">
        <w:rPr>
          <w:rFonts w:cs="Arial"/>
        </w:rPr>
        <w:t>2</w:t>
      </w:r>
      <w:r w:rsidR="00077879" w:rsidRPr="003B485B">
        <w:rPr>
          <w:rFonts w:cs="Arial"/>
        </w:rPr>
        <w:t>%)</w:t>
      </w:r>
      <w:r w:rsidR="003266BF" w:rsidRPr="003B485B">
        <w:rPr>
          <w:rFonts w:cs="Arial"/>
        </w:rPr>
        <w:t>.</w:t>
      </w:r>
      <w:r w:rsidR="00030DBF" w:rsidRPr="003B485B">
        <w:rPr>
          <w:rFonts w:cs="Arial"/>
        </w:rPr>
        <w:t xml:space="preserve"> </w:t>
      </w:r>
      <w:r w:rsidR="00077879" w:rsidRPr="003B485B">
        <w:rPr>
          <w:rFonts w:cs="Arial"/>
        </w:rPr>
        <w:t xml:space="preserve">In Region </w:t>
      </w:r>
      <w:proofErr w:type="spellStart"/>
      <w:r w:rsidR="00030DBF" w:rsidRPr="003B485B">
        <w:rPr>
          <w:rFonts w:cs="Arial"/>
        </w:rPr>
        <w:t>Vojvodine</w:t>
      </w:r>
      <w:proofErr w:type="spellEnd"/>
      <w:r w:rsidR="00030DBF" w:rsidRPr="003B485B">
        <w:rPr>
          <w:rFonts w:cs="Arial"/>
        </w:rPr>
        <w:t xml:space="preserve"> and Region </w:t>
      </w:r>
      <w:proofErr w:type="spellStart"/>
      <w:r w:rsidR="00077879" w:rsidRPr="003B485B">
        <w:rPr>
          <w:rFonts w:cs="Arial"/>
        </w:rPr>
        <w:t>Južne</w:t>
      </w:r>
      <w:proofErr w:type="spellEnd"/>
      <w:r w:rsidR="00077879" w:rsidRPr="003B485B">
        <w:rPr>
          <w:rFonts w:cs="Arial"/>
        </w:rPr>
        <w:t xml:space="preserve"> </w:t>
      </w:r>
      <w:proofErr w:type="spellStart"/>
      <w:r w:rsidR="00077879" w:rsidRPr="003B485B">
        <w:rPr>
          <w:rFonts w:cs="Arial"/>
        </w:rPr>
        <w:t>i</w:t>
      </w:r>
      <w:proofErr w:type="spellEnd"/>
      <w:r w:rsidR="00077879" w:rsidRPr="003B485B">
        <w:rPr>
          <w:rFonts w:cs="Arial"/>
        </w:rPr>
        <w:t xml:space="preserve"> </w:t>
      </w:r>
      <w:proofErr w:type="spellStart"/>
      <w:r w:rsidR="00077879" w:rsidRPr="003B485B">
        <w:rPr>
          <w:rFonts w:cs="Arial"/>
        </w:rPr>
        <w:t>Istočne</w:t>
      </w:r>
      <w:proofErr w:type="spellEnd"/>
      <w:r w:rsidR="00077879" w:rsidRPr="003B485B">
        <w:rPr>
          <w:rFonts w:cs="Arial"/>
        </w:rPr>
        <w:t xml:space="preserve"> </w:t>
      </w:r>
      <w:proofErr w:type="spellStart"/>
      <w:r w:rsidR="00077879" w:rsidRPr="003B485B">
        <w:rPr>
          <w:rFonts w:cs="Arial"/>
        </w:rPr>
        <w:t>Srbije</w:t>
      </w:r>
      <w:proofErr w:type="spellEnd"/>
      <w:r w:rsidR="0051113F" w:rsidRPr="003B485B">
        <w:rPr>
          <w:rFonts w:cs="Arial"/>
        </w:rPr>
        <w:t xml:space="preserve"> </w:t>
      </w:r>
      <w:r w:rsidR="00077879" w:rsidRPr="003B485B">
        <w:rPr>
          <w:rFonts w:cs="Arial"/>
        </w:rPr>
        <w:t>activity rate</w:t>
      </w:r>
      <w:r w:rsidR="00030DBF" w:rsidRPr="003B485B">
        <w:rPr>
          <w:rFonts w:cs="Arial"/>
        </w:rPr>
        <w:t>s</w:t>
      </w:r>
      <w:r w:rsidR="00077879" w:rsidRPr="003B485B">
        <w:rPr>
          <w:rFonts w:cs="Arial"/>
        </w:rPr>
        <w:t xml:space="preserve"> w</w:t>
      </w:r>
      <w:r w:rsidR="00030DBF" w:rsidRPr="003B485B">
        <w:rPr>
          <w:rFonts w:cs="Arial"/>
        </w:rPr>
        <w:t>ere the lowest,</w:t>
      </w:r>
      <w:r w:rsidR="00077879" w:rsidRPr="003B485B">
        <w:rPr>
          <w:rFonts w:cs="Arial"/>
        </w:rPr>
        <w:t xml:space="preserve"> 53.</w:t>
      </w:r>
      <w:r w:rsidR="003266BF" w:rsidRPr="003B485B">
        <w:rPr>
          <w:rFonts w:cs="Arial"/>
        </w:rPr>
        <w:t>6</w:t>
      </w:r>
      <w:r w:rsidR="00077879" w:rsidRPr="003B485B">
        <w:rPr>
          <w:rFonts w:cs="Arial"/>
        </w:rPr>
        <w:t xml:space="preserve">% and </w:t>
      </w:r>
      <w:r w:rsidR="0051113F" w:rsidRPr="003B485B">
        <w:rPr>
          <w:rFonts w:cs="Arial"/>
        </w:rPr>
        <w:t>5</w:t>
      </w:r>
      <w:r w:rsidR="00030DBF" w:rsidRPr="003B485B">
        <w:rPr>
          <w:rFonts w:cs="Arial"/>
        </w:rPr>
        <w:t>3</w:t>
      </w:r>
      <w:r w:rsidR="0051113F" w:rsidRPr="003B485B">
        <w:rPr>
          <w:rFonts w:cs="Arial"/>
        </w:rPr>
        <w:t>.</w:t>
      </w:r>
      <w:r w:rsidR="00030DBF" w:rsidRPr="003B485B">
        <w:rPr>
          <w:rFonts w:cs="Arial"/>
        </w:rPr>
        <w:t>4</w:t>
      </w:r>
      <w:r w:rsidR="0051113F" w:rsidRPr="003B485B">
        <w:rPr>
          <w:rFonts w:cs="Arial"/>
        </w:rPr>
        <w:t>%</w:t>
      </w:r>
      <w:r w:rsidR="00030DBF" w:rsidRPr="003B485B">
        <w:rPr>
          <w:rFonts w:cs="Arial"/>
        </w:rPr>
        <w:t xml:space="preserve">, </w:t>
      </w:r>
      <w:r w:rsidR="00961739" w:rsidRPr="003B485B">
        <w:rPr>
          <w:rFonts w:cs="Arial"/>
        </w:rPr>
        <w:t>respectively</w:t>
      </w:r>
      <w:r w:rsidR="00B05442" w:rsidRPr="003B485B">
        <w:rPr>
          <w:rFonts w:cs="Arial"/>
        </w:rPr>
        <w:t>.</w:t>
      </w:r>
    </w:p>
    <w:p w:rsidR="00391A81" w:rsidRPr="003B485B" w:rsidRDefault="00391A81" w:rsidP="00ED093B">
      <w:pPr>
        <w:spacing w:before="120" w:after="120" w:line="264" w:lineRule="auto"/>
        <w:ind w:firstLine="403"/>
        <w:jc w:val="both"/>
        <w:rPr>
          <w:rFonts w:cs="Arial"/>
        </w:rPr>
      </w:pPr>
      <w:r w:rsidRPr="003B485B">
        <w:rPr>
          <w:rFonts w:cs="Arial"/>
          <w:b/>
        </w:rPr>
        <w:t xml:space="preserve">Employment rate </w:t>
      </w:r>
      <w:r w:rsidRPr="003B485B">
        <w:rPr>
          <w:rFonts w:cs="Arial"/>
        </w:rPr>
        <w:t>of population aged 15 and over amounted to</w:t>
      </w:r>
      <w:r w:rsidR="00077879" w:rsidRPr="003B485B">
        <w:rPr>
          <w:rFonts w:cs="Arial"/>
        </w:rPr>
        <w:t xml:space="preserve"> 49</w:t>
      </w:r>
      <w:r w:rsidRPr="003B485B">
        <w:rPr>
          <w:rFonts w:cs="Arial"/>
        </w:rPr>
        <w:t>.</w:t>
      </w:r>
      <w:r w:rsidR="003266BF" w:rsidRPr="003B485B">
        <w:rPr>
          <w:rFonts w:cs="Arial"/>
        </w:rPr>
        <w:t>7</w:t>
      </w:r>
      <w:r w:rsidR="00B05442" w:rsidRPr="003B485B">
        <w:rPr>
          <w:rFonts w:cs="Arial"/>
        </w:rPr>
        <w:t xml:space="preserve">%, </w:t>
      </w:r>
      <w:r w:rsidRPr="003B485B">
        <w:rPr>
          <w:rFonts w:cs="Arial"/>
        </w:rPr>
        <w:t>i.e. 5</w:t>
      </w:r>
      <w:r w:rsidR="00030DBF" w:rsidRPr="003B485B">
        <w:rPr>
          <w:rFonts w:cs="Arial"/>
        </w:rPr>
        <w:t>7</w:t>
      </w:r>
      <w:r w:rsidRPr="003B485B">
        <w:rPr>
          <w:rFonts w:cs="Arial"/>
        </w:rPr>
        <w:t>.</w:t>
      </w:r>
      <w:r w:rsidR="003266BF" w:rsidRPr="003B485B">
        <w:rPr>
          <w:rFonts w:cs="Arial"/>
        </w:rPr>
        <w:t>5</w:t>
      </w:r>
      <w:r w:rsidRPr="003B485B">
        <w:rPr>
          <w:rFonts w:cs="Arial"/>
        </w:rPr>
        <w:t xml:space="preserve">% regarding males and </w:t>
      </w:r>
      <w:r w:rsidR="00FB2E36" w:rsidRPr="003B485B">
        <w:rPr>
          <w:rFonts w:cs="Arial"/>
        </w:rPr>
        <w:t>4</w:t>
      </w:r>
      <w:r w:rsidR="003266BF" w:rsidRPr="003B485B">
        <w:rPr>
          <w:rFonts w:cs="Arial"/>
        </w:rPr>
        <w:t>2</w:t>
      </w:r>
      <w:r w:rsidRPr="003B485B">
        <w:rPr>
          <w:rFonts w:cs="Arial"/>
        </w:rPr>
        <w:t>.</w:t>
      </w:r>
      <w:r w:rsidR="003266BF" w:rsidRPr="003B485B">
        <w:rPr>
          <w:rFonts w:cs="Arial"/>
        </w:rPr>
        <w:t>4</w:t>
      </w:r>
      <w:r w:rsidR="00B05442" w:rsidRPr="003B485B">
        <w:rPr>
          <w:rFonts w:cs="Arial"/>
        </w:rPr>
        <w:t>%</w:t>
      </w:r>
      <w:r w:rsidRPr="003B485B">
        <w:rPr>
          <w:rFonts w:cs="Arial"/>
        </w:rPr>
        <w:t xml:space="preserve"> regarding females</w:t>
      </w:r>
      <w:r w:rsidR="00B05442" w:rsidRPr="003B485B">
        <w:rPr>
          <w:rFonts w:cs="Arial"/>
        </w:rPr>
        <w:t xml:space="preserve">. </w:t>
      </w:r>
      <w:r w:rsidRPr="003B485B">
        <w:rPr>
          <w:rFonts w:cs="Arial"/>
        </w:rPr>
        <w:t>The greatest employment rate was noted in</w:t>
      </w:r>
      <w:r w:rsidR="00F03B80" w:rsidRPr="003B485B">
        <w:rPr>
          <w:rFonts w:cs="Arial"/>
        </w:rPr>
        <w:t xml:space="preserve"> </w:t>
      </w:r>
      <w:proofErr w:type="spellStart"/>
      <w:r w:rsidR="0051113F" w:rsidRPr="003B485B">
        <w:rPr>
          <w:rFonts w:cs="Arial"/>
        </w:rPr>
        <w:t>Beogradski</w:t>
      </w:r>
      <w:proofErr w:type="spellEnd"/>
      <w:r w:rsidR="0051113F" w:rsidRPr="003B485B">
        <w:rPr>
          <w:rFonts w:cs="Arial"/>
        </w:rPr>
        <w:t xml:space="preserve"> region (5</w:t>
      </w:r>
      <w:r w:rsidR="003266BF" w:rsidRPr="003B485B">
        <w:rPr>
          <w:rFonts w:cs="Arial"/>
        </w:rPr>
        <w:t>2</w:t>
      </w:r>
      <w:r w:rsidR="0051113F" w:rsidRPr="003B485B">
        <w:rPr>
          <w:rFonts w:cs="Arial"/>
        </w:rPr>
        <w:t>.</w:t>
      </w:r>
      <w:r w:rsidR="003266BF" w:rsidRPr="003B485B">
        <w:rPr>
          <w:rFonts w:cs="Arial"/>
        </w:rPr>
        <w:t>3</w:t>
      </w:r>
      <w:r w:rsidR="0051113F" w:rsidRPr="003B485B">
        <w:rPr>
          <w:rFonts w:cs="Arial"/>
        </w:rPr>
        <w:t xml:space="preserve">%), followed by </w:t>
      </w:r>
      <w:r w:rsidR="00F03B80" w:rsidRPr="003B485B">
        <w:rPr>
          <w:rFonts w:cs="Arial"/>
        </w:rPr>
        <w:t xml:space="preserve">Region </w:t>
      </w:r>
      <w:proofErr w:type="spellStart"/>
      <w:r w:rsidR="00F03B80" w:rsidRPr="003B485B">
        <w:rPr>
          <w:rFonts w:cs="Arial"/>
        </w:rPr>
        <w:t>Šumadije</w:t>
      </w:r>
      <w:proofErr w:type="spellEnd"/>
      <w:r w:rsidR="00F03B80" w:rsidRPr="003B485B">
        <w:rPr>
          <w:rFonts w:cs="Arial"/>
        </w:rPr>
        <w:t xml:space="preserve"> </w:t>
      </w:r>
      <w:proofErr w:type="spellStart"/>
      <w:r w:rsidR="00F03B80" w:rsidRPr="003B485B">
        <w:rPr>
          <w:rFonts w:cs="Arial"/>
        </w:rPr>
        <w:t>i</w:t>
      </w:r>
      <w:proofErr w:type="spellEnd"/>
      <w:r w:rsidR="00F03B80" w:rsidRPr="003B485B">
        <w:rPr>
          <w:rFonts w:cs="Arial"/>
        </w:rPr>
        <w:t xml:space="preserve"> </w:t>
      </w:r>
      <w:proofErr w:type="spellStart"/>
      <w:r w:rsidR="00F03B80" w:rsidRPr="003B485B">
        <w:rPr>
          <w:rFonts w:cs="Arial"/>
        </w:rPr>
        <w:t>Zapadne</w:t>
      </w:r>
      <w:proofErr w:type="spellEnd"/>
      <w:r w:rsidR="00F03B80" w:rsidRPr="003B485B">
        <w:rPr>
          <w:rFonts w:cs="Arial"/>
        </w:rPr>
        <w:t xml:space="preserve"> </w:t>
      </w:r>
      <w:proofErr w:type="spellStart"/>
      <w:r w:rsidR="00F03B80" w:rsidRPr="003B485B">
        <w:rPr>
          <w:rFonts w:cs="Arial"/>
        </w:rPr>
        <w:t>Srbije</w:t>
      </w:r>
      <w:proofErr w:type="spellEnd"/>
      <w:r w:rsidR="00F03B80" w:rsidRPr="003B485B">
        <w:rPr>
          <w:rFonts w:cs="Arial"/>
        </w:rPr>
        <w:t xml:space="preserve"> and </w:t>
      </w:r>
      <w:r w:rsidR="0051113F" w:rsidRPr="003B485B">
        <w:rPr>
          <w:rFonts w:cs="Arial"/>
        </w:rPr>
        <w:t xml:space="preserve">Region </w:t>
      </w:r>
      <w:proofErr w:type="spellStart"/>
      <w:r w:rsidR="0051113F" w:rsidRPr="003B485B">
        <w:rPr>
          <w:rFonts w:cs="Arial"/>
        </w:rPr>
        <w:t>Vojvodine</w:t>
      </w:r>
      <w:proofErr w:type="spellEnd"/>
      <w:r w:rsidR="0051113F" w:rsidRPr="003B485B">
        <w:rPr>
          <w:rFonts w:cs="Arial"/>
        </w:rPr>
        <w:t xml:space="preserve"> (</w:t>
      </w:r>
      <w:r w:rsidR="00077879" w:rsidRPr="003B485B">
        <w:rPr>
          <w:rFonts w:cs="Arial"/>
        </w:rPr>
        <w:t>50</w:t>
      </w:r>
      <w:r w:rsidR="0051113F" w:rsidRPr="003B485B">
        <w:rPr>
          <w:rFonts w:cs="Arial"/>
        </w:rPr>
        <w:t>.</w:t>
      </w:r>
      <w:r w:rsidR="003266BF" w:rsidRPr="003B485B">
        <w:rPr>
          <w:rFonts w:cs="Arial"/>
        </w:rPr>
        <w:t>2</w:t>
      </w:r>
      <w:r w:rsidR="0051113F" w:rsidRPr="003B485B">
        <w:rPr>
          <w:rFonts w:cs="Arial"/>
        </w:rPr>
        <w:t>% and 4</w:t>
      </w:r>
      <w:r w:rsidR="00030DBF" w:rsidRPr="003B485B">
        <w:rPr>
          <w:rFonts w:cs="Arial"/>
        </w:rPr>
        <w:t>9</w:t>
      </w:r>
      <w:r w:rsidR="0051113F" w:rsidRPr="003B485B">
        <w:rPr>
          <w:rFonts w:cs="Arial"/>
        </w:rPr>
        <w:t>.</w:t>
      </w:r>
      <w:r w:rsidR="003266BF" w:rsidRPr="003B485B">
        <w:rPr>
          <w:rFonts w:cs="Arial"/>
        </w:rPr>
        <w:t>3</w:t>
      </w:r>
      <w:r w:rsidR="0051113F" w:rsidRPr="003B485B">
        <w:rPr>
          <w:rFonts w:cs="Arial"/>
        </w:rPr>
        <w:t>%, respectively).</w:t>
      </w:r>
      <w:r w:rsidR="00F03B80" w:rsidRPr="003B485B">
        <w:rPr>
          <w:rFonts w:cs="Arial"/>
        </w:rPr>
        <w:t xml:space="preserve"> </w:t>
      </w:r>
      <w:r w:rsidR="0051113F" w:rsidRPr="003B485B">
        <w:rPr>
          <w:rFonts w:cs="Arial"/>
        </w:rPr>
        <w:t>Employment rate was the lowest</w:t>
      </w:r>
      <w:r w:rsidRPr="003B485B">
        <w:rPr>
          <w:rFonts w:cs="Arial"/>
        </w:rPr>
        <w:t xml:space="preserve"> in Region </w:t>
      </w:r>
      <w:proofErr w:type="spellStart"/>
      <w:r w:rsidRPr="003B485B">
        <w:rPr>
          <w:rFonts w:cs="Arial"/>
        </w:rPr>
        <w:t>Južne</w:t>
      </w:r>
      <w:proofErr w:type="spellEnd"/>
      <w:r w:rsidRPr="003B485B">
        <w:rPr>
          <w:rFonts w:cs="Arial"/>
        </w:rPr>
        <w:t xml:space="preserve"> </w:t>
      </w:r>
      <w:proofErr w:type="spellStart"/>
      <w:r w:rsidRPr="003B485B">
        <w:rPr>
          <w:rFonts w:cs="Arial"/>
        </w:rPr>
        <w:t>i</w:t>
      </w:r>
      <w:proofErr w:type="spellEnd"/>
      <w:r w:rsidRPr="003B485B">
        <w:rPr>
          <w:rFonts w:cs="Arial"/>
        </w:rPr>
        <w:t xml:space="preserve"> </w:t>
      </w:r>
      <w:proofErr w:type="spellStart"/>
      <w:r w:rsidRPr="003B485B">
        <w:rPr>
          <w:rFonts w:cs="Arial"/>
        </w:rPr>
        <w:t>Istočne</w:t>
      </w:r>
      <w:proofErr w:type="spellEnd"/>
      <w:r w:rsidRPr="003B485B">
        <w:rPr>
          <w:rFonts w:cs="Arial"/>
        </w:rPr>
        <w:t xml:space="preserve"> </w:t>
      </w:r>
      <w:proofErr w:type="spellStart"/>
      <w:r w:rsidRPr="003B485B">
        <w:rPr>
          <w:rFonts w:cs="Arial"/>
        </w:rPr>
        <w:t>Srbije</w:t>
      </w:r>
      <w:proofErr w:type="spellEnd"/>
      <w:r w:rsidR="00F03B80" w:rsidRPr="003B485B">
        <w:rPr>
          <w:rFonts w:cs="Arial"/>
        </w:rPr>
        <w:t xml:space="preserve">, </w:t>
      </w:r>
      <w:r w:rsidRPr="003B485B">
        <w:rPr>
          <w:rFonts w:cs="Arial"/>
        </w:rPr>
        <w:t>4</w:t>
      </w:r>
      <w:r w:rsidR="003266BF" w:rsidRPr="003B485B">
        <w:rPr>
          <w:rFonts w:cs="Arial"/>
        </w:rPr>
        <w:t>6</w:t>
      </w:r>
      <w:r w:rsidRPr="003B485B">
        <w:rPr>
          <w:rFonts w:cs="Arial"/>
        </w:rPr>
        <w:t>.</w:t>
      </w:r>
      <w:r w:rsidR="003266BF" w:rsidRPr="003B485B">
        <w:rPr>
          <w:rFonts w:cs="Arial"/>
        </w:rPr>
        <w:t>6</w:t>
      </w:r>
      <w:r w:rsidR="00F03B80" w:rsidRPr="003B485B">
        <w:rPr>
          <w:rFonts w:cs="Arial"/>
        </w:rPr>
        <w:t>%</w:t>
      </w:r>
      <w:r w:rsidRPr="003B485B">
        <w:rPr>
          <w:rFonts w:cs="Arial"/>
        </w:rPr>
        <w:t>.</w:t>
      </w:r>
    </w:p>
    <w:p w:rsidR="00B05442" w:rsidRPr="003B485B" w:rsidRDefault="00391A81" w:rsidP="00ED093B">
      <w:pPr>
        <w:spacing w:before="120" w:after="120" w:line="264" w:lineRule="auto"/>
        <w:ind w:firstLine="403"/>
        <w:jc w:val="both"/>
        <w:rPr>
          <w:rFonts w:cs="Arial"/>
        </w:rPr>
      </w:pPr>
      <w:r w:rsidRPr="003B485B">
        <w:rPr>
          <w:rFonts w:cs="Arial"/>
          <w:b/>
        </w:rPr>
        <w:t xml:space="preserve">Informal employment rate </w:t>
      </w:r>
      <w:r w:rsidR="00084400" w:rsidRPr="003B485B">
        <w:rPr>
          <w:rFonts w:cs="Arial"/>
        </w:rPr>
        <w:t>in the mentioned quarter, on</w:t>
      </w:r>
      <w:r w:rsidRPr="003B485B">
        <w:rPr>
          <w:rFonts w:cs="Arial"/>
        </w:rPr>
        <w:t xml:space="preserve"> the level of all activities was </w:t>
      </w:r>
      <w:r w:rsidR="00852349" w:rsidRPr="003B485B">
        <w:rPr>
          <w:rFonts w:cs="Arial"/>
        </w:rPr>
        <w:t>1</w:t>
      </w:r>
      <w:r w:rsidR="003266BF" w:rsidRPr="003B485B">
        <w:rPr>
          <w:rFonts w:cs="Arial"/>
        </w:rPr>
        <w:t>7</w:t>
      </w:r>
      <w:r w:rsidRPr="003B485B">
        <w:rPr>
          <w:rFonts w:cs="Arial"/>
        </w:rPr>
        <w:t>.</w:t>
      </w:r>
      <w:r w:rsidR="003266BF" w:rsidRPr="003B485B">
        <w:rPr>
          <w:rFonts w:cs="Arial"/>
        </w:rPr>
        <w:t>6</w:t>
      </w:r>
      <w:r w:rsidR="00B05442" w:rsidRPr="003B485B">
        <w:rPr>
          <w:rFonts w:cs="Arial"/>
        </w:rPr>
        <w:t xml:space="preserve">%, </w:t>
      </w:r>
      <w:r w:rsidRPr="003B485B">
        <w:rPr>
          <w:rFonts w:cs="Arial"/>
        </w:rPr>
        <w:t>whereof informal sector related to employment in agricultural activities</w:t>
      </w:r>
      <w:r w:rsidR="00F82D1F" w:rsidRPr="003B485B">
        <w:rPr>
          <w:rStyle w:val="FootnoteReference"/>
          <w:rFonts w:cs="Arial"/>
        </w:rPr>
        <w:footnoteReference w:id="2"/>
      </w:r>
      <w:r w:rsidR="00077879" w:rsidRPr="003B485B">
        <w:t xml:space="preserve"> </w:t>
      </w:r>
      <w:r w:rsidR="00084400" w:rsidRPr="003B485B">
        <w:rPr>
          <w:rFonts w:cs="Arial"/>
        </w:rPr>
        <w:t xml:space="preserve">recorded the rate of </w:t>
      </w:r>
      <w:r w:rsidR="00030DBF" w:rsidRPr="003B485B">
        <w:rPr>
          <w:rFonts w:cs="Arial"/>
        </w:rPr>
        <w:t>5</w:t>
      </w:r>
      <w:r w:rsidR="003266BF" w:rsidRPr="003B485B">
        <w:rPr>
          <w:rFonts w:cs="Arial"/>
        </w:rPr>
        <w:t>6</w:t>
      </w:r>
      <w:r w:rsidR="00084400" w:rsidRPr="003B485B">
        <w:rPr>
          <w:rFonts w:cs="Arial"/>
        </w:rPr>
        <w:t>.</w:t>
      </w:r>
      <w:r w:rsidR="003266BF" w:rsidRPr="003B485B">
        <w:rPr>
          <w:rFonts w:cs="Arial"/>
        </w:rPr>
        <w:t>7</w:t>
      </w:r>
      <w:r w:rsidR="00084400" w:rsidRPr="003B485B">
        <w:rPr>
          <w:rFonts w:cs="Arial"/>
        </w:rPr>
        <w:t xml:space="preserve">%, and in activities </w:t>
      </w:r>
      <w:r w:rsidR="002A0F49" w:rsidRPr="003B485B">
        <w:rPr>
          <w:rFonts w:cs="Arial"/>
        </w:rPr>
        <w:t>excluding</w:t>
      </w:r>
      <w:r w:rsidR="00084400" w:rsidRPr="003B485B">
        <w:rPr>
          <w:rFonts w:cs="Arial"/>
        </w:rPr>
        <w:t xml:space="preserve"> agriculture, </w:t>
      </w:r>
      <w:r w:rsidR="00F7497D" w:rsidRPr="003B485B">
        <w:rPr>
          <w:rFonts w:cs="Arial"/>
        </w:rPr>
        <w:t xml:space="preserve">the rate had the value of </w:t>
      </w:r>
      <w:r w:rsidR="00852349" w:rsidRPr="003B485B">
        <w:rPr>
          <w:rFonts w:cs="Arial"/>
        </w:rPr>
        <w:t>8</w:t>
      </w:r>
      <w:r w:rsidR="00F7497D" w:rsidRPr="003B485B">
        <w:rPr>
          <w:rFonts w:cs="Arial"/>
        </w:rPr>
        <w:t>.</w:t>
      </w:r>
      <w:r w:rsidR="003266BF" w:rsidRPr="003B485B">
        <w:rPr>
          <w:rFonts w:cs="Arial"/>
        </w:rPr>
        <w:t>3</w:t>
      </w:r>
      <w:r w:rsidR="00F7497D" w:rsidRPr="003B485B">
        <w:rPr>
          <w:rFonts w:cs="Arial"/>
        </w:rPr>
        <w:t>%.</w:t>
      </w:r>
    </w:p>
    <w:p w:rsidR="00391A81" w:rsidRPr="003B485B" w:rsidRDefault="00391A81" w:rsidP="00ED093B">
      <w:pPr>
        <w:spacing w:before="120" w:after="120" w:line="264" w:lineRule="auto"/>
        <w:ind w:firstLine="403"/>
        <w:jc w:val="both"/>
        <w:rPr>
          <w:rFonts w:cs="Arial"/>
        </w:rPr>
      </w:pPr>
      <w:r w:rsidRPr="003B485B">
        <w:rPr>
          <w:rFonts w:cs="Arial"/>
          <w:b/>
        </w:rPr>
        <w:t>Unemployment rate</w:t>
      </w:r>
      <w:r w:rsidRPr="003B485B">
        <w:rPr>
          <w:rFonts w:cs="Arial"/>
        </w:rPr>
        <w:t xml:space="preserve"> of population aged 15 and over amounted to </w:t>
      </w:r>
      <w:r w:rsidR="00030DBF" w:rsidRPr="003B485B">
        <w:rPr>
          <w:rFonts w:cs="Arial"/>
        </w:rPr>
        <w:t>9</w:t>
      </w:r>
      <w:r w:rsidRPr="003B485B">
        <w:rPr>
          <w:rFonts w:cs="Arial"/>
        </w:rPr>
        <w:t>.</w:t>
      </w:r>
      <w:r w:rsidR="00065688" w:rsidRPr="003B485B">
        <w:rPr>
          <w:rFonts w:cs="Arial"/>
        </w:rPr>
        <w:t>7</w:t>
      </w:r>
      <w:r w:rsidR="00C0716F" w:rsidRPr="003B485B">
        <w:rPr>
          <w:rFonts w:cs="Arial"/>
        </w:rPr>
        <w:t xml:space="preserve">%, i.e. </w:t>
      </w:r>
      <w:r w:rsidR="00065688" w:rsidRPr="003B485B">
        <w:rPr>
          <w:rFonts w:cs="Arial"/>
        </w:rPr>
        <w:t>9</w:t>
      </w:r>
      <w:r w:rsidR="00C0716F" w:rsidRPr="003B485B">
        <w:rPr>
          <w:rFonts w:cs="Arial"/>
        </w:rPr>
        <w:t>.</w:t>
      </w:r>
      <w:r w:rsidR="00065688" w:rsidRPr="003B485B">
        <w:rPr>
          <w:rFonts w:cs="Arial"/>
        </w:rPr>
        <w:t>1</w:t>
      </w:r>
      <w:r w:rsidRPr="003B485B">
        <w:rPr>
          <w:rFonts w:cs="Arial"/>
        </w:rPr>
        <w:t>% regarding males and 1</w:t>
      </w:r>
      <w:r w:rsidR="00030DBF" w:rsidRPr="003B485B">
        <w:rPr>
          <w:rFonts w:cs="Arial"/>
        </w:rPr>
        <w:t>0</w:t>
      </w:r>
      <w:r w:rsidRPr="003B485B">
        <w:rPr>
          <w:rFonts w:cs="Arial"/>
        </w:rPr>
        <w:t>.</w:t>
      </w:r>
      <w:r w:rsidR="00065688" w:rsidRPr="003B485B">
        <w:rPr>
          <w:rFonts w:cs="Arial"/>
        </w:rPr>
        <w:t>3</w:t>
      </w:r>
      <w:r w:rsidRPr="003B485B">
        <w:rPr>
          <w:rFonts w:cs="Arial"/>
        </w:rPr>
        <w:t xml:space="preserve">% regarding females. Observed by regions, the </w:t>
      </w:r>
      <w:r w:rsidR="00084400" w:rsidRPr="003B485B">
        <w:rPr>
          <w:rFonts w:cs="Arial"/>
        </w:rPr>
        <w:t xml:space="preserve">lowest rate </w:t>
      </w:r>
      <w:proofErr w:type="gramStart"/>
      <w:r w:rsidR="00084400" w:rsidRPr="003B485B">
        <w:rPr>
          <w:rFonts w:cs="Arial"/>
        </w:rPr>
        <w:t>was recorded</w:t>
      </w:r>
      <w:proofErr w:type="gramEnd"/>
      <w:r w:rsidR="00084400" w:rsidRPr="003B485B">
        <w:rPr>
          <w:rFonts w:cs="Arial"/>
        </w:rPr>
        <w:t xml:space="preserve"> in</w:t>
      </w:r>
      <w:r w:rsidR="00852349" w:rsidRPr="003B485B">
        <w:rPr>
          <w:rFonts w:cs="Arial"/>
        </w:rPr>
        <w:t xml:space="preserve"> </w:t>
      </w:r>
      <w:proofErr w:type="spellStart"/>
      <w:r w:rsidR="00852349" w:rsidRPr="003B485B">
        <w:rPr>
          <w:rFonts w:cs="Arial"/>
        </w:rPr>
        <w:t>Beogradski</w:t>
      </w:r>
      <w:proofErr w:type="spellEnd"/>
      <w:r w:rsidR="00852349" w:rsidRPr="003B485B">
        <w:rPr>
          <w:rFonts w:cs="Arial"/>
        </w:rPr>
        <w:t xml:space="preserve"> region (</w:t>
      </w:r>
      <w:r w:rsidR="00C0716F" w:rsidRPr="003B485B">
        <w:rPr>
          <w:rFonts w:cs="Arial"/>
        </w:rPr>
        <w:t>7</w:t>
      </w:r>
      <w:r w:rsidR="00852349" w:rsidRPr="003B485B">
        <w:rPr>
          <w:rFonts w:cs="Arial"/>
        </w:rPr>
        <w:t>.</w:t>
      </w:r>
      <w:r w:rsidR="00030DBF" w:rsidRPr="003B485B">
        <w:rPr>
          <w:rFonts w:cs="Arial"/>
        </w:rPr>
        <w:t>6</w:t>
      </w:r>
      <w:r w:rsidR="00852349" w:rsidRPr="003B485B">
        <w:rPr>
          <w:rFonts w:cs="Arial"/>
        </w:rPr>
        <w:t>%</w:t>
      </w:r>
      <w:r w:rsidR="00220476" w:rsidRPr="003B485B">
        <w:rPr>
          <w:rFonts w:cs="Arial"/>
        </w:rPr>
        <w:t>)</w:t>
      </w:r>
      <w:r w:rsidR="00C0716F" w:rsidRPr="003B485B">
        <w:rPr>
          <w:rFonts w:cs="Arial"/>
        </w:rPr>
        <w:t xml:space="preserve"> </w:t>
      </w:r>
      <w:r w:rsidR="00852349" w:rsidRPr="003B485B">
        <w:rPr>
          <w:rFonts w:cs="Arial"/>
        </w:rPr>
        <w:t xml:space="preserve">followed by </w:t>
      </w:r>
      <w:r w:rsidR="00084400" w:rsidRPr="003B485B">
        <w:rPr>
          <w:rFonts w:cs="Arial"/>
        </w:rPr>
        <w:t xml:space="preserve">Region </w:t>
      </w:r>
      <w:proofErr w:type="spellStart"/>
      <w:r w:rsidR="00084400" w:rsidRPr="003B485B">
        <w:rPr>
          <w:rFonts w:cs="Arial"/>
        </w:rPr>
        <w:t>Vojvodine</w:t>
      </w:r>
      <w:proofErr w:type="spellEnd"/>
      <w:r w:rsidR="00084400" w:rsidRPr="003B485B">
        <w:rPr>
          <w:rFonts w:cs="Arial"/>
        </w:rPr>
        <w:t xml:space="preserve"> (</w:t>
      </w:r>
      <w:r w:rsidR="00065688" w:rsidRPr="003B485B">
        <w:rPr>
          <w:rFonts w:cs="Arial"/>
        </w:rPr>
        <w:t>7</w:t>
      </w:r>
      <w:r w:rsidR="00220476" w:rsidRPr="003B485B">
        <w:rPr>
          <w:rFonts w:cs="Arial"/>
        </w:rPr>
        <w:t>.</w:t>
      </w:r>
      <w:r w:rsidR="00065688" w:rsidRPr="003B485B">
        <w:rPr>
          <w:rFonts w:cs="Arial"/>
        </w:rPr>
        <w:t>9</w:t>
      </w:r>
      <w:r w:rsidR="00220476" w:rsidRPr="003B485B">
        <w:rPr>
          <w:rFonts w:cs="Arial"/>
        </w:rPr>
        <w:t>%)</w:t>
      </w:r>
      <w:r w:rsidR="00084400" w:rsidRPr="003B485B">
        <w:rPr>
          <w:rFonts w:cs="Arial"/>
        </w:rPr>
        <w:t xml:space="preserve"> and Region </w:t>
      </w:r>
      <w:proofErr w:type="spellStart"/>
      <w:r w:rsidR="00084400" w:rsidRPr="003B485B">
        <w:rPr>
          <w:rFonts w:cs="Arial"/>
        </w:rPr>
        <w:t>Šumadije</w:t>
      </w:r>
      <w:proofErr w:type="spellEnd"/>
      <w:r w:rsidR="00084400" w:rsidRPr="003B485B">
        <w:rPr>
          <w:rFonts w:cs="Arial"/>
        </w:rPr>
        <w:t xml:space="preserve"> </w:t>
      </w:r>
      <w:proofErr w:type="spellStart"/>
      <w:r w:rsidR="00084400" w:rsidRPr="003B485B">
        <w:rPr>
          <w:rFonts w:cs="Arial"/>
        </w:rPr>
        <w:t>i</w:t>
      </w:r>
      <w:proofErr w:type="spellEnd"/>
      <w:r w:rsidR="00084400" w:rsidRPr="003B485B">
        <w:rPr>
          <w:rFonts w:cs="Arial"/>
        </w:rPr>
        <w:t xml:space="preserve"> </w:t>
      </w:r>
      <w:proofErr w:type="spellStart"/>
      <w:r w:rsidR="00084400" w:rsidRPr="003B485B">
        <w:rPr>
          <w:rFonts w:cs="Arial"/>
        </w:rPr>
        <w:t>Zapadne</w:t>
      </w:r>
      <w:proofErr w:type="spellEnd"/>
      <w:r w:rsidR="00084400" w:rsidRPr="003B485B">
        <w:rPr>
          <w:rFonts w:cs="Arial"/>
        </w:rPr>
        <w:t xml:space="preserve"> </w:t>
      </w:r>
      <w:proofErr w:type="spellStart"/>
      <w:r w:rsidR="00084400" w:rsidRPr="003B485B">
        <w:rPr>
          <w:rFonts w:cs="Arial"/>
        </w:rPr>
        <w:t>Srbije</w:t>
      </w:r>
      <w:proofErr w:type="spellEnd"/>
      <w:r w:rsidR="00084400" w:rsidRPr="003B485B">
        <w:rPr>
          <w:rFonts w:cs="Arial"/>
        </w:rPr>
        <w:t xml:space="preserve"> (1</w:t>
      </w:r>
      <w:r w:rsidR="00030DBF" w:rsidRPr="003B485B">
        <w:rPr>
          <w:rFonts w:cs="Arial"/>
        </w:rPr>
        <w:t>0</w:t>
      </w:r>
      <w:r w:rsidR="00084400" w:rsidRPr="003B485B">
        <w:rPr>
          <w:rFonts w:cs="Arial"/>
        </w:rPr>
        <w:t>.</w:t>
      </w:r>
      <w:r w:rsidR="00065688" w:rsidRPr="003B485B">
        <w:rPr>
          <w:rFonts w:cs="Arial"/>
        </w:rPr>
        <w:t>8</w:t>
      </w:r>
      <w:r w:rsidR="00084400" w:rsidRPr="003B485B">
        <w:rPr>
          <w:rFonts w:cs="Arial"/>
        </w:rPr>
        <w:t>%). I</w:t>
      </w:r>
      <w:r w:rsidRPr="003B485B">
        <w:rPr>
          <w:rFonts w:cs="Arial"/>
        </w:rPr>
        <w:t xml:space="preserve">n Region </w:t>
      </w:r>
      <w:proofErr w:type="spellStart"/>
      <w:proofErr w:type="gramStart"/>
      <w:r w:rsidRPr="003B485B">
        <w:rPr>
          <w:rFonts w:cs="Arial"/>
        </w:rPr>
        <w:t>Južne</w:t>
      </w:r>
      <w:proofErr w:type="spellEnd"/>
      <w:proofErr w:type="gramEnd"/>
      <w:r w:rsidRPr="003B485B">
        <w:rPr>
          <w:rFonts w:cs="Arial"/>
        </w:rPr>
        <w:t xml:space="preserve"> </w:t>
      </w:r>
      <w:proofErr w:type="spellStart"/>
      <w:r w:rsidRPr="003B485B">
        <w:rPr>
          <w:rFonts w:cs="Arial"/>
        </w:rPr>
        <w:t>i</w:t>
      </w:r>
      <w:proofErr w:type="spellEnd"/>
      <w:r w:rsidRPr="003B485B">
        <w:rPr>
          <w:rFonts w:cs="Arial"/>
        </w:rPr>
        <w:t xml:space="preserve"> </w:t>
      </w:r>
      <w:proofErr w:type="spellStart"/>
      <w:r w:rsidRPr="003B485B">
        <w:rPr>
          <w:rFonts w:cs="Arial"/>
        </w:rPr>
        <w:t>Istočne</w:t>
      </w:r>
      <w:proofErr w:type="spellEnd"/>
      <w:r w:rsidRPr="003B485B">
        <w:rPr>
          <w:rFonts w:cs="Arial"/>
        </w:rPr>
        <w:t xml:space="preserve"> </w:t>
      </w:r>
      <w:proofErr w:type="spellStart"/>
      <w:r w:rsidRPr="003B485B">
        <w:rPr>
          <w:rFonts w:cs="Arial"/>
        </w:rPr>
        <w:t>Srbije</w:t>
      </w:r>
      <w:proofErr w:type="spellEnd"/>
      <w:r w:rsidRPr="003B485B">
        <w:rPr>
          <w:rFonts w:cs="Arial"/>
        </w:rPr>
        <w:t xml:space="preserve"> </w:t>
      </w:r>
      <w:r w:rsidR="00084400" w:rsidRPr="003B485B">
        <w:rPr>
          <w:rFonts w:cs="Arial"/>
        </w:rPr>
        <w:t>record</w:t>
      </w:r>
      <w:r w:rsidR="00C0716F" w:rsidRPr="003B485B">
        <w:rPr>
          <w:rFonts w:cs="Arial"/>
        </w:rPr>
        <w:t>ed</w:t>
      </w:r>
      <w:r w:rsidR="00084400" w:rsidRPr="003B485B">
        <w:rPr>
          <w:rFonts w:cs="Arial"/>
        </w:rPr>
        <w:t xml:space="preserve"> </w:t>
      </w:r>
      <w:r w:rsidR="00C0716F" w:rsidRPr="003B485B">
        <w:rPr>
          <w:rFonts w:cs="Arial"/>
        </w:rPr>
        <w:t xml:space="preserve">was </w:t>
      </w:r>
      <w:r w:rsidR="00084400" w:rsidRPr="003B485B">
        <w:rPr>
          <w:rFonts w:cs="Arial"/>
        </w:rPr>
        <w:t xml:space="preserve">the </w:t>
      </w:r>
      <w:r w:rsidR="00030DBF" w:rsidRPr="003B485B">
        <w:rPr>
          <w:rFonts w:cs="Arial"/>
        </w:rPr>
        <w:t xml:space="preserve">worst situation regarding </w:t>
      </w:r>
      <w:r w:rsidR="00961739" w:rsidRPr="003B485B">
        <w:rPr>
          <w:rFonts w:cs="Arial"/>
        </w:rPr>
        <w:t>labour</w:t>
      </w:r>
      <w:r w:rsidR="00030DBF" w:rsidRPr="003B485B">
        <w:rPr>
          <w:rFonts w:cs="Arial"/>
        </w:rPr>
        <w:t xml:space="preserve"> market, resulting in the greatest</w:t>
      </w:r>
      <w:r w:rsidR="00084400" w:rsidRPr="003B485B">
        <w:rPr>
          <w:rFonts w:cs="Arial"/>
        </w:rPr>
        <w:t xml:space="preserve"> unemployment rate of 1</w:t>
      </w:r>
      <w:r w:rsidR="00C0716F" w:rsidRPr="003B485B">
        <w:rPr>
          <w:rFonts w:cs="Arial"/>
        </w:rPr>
        <w:t>2</w:t>
      </w:r>
      <w:r w:rsidR="00084400" w:rsidRPr="003B485B">
        <w:rPr>
          <w:rFonts w:cs="Arial"/>
        </w:rPr>
        <w:t>.</w:t>
      </w:r>
      <w:r w:rsidR="00065688" w:rsidRPr="003B485B">
        <w:rPr>
          <w:rFonts w:cs="Arial"/>
        </w:rPr>
        <w:t>8</w:t>
      </w:r>
      <w:r w:rsidR="00084400" w:rsidRPr="003B485B">
        <w:rPr>
          <w:rFonts w:cs="Arial"/>
        </w:rPr>
        <w:t>%</w:t>
      </w:r>
      <w:r w:rsidRPr="003B485B">
        <w:rPr>
          <w:rFonts w:cs="Arial"/>
        </w:rPr>
        <w:t xml:space="preserve">. </w:t>
      </w:r>
    </w:p>
    <w:p w:rsidR="009E3604" w:rsidRPr="003B485B" w:rsidRDefault="009E3604" w:rsidP="003B485B">
      <w:pPr>
        <w:spacing w:before="480" w:after="60" w:line="300" w:lineRule="auto"/>
        <w:ind w:firstLine="403"/>
        <w:jc w:val="center"/>
        <w:rPr>
          <w:rFonts w:cs="Arial"/>
          <w:bCs/>
        </w:rPr>
      </w:pPr>
      <w:r w:rsidRPr="003B485B">
        <w:rPr>
          <w:rFonts w:cs="Arial"/>
          <w:b/>
          <w:color w:val="323232"/>
        </w:rPr>
        <w:lastRenderedPageBreak/>
        <w:t xml:space="preserve">Table </w:t>
      </w:r>
      <w:proofErr w:type="gramStart"/>
      <w:r w:rsidRPr="003B485B">
        <w:rPr>
          <w:rFonts w:cs="Arial"/>
          <w:b/>
          <w:color w:val="323232"/>
        </w:rPr>
        <w:t>1</w:t>
      </w:r>
      <w:proofErr w:type="gramEnd"/>
      <w:r w:rsidRPr="003B485B">
        <w:rPr>
          <w:rFonts w:cs="Arial"/>
          <w:color w:val="323232"/>
        </w:rPr>
        <w:t xml:space="preserve"> </w:t>
      </w:r>
      <w:r w:rsidRPr="003B485B">
        <w:rPr>
          <w:rFonts w:cs="Arial"/>
          <w:bCs/>
        </w:rPr>
        <w:t>Main indicators of labour market trend, Q</w:t>
      </w:r>
      <w:r w:rsidR="00783A4C" w:rsidRPr="003B485B">
        <w:rPr>
          <w:rFonts w:cs="Arial"/>
          <w:bCs/>
        </w:rPr>
        <w:t>4</w:t>
      </w:r>
      <w:r w:rsidRPr="003B485B">
        <w:rPr>
          <w:rFonts w:cs="Arial"/>
          <w:bCs/>
        </w:rPr>
        <w:t xml:space="preserve"> 201</w:t>
      </w:r>
      <w:r w:rsidR="008F5D88" w:rsidRPr="003B485B">
        <w:rPr>
          <w:rFonts w:cs="Arial"/>
          <w:bCs/>
        </w:rPr>
        <w:t>9</w:t>
      </w:r>
    </w:p>
    <w:tbl>
      <w:tblPr>
        <w:tblW w:w="9072" w:type="dxa"/>
        <w:jc w:val="center"/>
        <w:tblLayout w:type="fixed"/>
        <w:tblLook w:val="04A0" w:firstRow="1" w:lastRow="0" w:firstColumn="1" w:lastColumn="0" w:noHBand="0" w:noVBand="1"/>
      </w:tblPr>
      <w:tblGrid>
        <w:gridCol w:w="3771"/>
        <w:gridCol w:w="1075"/>
        <w:gridCol w:w="1044"/>
        <w:gridCol w:w="1061"/>
        <w:gridCol w:w="1060"/>
        <w:gridCol w:w="1061"/>
      </w:tblGrid>
      <w:tr w:rsidR="003B485B" w:rsidRPr="003B485B" w:rsidTr="003B485B">
        <w:trPr>
          <w:trHeight w:val="273"/>
          <w:jc w:val="center"/>
        </w:trPr>
        <w:tc>
          <w:tcPr>
            <w:tcW w:w="3771" w:type="dxa"/>
            <w:vMerge w:val="restart"/>
            <w:tcBorders>
              <w:top w:val="single" w:sz="8" w:space="0" w:color="0C5498"/>
              <w:bottom w:val="single" w:sz="8" w:space="0" w:color="0C5498"/>
              <w:right w:val="single" w:sz="8" w:space="0" w:color="0C5498"/>
            </w:tcBorders>
            <w:vAlign w:val="center"/>
          </w:tcPr>
          <w:p w:rsidR="003B485B" w:rsidRPr="003B485B" w:rsidRDefault="003B485B" w:rsidP="003B485B">
            <w:pPr>
              <w:rPr>
                <w:rFonts w:cs="Arial"/>
                <w:color w:val="000000"/>
                <w:sz w:val="18"/>
                <w:szCs w:val="18"/>
              </w:rPr>
            </w:pPr>
          </w:p>
        </w:tc>
        <w:tc>
          <w:tcPr>
            <w:tcW w:w="1075" w:type="dxa"/>
            <w:tcBorders>
              <w:top w:val="single" w:sz="8" w:space="0" w:color="0C5498"/>
              <w:left w:val="nil"/>
              <w:bottom w:val="single" w:sz="8" w:space="0" w:color="0C5498"/>
              <w:right w:val="single" w:sz="8" w:space="0" w:color="0C5498"/>
            </w:tcBorders>
            <w:shd w:val="clear" w:color="auto" w:fill="auto"/>
            <w:vAlign w:val="center"/>
          </w:tcPr>
          <w:p w:rsidR="003B485B" w:rsidRPr="003B485B" w:rsidRDefault="003B485B" w:rsidP="003B485B">
            <w:pPr>
              <w:jc w:val="center"/>
              <w:rPr>
                <w:rFonts w:cs="Arial"/>
                <w:color w:val="000000"/>
                <w:sz w:val="18"/>
                <w:szCs w:val="18"/>
              </w:rPr>
            </w:pPr>
            <w:r w:rsidRPr="003B485B">
              <w:rPr>
                <w:rFonts w:cs="Arial"/>
                <w:sz w:val="18"/>
                <w:szCs w:val="18"/>
              </w:rPr>
              <w:t>Q4 2019</w:t>
            </w:r>
          </w:p>
        </w:tc>
        <w:tc>
          <w:tcPr>
            <w:tcW w:w="2105" w:type="dxa"/>
            <w:gridSpan w:val="2"/>
            <w:tcBorders>
              <w:top w:val="single" w:sz="8" w:space="0" w:color="0C5498"/>
              <w:left w:val="nil"/>
              <w:bottom w:val="single" w:sz="8" w:space="0" w:color="0C5498"/>
              <w:right w:val="single" w:sz="8" w:space="0" w:color="0C5498"/>
            </w:tcBorders>
            <w:shd w:val="clear" w:color="auto" w:fill="auto"/>
            <w:vAlign w:val="center"/>
          </w:tcPr>
          <w:p w:rsidR="003B485B" w:rsidRPr="003B485B" w:rsidRDefault="003B485B" w:rsidP="003B485B">
            <w:pPr>
              <w:jc w:val="center"/>
              <w:rPr>
                <w:rFonts w:cs="Arial"/>
                <w:color w:val="000000"/>
                <w:sz w:val="18"/>
                <w:szCs w:val="18"/>
              </w:rPr>
            </w:pPr>
            <w:r w:rsidRPr="003B485B">
              <w:rPr>
                <w:rFonts w:cs="Arial"/>
                <w:sz w:val="18"/>
                <w:szCs w:val="18"/>
              </w:rPr>
              <w:t>Changes relative to previous quarter</w:t>
            </w:r>
          </w:p>
        </w:tc>
        <w:tc>
          <w:tcPr>
            <w:tcW w:w="2121" w:type="dxa"/>
            <w:gridSpan w:val="2"/>
            <w:tcBorders>
              <w:top w:val="single" w:sz="8" w:space="0" w:color="0C5498"/>
              <w:left w:val="nil"/>
              <w:bottom w:val="single" w:sz="8" w:space="0" w:color="0C5498"/>
            </w:tcBorders>
            <w:shd w:val="clear" w:color="auto" w:fill="auto"/>
            <w:vAlign w:val="center"/>
          </w:tcPr>
          <w:p w:rsidR="003B485B" w:rsidRPr="003B485B" w:rsidRDefault="003B485B" w:rsidP="003B485B">
            <w:pPr>
              <w:jc w:val="center"/>
              <w:rPr>
                <w:rFonts w:cs="Arial"/>
                <w:color w:val="000000"/>
                <w:sz w:val="18"/>
                <w:szCs w:val="18"/>
              </w:rPr>
            </w:pPr>
            <w:r w:rsidRPr="003B485B">
              <w:rPr>
                <w:rFonts w:cs="Arial"/>
                <w:sz w:val="18"/>
                <w:szCs w:val="18"/>
              </w:rPr>
              <w:t>Changes relative to same quarter of 2018</w:t>
            </w:r>
          </w:p>
        </w:tc>
      </w:tr>
      <w:tr w:rsidR="009E3604" w:rsidRPr="003B485B" w:rsidTr="003B485B">
        <w:trPr>
          <w:trHeight w:val="273"/>
          <w:jc w:val="center"/>
        </w:trPr>
        <w:tc>
          <w:tcPr>
            <w:tcW w:w="3771" w:type="dxa"/>
            <w:vMerge/>
            <w:tcBorders>
              <w:top w:val="single" w:sz="8" w:space="0" w:color="0C5498"/>
              <w:bottom w:val="single" w:sz="8" w:space="0" w:color="0C5498"/>
              <w:right w:val="single" w:sz="8" w:space="0" w:color="0C5498"/>
            </w:tcBorders>
            <w:vAlign w:val="center"/>
            <w:hideMark/>
          </w:tcPr>
          <w:p w:rsidR="009E3604" w:rsidRPr="003B485B" w:rsidRDefault="009E3604" w:rsidP="009130AD">
            <w:pPr>
              <w:rPr>
                <w:rFonts w:cs="Arial"/>
                <w:color w:val="000000"/>
                <w:sz w:val="18"/>
                <w:szCs w:val="18"/>
              </w:rPr>
            </w:pPr>
          </w:p>
        </w:tc>
        <w:tc>
          <w:tcPr>
            <w:tcW w:w="1075" w:type="dxa"/>
            <w:tcBorders>
              <w:top w:val="single" w:sz="8" w:space="0" w:color="0C5498"/>
              <w:left w:val="nil"/>
              <w:bottom w:val="single" w:sz="8" w:space="0" w:color="0C5498"/>
              <w:right w:val="single" w:sz="8" w:space="0" w:color="0C5498"/>
            </w:tcBorders>
            <w:shd w:val="clear" w:color="auto" w:fill="auto"/>
            <w:vAlign w:val="center"/>
            <w:hideMark/>
          </w:tcPr>
          <w:p w:rsidR="009E3604" w:rsidRPr="003B485B" w:rsidRDefault="009E3604" w:rsidP="009130AD">
            <w:pPr>
              <w:jc w:val="center"/>
              <w:rPr>
                <w:rFonts w:cs="Arial"/>
                <w:color w:val="000000"/>
                <w:sz w:val="18"/>
                <w:szCs w:val="18"/>
              </w:rPr>
            </w:pPr>
            <w:r w:rsidRPr="003B485B">
              <w:rPr>
                <w:rFonts w:cs="Arial"/>
                <w:sz w:val="18"/>
                <w:szCs w:val="18"/>
              </w:rPr>
              <w:t>(in thousand)</w:t>
            </w:r>
          </w:p>
        </w:tc>
        <w:tc>
          <w:tcPr>
            <w:tcW w:w="1044" w:type="dxa"/>
            <w:tcBorders>
              <w:top w:val="single" w:sz="8" w:space="0" w:color="0C5498"/>
              <w:left w:val="nil"/>
              <w:bottom w:val="single" w:sz="8" w:space="0" w:color="0C5498"/>
              <w:right w:val="single" w:sz="8" w:space="0" w:color="0C5498"/>
            </w:tcBorders>
            <w:shd w:val="clear" w:color="auto" w:fill="auto"/>
            <w:vAlign w:val="center"/>
            <w:hideMark/>
          </w:tcPr>
          <w:p w:rsidR="009E3604" w:rsidRPr="003B485B" w:rsidRDefault="009E3604" w:rsidP="009130AD">
            <w:pPr>
              <w:jc w:val="center"/>
              <w:rPr>
                <w:rFonts w:cs="Arial"/>
                <w:color w:val="000000"/>
                <w:sz w:val="18"/>
                <w:szCs w:val="18"/>
              </w:rPr>
            </w:pPr>
            <w:r w:rsidRPr="003B485B">
              <w:rPr>
                <w:rFonts w:cs="Arial"/>
                <w:sz w:val="18"/>
                <w:szCs w:val="18"/>
              </w:rPr>
              <w:t>(in thousand)</w:t>
            </w:r>
          </w:p>
        </w:tc>
        <w:tc>
          <w:tcPr>
            <w:tcW w:w="1061" w:type="dxa"/>
            <w:tcBorders>
              <w:top w:val="single" w:sz="8" w:space="0" w:color="0C5498"/>
              <w:left w:val="nil"/>
              <w:bottom w:val="single" w:sz="8" w:space="0" w:color="0C5498"/>
              <w:right w:val="single" w:sz="8" w:space="0" w:color="0C5498"/>
            </w:tcBorders>
            <w:shd w:val="clear" w:color="auto" w:fill="auto"/>
            <w:vAlign w:val="center"/>
            <w:hideMark/>
          </w:tcPr>
          <w:p w:rsidR="009E3604" w:rsidRPr="003B485B" w:rsidRDefault="009E3604" w:rsidP="009130AD">
            <w:pPr>
              <w:jc w:val="center"/>
              <w:rPr>
                <w:rFonts w:cs="Arial"/>
                <w:color w:val="000000"/>
                <w:sz w:val="18"/>
                <w:szCs w:val="18"/>
              </w:rPr>
            </w:pPr>
            <w:r w:rsidRPr="003B485B">
              <w:rPr>
                <w:rFonts w:cs="Arial"/>
                <w:color w:val="000000"/>
                <w:sz w:val="18"/>
                <w:szCs w:val="18"/>
              </w:rPr>
              <w:t>%</w:t>
            </w:r>
          </w:p>
        </w:tc>
        <w:tc>
          <w:tcPr>
            <w:tcW w:w="1060" w:type="dxa"/>
            <w:tcBorders>
              <w:top w:val="single" w:sz="8" w:space="0" w:color="0C5498"/>
              <w:left w:val="nil"/>
              <w:bottom w:val="single" w:sz="8" w:space="0" w:color="0C5498"/>
              <w:right w:val="single" w:sz="8" w:space="0" w:color="0C5498"/>
            </w:tcBorders>
            <w:shd w:val="clear" w:color="auto" w:fill="auto"/>
            <w:vAlign w:val="center"/>
            <w:hideMark/>
          </w:tcPr>
          <w:p w:rsidR="009E3604" w:rsidRPr="003B485B" w:rsidRDefault="009E3604" w:rsidP="009130AD">
            <w:pPr>
              <w:jc w:val="center"/>
              <w:rPr>
                <w:rFonts w:cs="Arial"/>
                <w:color w:val="000000"/>
                <w:sz w:val="18"/>
                <w:szCs w:val="18"/>
              </w:rPr>
            </w:pPr>
            <w:r w:rsidRPr="003B485B">
              <w:rPr>
                <w:rFonts w:cs="Arial"/>
                <w:sz w:val="18"/>
                <w:szCs w:val="18"/>
              </w:rPr>
              <w:t>(in thousand)</w:t>
            </w:r>
          </w:p>
        </w:tc>
        <w:tc>
          <w:tcPr>
            <w:tcW w:w="1061" w:type="dxa"/>
            <w:tcBorders>
              <w:top w:val="single" w:sz="8" w:space="0" w:color="0C5498"/>
              <w:left w:val="nil"/>
              <w:bottom w:val="single" w:sz="8" w:space="0" w:color="0C5498"/>
            </w:tcBorders>
            <w:shd w:val="clear" w:color="auto" w:fill="auto"/>
            <w:vAlign w:val="center"/>
            <w:hideMark/>
          </w:tcPr>
          <w:p w:rsidR="009E3604" w:rsidRPr="003B485B" w:rsidRDefault="009E3604" w:rsidP="009130AD">
            <w:pPr>
              <w:jc w:val="center"/>
              <w:rPr>
                <w:rFonts w:cs="Arial"/>
                <w:color w:val="000000"/>
                <w:sz w:val="18"/>
                <w:szCs w:val="18"/>
              </w:rPr>
            </w:pPr>
            <w:r w:rsidRPr="003B485B">
              <w:rPr>
                <w:rFonts w:cs="Arial"/>
                <w:color w:val="000000"/>
                <w:sz w:val="18"/>
                <w:szCs w:val="18"/>
              </w:rPr>
              <w:t>%</w:t>
            </w:r>
          </w:p>
        </w:tc>
      </w:tr>
      <w:tr w:rsidR="009E3604" w:rsidRPr="003B485B" w:rsidTr="00066CE2">
        <w:trPr>
          <w:trHeight w:val="260"/>
          <w:jc w:val="center"/>
        </w:trPr>
        <w:tc>
          <w:tcPr>
            <w:tcW w:w="3771" w:type="dxa"/>
            <w:tcBorders>
              <w:top w:val="nil"/>
              <w:bottom w:val="nil"/>
              <w:right w:val="single" w:sz="8" w:space="0" w:color="0C5498"/>
            </w:tcBorders>
            <w:shd w:val="clear" w:color="auto" w:fill="auto"/>
            <w:vAlign w:val="center"/>
            <w:hideMark/>
          </w:tcPr>
          <w:p w:rsidR="009E3604" w:rsidRPr="003B485B" w:rsidRDefault="009E3604" w:rsidP="009130AD">
            <w:pPr>
              <w:rPr>
                <w:rFonts w:cs="Arial"/>
                <w:b/>
                <w:bCs/>
                <w:color w:val="000000"/>
                <w:sz w:val="18"/>
                <w:szCs w:val="18"/>
              </w:rPr>
            </w:pPr>
            <w:r w:rsidRPr="003B485B">
              <w:rPr>
                <w:rFonts w:cs="Arial"/>
                <w:b/>
                <w:bCs/>
                <w:color w:val="000000"/>
                <w:sz w:val="18"/>
                <w:szCs w:val="18"/>
              </w:rPr>
              <w:t> </w:t>
            </w:r>
          </w:p>
        </w:tc>
        <w:tc>
          <w:tcPr>
            <w:tcW w:w="1075" w:type="dxa"/>
            <w:tcBorders>
              <w:top w:val="nil"/>
              <w:left w:val="nil"/>
              <w:bottom w:val="nil"/>
              <w:right w:val="single" w:sz="8" w:space="0" w:color="0C5498"/>
            </w:tcBorders>
            <w:shd w:val="clear" w:color="auto" w:fill="auto"/>
            <w:vAlign w:val="center"/>
            <w:hideMark/>
          </w:tcPr>
          <w:p w:rsidR="009E3604" w:rsidRPr="003B485B" w:rsidRDefault="009E3604" w:rsidP="009130AD">
            <w:pPr>
              <w:jc w:val="right"/>
              <w:rPr>
                <w:rFonts w:cs="Arial"/>
                <w:color w:val="000000"/>
                <w:sz w:val="18"/>
                <w:szCs w:val="18"/>
              </w:rPr>
            </w:pPr>
            <w:r w:rsidRPr="003B485B">
              <w:rPr>
                <w:rFonts w:cs="Arial"/>
                <w:color w:val="000000"/>
                <w:sz w:val="18"/>
                <w:szCs w:val="18"/>
              </w:rPr>
              <w:t> </w:t>
            </w:r>
          </w:p>
        </w:tc>
        <w:tc>
          <w:tcPr>
            <w:tcW w:w="1044" w:type="dxa"/>
            <w:tcBorders>
              <w:top w:val="nil"/>
              <w:left w:val="nil"/>
              <w:bottom w:val="nil"/>
              <w:right w:val="nil"/>
            </w:tcBorders>
            <w:shd w:val="clear" w:color="auto" w:fill="auto"/>
            <w:vAlign w:val="center"/>
            <w:hideMark/>
          </w:tcPr>
          <w:p w:rsidR="009E3604" w:rsidRPr="003B485B" w:rsidRDefault="009E3604" w:rsidP="009130AD">
            <w:pPr>
              <w:jc w:val="right"/>
              <w:rPr>
                <w:rFonts w:cs="Arial"/>
                <w:color w:val="000000"/>
                <w:sz w:val="18"/>
                <w:szCs w:val="18"/>
              </w:rPr>
            </w:pPr>
          </w:p>
        </w:tc>
        <w:tc>
          <w:tcPr>
            <w:tcW w:w="1061" w:type="dxa"/>
            <w:tcBorders>
              <w:top w:val="nil"/>
              <w:left w:val="nil"/>
              <w:bottom w:val="nil"/>
              <w:right w:val="single" w:sz="8" w:space="0" w:color="0C5498"/>
            </w:tcBorders>
            <w:shd w:val="clear" w:color="auto" w:fill="auto"/>
            <w:vAlign w:val="center"/>
            <w:hideMark/>
          </w:tcPr>
          <w:p w:rsidR="009E3604" w:rsidRPr="003B485B" w:rsidRDefault="009E3604" w:rsidP="009130AD">
            <w:pPr>
              <w:jc w:val="right"/>
              <w:rPr>
                <w:rFonts w:cs="Arial"/>
                <w:color w:val="000000"/>
                <w:sz w:val="18"/>
                <w:szCs w:val="18"/>
              </w:rPr>
            </w:pPr>
            <w:r w:rsidRPr="003B485B">
              <w:rPr>
                <w:rFonts w:cs="Arial"/>
                <w:color w:val="000000"/>
                <w:sz w:val="18"/>
                <w:szCs w:val="18"/>
              </w:rPr>
              <w:t> </w:t>
            </w:r>
          </w:p>
        </w:tc>
        <w:tc>
          <w:tcPr>
            <w:tcW w:w="1060" w:type="dxa"/>
            <w:tcBorders>
              <w:top w:val="nil"/>
              <w:left w:val="nil"/>
              <w:bottom w:val="nil"/>
              <w:right w:val="nil"/>
            </w:tcBorders>
            <w:shd w:val="clear" w:color="auto" w:fill="auto"/>
            <w:vAlign w:val="center"/>
            <w:hideMark/>
          </w:tcPr>
          <w:p w:rsidR="009E3604" w:rsidRPr="003B485B" w:rsidRDefault="009E3604" w:rsidP="009130AD">
            <w:pPr>
              <w:jc w:val="right"/>
              <w:rPr>
                <w:rFonts w:cs="Arial"/>
                <w:color w:val="000000"/>
                <w:sz w:val="18"/>
                <w:szCs w:val="18"/>
              </w:rPr>
            </w:pPr>
          </w:p>
        </w:tc>
        <w:tc>
          <w:tcPr>
            <w:tcW w:w="1061" w:type="dxa"/>
            <w:tcBorders>
              <w:top w:val="nil"/>
              <w:left w:val="nil"/>
              <w:bottom w:val="nil"/>
            </w:tcBorders>
            <w:shd w:val="clear" w:color="auto" w:fill="auto"/>
            <w:vAlign w:val="center"/>
            <w:hideMark/>
          </w:tcPr>
          <w:p w:rsidR="009E3604" w:rsidRPr="003B485B" w:rsidRDefault="009E3604" w:rsidP="009130AD">
            <w:pPr>
              <w:jc w:val="right"/>
              <w:rPr>
                <w:rFonts w:cs="Arial"/>
                <w:color w:val="000000"/>
                <w:sz w:val="18"/>
                <w:szCs w:val="18"/>
              </w:rPr>
            </w:pPr>
            <w:r w:rsidRPr="003B485B">
              <w:rPr>
                <w:rFonts w:cs="Arial"/>
                <w:color w:val="000000"/>
                <w:sz w:val="18"/>
                <w:szCs w:val="18"/>
              </w:rPr>
              <w:t> </w:t>
            </w:r>
          </w:p>
        </w:tc>
      </w:tr>
      <w:tr w:rsidR="00783A4C" w:rsidRPr="003B485B" w:rsidTr="00783A4C">
        <w:trPr>
          <w:trHeight w:val="260"/>
          <w:jc w:val="center"/>
        </w:trPr>
        <w:tc>
          <w:tcPr>
            <w:tcW w:w="3771" w:type="dxa"/>
            <w:tcBorders>
              <w:top w:val="nil"/>
              <w:bottom w:val="nil"/>
              <w:right w:val="single" w:sz="8" w:space="0" w:color="0C5498"/>
            </w:tcBorders>
            <w:shd w:val="clear" w:color="auto" w:fill="auto"/>
            <w:vAlign w:val="center"/>
            <w:hideMark/>
          </w:tcPr>
          <w:p w:rsidR="00783A4C" w:rsidRPr="003B485B" w:rsidRDefault="00783A4C" w:rsidP="00783A4C">
            <w:pPr>
              <w:rPr>
                <w:rFonts w:cs="Arial"/>
                <w:b/>
                <w:bCs/>
                <w:color w:val="000000"/>
                <w:sz w:val="18"/>
                <w:szCs w:val="18"/>
              </w:rPr>
            </w:pPr>
            <w:r w:rsidRPr="003B485B">
              <w:rPr>
                <w:rFonts w:cs="Arial"/>
                <w:b/>
                <w:bCs/>
                <w:color w:val="000000"/>
                <w:sz w:val="18"/>
                <w:szCs w:val="18"/>
              </w:rPr>
              <w:t>Population 15+</w:t>
            </w:r>
          </w:p>
        </w:tc>
        <w:tc>
          <w:tcPr>
            <w:tcW w:w="1075" w:type="dxa"/>
            <w:tcBorders>
              <w:top w:val="nil"/>
              <w:left w:val="nil"/>
              <w:bottom w:val="nil"/>
              <w:right w:val="single" w:sz="8" w:space="0" w:color="0C5498"/>
            </w:tcBorders>
            <w:shd w:val="clear" w:color="auto" w:fill="auto"/>
            <w:vAlign w:val="center"/>
          </w:tcPr>
          <w:p w:rsidR="00783A4C" w:rsidRPr="003B485B" w:rsidRDefault="00783A4C" w:rsidP="00783A4C">
            <w:pPr>
              <w:jc w:val="right"/>
              <w:rPr>
                <w:sz w:val="18"/>
                <w:szCs w:val="18"/>
              </w:rPr>
            </w:pPr>
            <w:r w:rsidRPr="003B485B">
              <w:rPr>
                <w:sz w:val="18"/>
                <w:szCs w:val="18"/>
              </w:rPr>
              <w:t>5912.9</w:t>
            </w:r>
          </w:p>
        </w:tc>
        <w:tc>
          <w:tcPr>
            <w:tcW w:w="1044" w:type="dxa"/>
            <w:tcBorders>
              <w:top w:val="nil"/>
              <w:left w:val="nil"/>
              <w:bottom w:val="nil"/>
              <w:right w:val="nil"/>
            </w:tcBorders>
            <w:shd w:val="clear" w:color="auto" w:fill="auto"/>
            <w:vAlign w:val="center"/>
          </w:tcPr>
          <w:p w:rsidR="00783A4C" w:rsidRPr="003B485B" w:rsidRDefault="00783A4C" w:rsidP="00783A4C">
            <w:pPr>
              <w:jc w:val="right"/>
              <w:rPr>
                <w:sz w:val="18"/>
                <w:szCs w:val="18"/>
              </w:rPr>
            </w:pPr>
            <w:r w:rsidRPr="003B485B">
              <w:rPr>
                <w:sz w:val="18"/>
                <w:szCs w:val="18"/>
              </w:rPr>
              <w:t>-7.3</w:t>
            </w:r>
          </w:p>
        </w:tc>
        <w:tc>
          <w:tcPr>
            <w:tcW w:w="1061" w:type="dxa"/>
            <w:tcBorders>
              <w:top w:val="nil"/>
              <w:left w:val="nil"/>
              <w:bottom w:val="nil"/>
              <w:right w:val="single" w:sz="8" w:space="0" w:color="0C5498"/>
            </w:tcBorders>
            <w:shd w:val="clear" w:color="auto" w:fill="auto"/>
            <w:vAlign w:val="center"/>
          </w:tcPr>
          <w:p w:rsidR="00783A4C" w:rsidRPr="003B485B" w:rsidRDefault="00783A4C" w:rsidP="00783A4C">
            <w:pPr>
              <w:jc w:val="right"/>
              <w:rPr>
                <w:sz w:val="18"/>
                <w:szCs w:val="18"/>
              </w:rPr>
            </w:pPr>
            <w:r w:rsidRPr="003B485B">
              <w:rPr>
                <w:sz w:val="18"/>
                <w:szCs w:val="18"/>
              </w:rPr>
              <w:t>-0.1</w:t>
            </w:r>
          </w:p>
        </w:tc>
        <w:tc>
          <w:tcPr>
            <w:tcW w:w="1060" w:type="dxa"/>
            <w:tcBorders>
              <w:top w:val="nil"/>
              <w:left w:val="nil"/>
              <w:bottom w:val="nil"/>
              <w:right w:val="nil"/>
            </w:tcBorders>
            <w:shd w:val="clear" w:color="auto" w:fill="auto"/>
            <w:vAlign w:val="center"/>
          </w:tcPr>
          <w:p w:rsidR="00783A4C" w:rsidRPr="003B485B" w:rsidRDefault="00783A4C" w:rsidP="00783A4C">
            <w:pPr>
              <w:jc w:val="right"/>
              <w:rPr>
                <w:sz w:val="18"/>
                <w:szCs w:val="18"/>
              </w:rPr>
            </w:pPr>
            <w:r w:rsidRPr="003B485B">
              <w:rPr>
                <w:sz w:val="18"/>
                <w:szCs w:val="18"/>
              </w:rPr>
              <w:t>-29.9</w:t>
            </w:r>
          </w:p>
        </w:tc>
        <w:tc>
          <w:tcPr>
            <w:tcW w:w="1061" w:type="dxa"/>
            <w:tcBorders>
              <w:top w:val="nil"/>
              <w:left w:val="nil"/>
              <w:bottom w:val="nil"/>
              <w:right w:val="nil"/>
            </w:tcBorders>
            <w:shd w:val="clear" w:color="auto" w:fill="auto"/>
            <w:vAlign w:val="center"/>
          </w:tcPr>
          <w:p w:rsidR="00783A4C" w:rsidRPr="003B485B" w:rsidRDefault="00783A4C" w:rsidP="00783A4C">
            <w:pPr>
              <w:jc w:val="right"/>
              <w:rPr>
                <w:sz w:val="18"/>
                <w:szCs w:val="18"/>
              </w:rPr>
            </w:pPr>
            <w:r w:rsidRPr="003B485B">
              <w:rPr>
                <w:sz w:val="18"/>
                <w:szCs w:val="18"/>
              </w:rPr>
              <w:t>-0.5</w:t>
            </w:r>
          </w:p>
        </w:tc>
      </w:tr>
      <w:tr w:rsidR="00783A4C" w:rsidRPr="003B485B" w:rsidTr="00783A4C">
        <w:trPr>
          <w:trHeight w:val="260"/>
          <w:jc w:val="center"/>
        </w:trPr>
        <w:tc>
          <w:tcPr>
            <w:tcW w:w="3771" w:type="dxa"/>
            <w:tcBorders>
              <w:top w:val="nil"/>
              <w:bottom w:val="nil"/>
              <w:right w:val="single" w:sz="8" w:space="0" w:color="0C5498"/>
            </w:tcBorders>
            <w:shd w:val="clear" w:color="auto" w:fill="auto"/>
            <w:vAlign w:val="center"/>
            <w:hideMark/>
          </w:tcPr>
          <w:p w:rsidR="00783A4C" w:rsidRPr="003B485B" w:rsidRDefault="00783A4C" w:rsidP="00783A4C">
            <w:pPr>
              <w:rPr>
                <w:rFonts w:cs="Arial"/>
                <w:color w:val="000000"/>
                <w:sz w:val="18"/>
                <w:szCs w:val="18"/>
              </w:rPr>
            </w:pPr>
            <w:r w:rsidRPr="003B485B">
              <w:rPr>
                <w:rFonts w:cs="Arial"/>
                <w:color w:val="000000"/>
                <w:sz w:val="18"/>
                <w:szCs w:val="18"/>
              </w:rPr>
              <w:t xml:space="preserve">    Active population </w:t>
            </w:r>
          </w:p>
        </w:tc>
        <w:tc>
          <w:tcPr>
            <w:tcW w:w="1075" w:type="dxa"/>
            <w:tcBorders>
              <w:top w:val="nil"/>
              <w:left w:val="nil"/>
              <w:bottom w:val="nil"/>
              <w:right w:val="single" w:sz="8" w:space="0" w:color="0C5498"/>
            </w:tcBorders>
            <w:shd w:val="clear" w:color="auto" w:fill="auto"/>
            <w:vAlign w:val="center"/>
          </w:tcPr>
          <w:p w:rsidR="00783A4C" w:rsidRPr="003B485B" w:rsidRDefault="00783A4C" w:rsidP="00783A4C">
            <w:pPr>
              <w:jc w:val="right"/>
              <w:rPr>
                <w:sz w:val="18"/>
                <w:szCs w:val="18"/>
              </w:rPr>
            </w:pPr>
            <w:r w:rsidRPr="003B485B">
              <w:rPr>
                <w:sz w:val="18"/>
                <w:szCs w:val="18"/>
              </w:rPr>
              <w:t>3252.3</w:t>
            </w:r>
          </w:p>
        </w:tc>
        <w:tc>
          <w:tcPr>
            <w:tcW w:w="1044" w:type="dxa"/>
            <w:tcBorders>
              <w:top w:val="nil"/>
              <w:left w:val="nil"/>
              <w:bottom w:val="nil"/>
              <w:right w:val="nil"/>
            </w:tcBorders>
            <w:shd w:val="clear" w:color="auto" w:fill="auto"/>
            <w:vAlign w:val="center"/>
          </w:tcPr>
          <w:p w:rsidR="00783A4C" w:rsidRPr="003B485B" w:rsidRDefault="00783A4C" w:rsidP="00783A4C">
            <w:pPr>
              <w:jc w:val="right"/>
              <w:rPr>
                <w:sz w:val="18"/>
                <w:szCs w:val="18"/>
              </w:rPr>
            </w:pPr>
            <w:r w:rsidRPr="003B485B">
              <w:rPr>
                <w:sz w:val="18"/>
                <w:szCs w:val="18"/>
              </w:rPr>
              <w:t>5.2</w:t>
            </w:r>
          </w:p>
        </w:tc>
        <w:tc>
          <w:tcPr>
            <w:tcW w:w="1061" w:type="dxa"/>
            <w:tcBorders>
              <w:top w:val="nil"/>
              <w:left w:val="nil"/>
              <w:bottom w:val="nil"/>
              <w:right w:val="single" w:sz="8" w:space="0" w:color="0C5498"/>
            </w:tcBorders>
            <w:shd w:val="clear" w:color="auto" w:fill="auto"/>
            <w:vAlign w:val="center"/>
          </w:tcPr>
          <w:p w:rsidR="00783A4C" w:rsidRPr="003B485B" w:rsidRDefault="00783A4C" w:rsidP="00783A4C">
            <w:pPr>
              <w:jc w:val="right"/>
              <w:rPr>
                <w:sz w:val="18"/>
                <w:szCs w:val="18"/>
              </w:rPr>
            </w:pPr>
            <w:r w:rsidRPr="003B485B">
              <w:rPr>
                <w:sz w:val="18"/>
                <w:szCs w:val="18"/>
              </w:rPr>
              <w:t>0.2</w:t>
            </w:r>
          </w:p>
        </w:tc>
        <w:tc>
          <w:tcPr>
            <w:tcW w:w="1060" w:type="dxa"/>
            <w:tcBorders>
              <w:top w:val="nil"/>
              <w:left w:val="nil"/>
              <w:bottom w:val="nil"/>
              <w:right w:val="nil"/>
            </w:tcBorders>
            <w:shd w:val="clear" w:color="auto" w:fill="auto"/>
            <w:vAlign w:val="center"/>
          </w:tcPr>
          <w:p w:rsidR="00783A4C" w:rsidRPr="003B485B" w:rsidRDefault="00783A4C" w:rsidP="00783A4C">
            <w:pPr>
              <w:jc w:val="right"/>
              <w:rPr>
                <w:sz w:val="18"/>
                <w:szCs w:val="18"/>
              </w:rPr>
            </w:pPr>
            <w:r w:rsidRPr="003B485B">
              <w:rPr>
                <w:sz w:val="18"/>
                <w:szCs w:val="18"/>
              </w:rPr>
              <w:t>18.4</w:t>
            </w:r>
          </w:p>
        </w:tc>
        <w:tc>
          <w:tcPr>
            <w:tcW w:w="1061" w:type="dxa"/>
            <w:tcBorders>
              <w:top w:val="nil"/>
              <w:left w:val="nil"/>
              <w:bottom w:val="nil"/>
              <w:right w:val="nil"/>
            </w:tcBorders>
            <w:shd w:val="clear" w:color="auto" w:fill="auto"/>
            <w:vAlign w:val="center"/>
          </w:tcPr>
          <w:p w:rsidR="00783A4C" w:rsidRPr="003B485B" w:rsidRDefault="00783A4C" w:rsidP="00783A4C">
            <w:pPr>
              <w:jc w:val="right"/>
              <w:rPr>
                <w:sz w:val="18"/>
                <w:szCs w:val="18"/>
              </w:rPr>
            </w:pPr>
            <w:r w:rsidRPr="003B485B">
              <w:rPr>
                <w:sz w:val="18"/>
                <w:szCs w:val="18"/>
              </w:rPr>
              <w:t>0.6</w:t>
            </w:r>
          </w:p>
        </w:tc>
      </w:tr>
      <w:tr w:rsidR="00783A4C" w:rsidRPr="003B485B" w:rsidTr="00783A4C">
        <w:trPr>
          <w:trHeight w:val="260"/>
          <w:jc w:val="center"/>
        </w:trPr>
        <w:tc>
          <w:tcPr>
            <w:tcW w:w="3771" w:type="dxa"/>
            <w:tcBorders>
              <w:top w:val="nil"/>
              <w:bottom w:val="nil"/>
              <w:right w:val="single" w:sz="8" w:space="0" w:color="0C5498"/>
            </w:tcBorders>
            <w:shd w:val="clear" w:color="auto" w:fill="auto"/>
            <w:vAlign w:val="center"/>
            <w:hideMark/>
          </w:tcPr>
          <w:p w:rsidR="00783A4C" w:rsidRPr="003B485B" w:rsidRDefault="00783A4C" w:rsidP="00783A4C">
            <w:pPr>
              <w:rPr>
                <w:rFonts w:cs="Arial"/>
                <w:color w:val="000000"/>
                <w:sz w:val="18"/>
                <w:szCs w:val="18"/>
              </w:rPr>
            </w:pPr>
            <w:r w:rsidRPr="003B485B">
              <w:rPr>
                <w:rFonts w:cs="Arial"/>
                <w:color w:val="000000"/>
                <w:sz w:val="18"/>
                <w:szCs w:val="18"/>
              </w:rPr>
              <w:t xml:space="preserve">        Employed</w:t>
            </w:r>
          </w:p>
        </w:tc>
        <w:tc>
          <w:tcPr>
            <w:tcW w:w="1075" w:type="dxa"/>
            <w:tcBorders>
              <w:top w:val="nil"/>
              <w:left w:val="nil"/>
              <w:bottom w:val="nil"/>
              <w:right w:val="single" w:sz="8" w:space="0" w:color="0C5498"/>
            </w:tcBorders>
            <w:shd w:val="clear" w:color="auto" w:fill="auto"/>
            <w:vAlign w:val="center"/>
          </w:tcPr>
          <w:p w:rsidR="00783A4C" w:rsidRPr="003B485B" w:rsidRDefault="00783A4C" w:rsidP="00783A4C">
            <w:pPr>
              <w:jc w:val="right"/>
              <w:rPr>
                <w:sz w:val="18"/>
                <w:szCs w:val="18"/>
              </w:rPr>
            </w:pPr>
            <w:r w:rsidRPr="003B485B">
              <w:rPr>
                <w:sz w:val="18"/>
                <w:szCs w:val="18"/>
              </w:rPr>
              <w:t>2938.2</w:t>
            </w:r>
          </w:p>
        </w:tc>
        <w:tc>
          <w:tcPr>
            <w:tcW w:w="1044" w:type="dxa"/>
            <w:tcBorders>
              <w:top w:val="nil"/>
              <w:left w:val="nil"/>
              <w:bottom w:val="nil"/>
              <w:right w:val="nil"/>
            </w:tcBorders>
            <w:shd w:val="clear" w:color="auto" w:fill="auto"/>
            <w:vAlign w:val="center"/>
          </w:tcPr>
          <w:p w:rsidR="00783A4C" w:rsidRPr="003B485B" w:rsidRDefault="00783A4C" w:rsidP="00783A4C">
            <w:pPr>
              <w:jc w:val="right"/>
              <w:rPr>
                <w:sz w:val="18"/>
                <w:szCs w:val="18"/>
              </w:rPr>
            </w:pPr>
            <w:r w:rsidRPr="003B485B">
              <w:rPr>
                <w:sz w:val="18"/>
                <w:szCs w:val="18"/>
              </w:rPr>
              <w:t>-0.5</w:t>
            </w:r>
          </w:p>
        </w:tc>
        <w:tc>
          <w:tcPr>
            <w:tcW w:w="1061" w:type="dxa"/>
            <w:tcBorders>
              <w:top w:val="nil"/>
              <w:left w:val="nil"/>
              <w:bottom w:val="nil"/>
              <w:right w:val="single" w:sz="8" w:space="0" w:color="0C5498"/>
            </w:tcBorders>
            <w:shd w:val="clear" w:color="auto" w:fill="auto"/>
            <w:vAlign w:val="center"/>
          </w:tcPr>
          <w:p w:rsidR="00783A4C" w:rsidRPr="003B485B" w:rsidRDefault="00783A4C" w:rsidP="00783A4C">
            <w:pPr>
              <w:jc w:val="right"/>
              <w:rPr>
                <w:sz w:val="18"/>
                <w:szCs w:val="18"/>
              </w:rPr>
            </w:pPr>
            <w:r w:rsidRPr="003B485B">
              <w:rPr>
                <w:sz w:val="18"/>
                <w:szCs w:val="18"/>
              </w:rPr>
              <w:t>0.0</w:t>
            </w:r>
          </w:p>
        </w:tc>
        <w:tc>
          <w:tcPr>
            <w:tcW w:w="1060" w:type="dxa"/>
            <w:tcBorders>
              <w:top w:val="nil"/>
              <w:left w:val="nil"/>
              <w:bottom w:val="nil"/>
              <w:right w:val="nil"/>
            </w:tcBorders>
            <w:shd w:val="clear" w:color="auto" w:fill="auto"/>
            <w:vAlign w:val="center"/>
          </w:tcPr>
          <w:p w:rsidR="00783A4C" w:rsidRPr="003B485B" w:rsidRDefault="00783A4C" w:rsidP="00783A4C">
            <w:pPr>
              <w:jc w:val="right"/>
              <w:rPr>
                <w:sz w:val="18"/>
                <w:szCs w:val="18"/>
              </w:rPr>
            </w:pPr>
            <w:r w:rsidRPr="003B485B">
              <w:rPr>
                <w:sz w:val="18"/>
                <w:szCs w:val="18"/>
              </w:rPr>
              <w:t>120.9</w:t>
            </w:r>
          </w:p>
        </w:tc>
        <w:tc>
          <w:tcPr>
            <w:tcW w:w="1061" w:type="dxa"/>
            <w:tcBorders>
              <w:top w:val="nil"/>
              <w:left w:val="nil"/>
              <w:bottom w:val="nil"/>
              <w:right w:val="nil"/>
            </w:tcBorders>
            <w:shd w:val="clear" w:color="auto" w:fill="auto"/>
            <w:vAlign w:val="center"/>
          </w:tcPr>
          <w:p w:rsidR="00783A4C" w:rsidRPr="003B485B" w:rsidRDefault="00783A4C" w:rsidP="00783A4C">
            <w:pPr>
              <w:jc w:val="right"/>
              <w:rPr>
                <w:sz w:val="18"/>
                <w:szCs w:val="18"/>
              </w:rPr>
            </w:pPr>
            <w:r w:rsidRPr="003B485B">
              <w:rPr>
                <w:sz w:val="18"/>
                <w:szCs w:val="18"/>
              </w:rPr>
              <w:t>4.3</w:t>
            </w:r>
          </w:p>
        </w:tc>
      </w:tr>
      <w:tr w:rsidR="00783A4C" w:rsidRPr="003B485B" w:rsidTr="00783A4C">
        <w:trPr>
          <w:trHeight w:val="260"/>
          <w:jc w:val="center"/>
        </w:trPr>
        <w:tc>
          <w:tcPr>
            <w:tcW w:w="3771" w:type="dxa"/>
            <w:tcBorders>
              <w:top w:val="nil"/>
              <w:bottom w:val="nil"/>
              <w:right w:val="single" w:sz="8" w:space="0" w:color="0C5498"/>
            </w:tcBorders>
            <w:shd w:val="clear" w:color="auto" w:fill="auto"/>
            <w:vAlign w:val="center"/>
            <w:hideMark/>
          </w:tcPr>
          <w:p w:rsidR="00783A4C" w:rsidRPr="003B485B" w:rsidRDefault="00783A4C" w:rsidP="00783A4C">
            <w:pPr>
              <w:rPr>
                <w:rFonts w:cs="Arial"/>
                <w:color w:val="000000"/>
                <w:sz w:val="18"/>
                <w:szCs w:val="18"/>
              </w:rPr>
            </w:pPr>
            <w:r w:rsidRPr="003B485B">
              <w:rPr>
                <w:rFonts w:cs="Arial"/>
                <w:color w:val="000000"/>
                <w:sz w:val="18"/>
                <w:szCs w:val="18"/>
              </w:rPr>
              <w:t xml:space="preserve">            Formally employed</w:t>
            </w:r>
          </w:p>
        </w:tc>
        <w:tc>
          <w:tcPr>
            <w:tcW w:w="1075" w:type="dxa"/>
            <w:tcBorders>
              <w:top w:val="nil"/>
              <w:left w:val="nil"/>
              <w:bottom w:val="nil"/>
              <w:right w:val="single" w:sz="8" w:space="0" w:color="0C5498"/>
            </w:tcBorders>
            <w:shd w:val="clear" w:color="auto" w:fill="auto"/>
            <w:noWrap/>
            <w:vAlign w:val="center"/>
          </w:tcPr>
          <w:p w:rsidR="00783A4C" w:rsidRPr="003B485B" w:rsidRDefault="00783A4C" w:rsidP="00783A4C">
            <w:pPr>
              <w:jc w:val="right"/>
              <w:rPr>
                <w:sz w:val="18"/>
                <w:szCs w:val="18"/>
              </w:rPr>
            </w:pPr>
            <w:r w:rsidRPr="003B485B">
              <w:rPr>
                <w:sz w:val="18"/>
                <w:szCs w:val="18"/>
              </w:rPr>
              <w:t>2419.7</w:t>
            </w:r>
          </w:p>
        </w:tc>
        <w:tc>
          <w:tcPr>
            <w:tcW w:w="1044" w:type="dxa"/>
            <w:tcBorders>
              <w:top w:val="nil"/>
              <w:left w:val="nil"/>
              <w:bottom w:val="nil"/>
              <w:right w:val="nil"/>
            </w:tcBorders>
            <w:shd w:val="clear" w:color="auto" w:fill="auto"/>
            <w:noWrap/>
            <w:vAlign w:val="center"/>
          </w:tcPr>
          <w:p w:rsidR="00783A4C" w:rsidRPr="003B485B" w:rsidRDefault="00783A4C" w:rsidP="00783A4C">
            <w:pPr>
              <w:jc w:val="right"/>
              <w:rPr>
                <w:sz w:val="18"/>
                <w:szCs w:val="18"/>
              </w:rPr>
            </w:pPr>
            <w:r w:rsidRPr="003B485B">
              <w:rPr>
                <w:sz w:val="18"/>
                <w:szCs w:val="18"/>
              </w:rPr>
              <w:t>33.1</w:t>
            </w:r>
          </w:p>
        </w:tc>
        <w:tc>
          <w:tcPr>
            <w:tcW w:w="1061" w:type="dxa"/>
            <w:tcBorders>
              <w:top w:val="nil"/>
              <w:left w:val="nil"/>
              <w:bottom w:val="nil"/>
              <w:right w:val="single" w:sz="8" w:space="0" w:color="0C5498"/>
            </w:tcBorders>
            <w:shd w:val="clear" w:color="auto" w:fill="auto"/>
            <w:noWrap/>
            <w:vAlign w:val="center"/>
          </w:tcPr>
          <w:p w:rsidR="00783A4C" w:rsidRPr="003B485B" w:rsidRDefault="00783A4C" w:rsidP="00783A4C">
            <w:pPr>
              <w:jc w:val="right"/>
              <w:rPr>
                <w:sz w:val="18"/>
                <w:szCs w:val="18"/>
              </w:rPr>
            </w:pPr>
            <w:r w:rsidRPr="003B485B">
              <w:rPr>
                <w:sz w:val="18"/>
                <w:szCs w:val="18"/>
              </w:rPr>
              <w:t>1.4</w:t>
            </w:r>
          </w:p>
        </w:tc>
        <w:tc>
          <w:tcPr>
            <w:tcW w:w="1060" w:type="dxa"/>
            <w:tcBorders>
              <w:top w:val="nil"/>
              <w:left w:val="nil"/>
              <w:bottom w:val="nil"/>
              <w:right w:val="nil"/>
            </w:tcBorders>
            <w:shd w:val="clear" w:color="auto" w:fill="auto"/>
            <w:noWrap/>
            <w:vAlign w:val="center"/>
          </w:tcPr>
          <w:p w:rsidR="00783A4C" w:rsidRPr="003B485B" w:rsidRDefault="00783A4C" w:rsidP="00783A4C">
            <w:pPr>
              <w:jc w:val="right"/>
              <w:rPr>
                <w:sz w:val="18"/>
                <w:szCs w:val="18"/>
              </w:rPr>
            </w:pPr>
            <w:r w:rsidRPr="003B485B">
              <w:rPr>
                <w:sz w:val="18"/>
                <w:szCs w:val="18"/>
              </w:rPr>
              <w:t>111.5</w:t>
            </w:r>
          </w:p>
        </w:tc>
        <w:tc>
          <w:tcPr>
            <w:tcW w:w="1061" w:type="dxa"/>
            <w:tcBorders>
              <w:top w:val="nil"/>
              <w:left w:val="nil"/>
              <w:bottom w:val="nil"/>
              <w:right w:val="nil"/>
            </w:tcBorders>
            <w:shd w:val="clear" w:color="auto" w:fill="auto"/>
            <w:noWrap/>
            <w:vAlign w:val="center"/>
          </w:tcPr>
          <w:p w:rsidR="00783A4C" w:rsidRPr="003B485B" w:rsidRDefault="00783A4C" w:rsidP="00783A4C">
            <w:pPr>
              <w:jc w:val="right"/>
              <w:rPr>
                <w:sz w:val="18"/>
                <w:szCs w:val="18"/>
              </w:rPr>
            </w:pPr>
            <w:r w:rsidRPr="003B485B">
              <w:rPr>
                <w:sz w:val="18"/>
                <w:szCs w:val="18"/>
              </w:rPr>
              <w:t>4.8</w:t>
            </w:r>
          </w:p>
        </w:tc>
      </w:tr>
      <w:tr w:rsidR="00783A4C" w:rsidRPr="003B485B" w:rsidTr="00783A4C">
        <w:trPr>
          <w:trHeight w:val="260"/>
          <w:jc w:val="center"/>
        </w:trPr>
        <w:tc>
          <w:tcPr>
            <w:tcW w:w="3771" w:type="dxa"/>
            <w:tcBorders>
              <w:top w:val="nil"/>
              <w:bottom w:val="nil"/>
              <w:right w:val="single" w:sz="8" w:space="0" w:color="0C5498"/>
            </w:tcBorders>
            <w:shd w:val="clear" w:color="auto" w:fill="auto"/>
            <w:vAlign w:val="center"/>
            <w:hideMark/>
          </w:tcPr>
          <w:p w:rsidR="00783A4C" w:rsidRPr="003B485B" w:rsidRDefault="00783A4C" w:rsidP="00783A4C">
            <w:pPr>
              <w:rPr>
                <w:rFonts w:cs="Arial"/>
                <w:color w:val="000000"/>
                <w:sz w:val="18"/>
                <w:szCs w:val="18"/>
              </w:rPr>
            </w:pPr>
            <w:r w:rsidRPr="003B485B">
              <w:rPr>
                <w:rFonts w:cs="Arial"/>
                <w:color w:val="000000"/>
                <w:sz w:val="18"/>
                <w:szCs w:val="18"/>
              </w:rPr>
              <w:t xml:space="preserve">            Informally employed</w:t>
            </w:r>
          </w:p>
        </w:tc>
        <w:tc>
          <w:tcPr>
            <w:tcW w:w="1075" w:type="dxa"/>
            <w:tcBorders>
              <w:top w:val="nil"/>
              <w:left w:val="nil"/>
              <w:bottom w:val="nil"/>
              <w:right w:val="single" w:sz="8" w:space="0" w:color="0C5498"/>
            </w:tcBorders>
            <w:shd w:val="clear" w:color="auto" w:fill="auto"/>
            <w:noWrap/>
            <w:vAlign w:val="center"/>
          </w:tcPr>
          <w:p w:rsidR="00783A4C" w:rsidRPr="003B485B" w:rsidRDefault="00783A4C" w:rsidP="00783A4C">
            <w:pPr>
              <w:jc w:val="right"/>
              <w:rPr>
                <w:sz w:val="18"/>
                <w:szCs w:val="18"/>
              </w:rPr>
            </w:pPr>
            <w:r w:rsidRPr="003B485B">
              <w:rPr>
                <w:sz w:val="18"/>
                <w:szCs w:val="18"/>
              </w:rPr>
              <w:t>518.6</w:t>
            </w:r>
          </w:p>
        </w:tc>
        <w:tc>
          <w:tcPr>
            <w:tcW w:w="1044" w:type="dxa"/>
            <w:tcBorders>
              <w:top w:val="nil"/>
              <w:left w:val="nil"/>
              <w:bottom w:val="nil"/>
              <w:right w:val="nil"/>
            </w:tcBorders>
            <w:shd w:val="clear" w:color="auto" w:fill="auto"/>
            <w:noWrap/>
            <w:vAlign w:val="center"/>
          </w:tcPr>
          <w:p w:rsidR="00783A4C" w:rsidRPr="003B485B" w:rsidRDefault="00783A4C" w:rsidP="00783A4C">
            <w:pPr>
              <w:jc w:val="right"/>
              <w:rPr>
                <w:sz w:val="18"/>
                <w:szCs w:val="18"/>
              </w:rPr>
            </w:pPr>
            <w:r w:rsidRPr="003B485B">
              <w:rPr>
                <w:sz w:val="18"/>
                <w:szCs w:val="18"/>
              </w:rPr>
              <w:t>-33.6</w:t>
            </w:r>
          </w:p>
        </w:tc>
        <w:tc>
          <w:tcPr>
            <w:tcW w:w="1061" w:type="dxa"/>
            <w:tcBorders>
              <w:top w:val="nil"/>
              <w:left w:val="nil"/>
              <w:bottom w:val="nil"/>
              <w:right w:val="single" w:sz="8" w:space="0" w:color="0C5498"/>
            </w:tcBorders>
            <w:shd w:val="clear" w:color="auto" w:fill="auto"/>
            <w:noWrap/>
            <w:vAlign w:val="center"/>
          </w:tcPr>
          <w:p w:rsidR="00783A4C" w:rsidRPr="003B485B" w:rsidRDefault="00783A4C" w:rsidP="00783A4C">
            <w:pPr>
              <w:jc w:val="right"/>
              <w:rPr>
                <w:sz w:val="18"/>
                <w:szCs w:val="18"/>
              </w:rPr>
            </w:pPr>
            <w:r w:rsidRPr="003B485B">
              <w:rPr>
                <w:sz w:val="18"/>
                <w:szCs w:val="18"/>
              </w:rPr>
              <w:t>-6.1</w:t>
            </w:r>
          </w:p>
        </w:tc>
        <w:tc>
          <w:tcPr>
            <w:tcW w:w="1060" w:type="dxa"/>
            <w:tcBorders>
              <w:top w:val="nil"/>
              <w:left w:val="nil"/>
              <w:bottom w:val="nil"/>
              <w:right w:val="nil"/>
            </w:tcBorders>
            <w:shd w:val="clear" w:color="auto" w:fill="auto"/>
            <w:noWrap/>
            <w:vAlign w:val="center"/>
          </w:tcPr>
          <w:p w:rsidR="00783A4C" w:rsidRPr="003B485B" w:rsidRDefault="00783A4C" w:rsidP="00783A4C">
            <w:pPr>
              <w:jc w:val="right"/>
              <w:rPr>
                <w:sz w:val="18"/>
                <w:szCs w:val="18"/>
              </w:rPr>
            </w:pPr>
            <w:r w:rsidRPr="003B485B">
              <w:rPr>
                <w:sz w:val="18"/>
                <w:szCs w:val="18"/>
              </w:rPr>
              <w:t>9.4</w:t>
            </w:r>
          </w:p>
        </w:tc>
        <w:tc>
          <w:tcPr>
            <w:tcW w:w="1061" w:type="dxa"/>
            <w:tcBorders>
              <w:top w:val="nil"/>
              <w:left w:val="nil"/>
              <w:bottom w:val="nil"/>
              <w:right w:val="nil"/>
            </w:tcBorders>
            <w:shd w:val="clear" w:color="auto" w:fill="auto"/>
            <w:noWrap/>
            <w:vAlign w:val="center"/>
          </w:tcPr>
          <w:p w:rsidR="00783A4C" w:rsidRPr="003B485B" w:rsidRDefault="00783A4C" w:rsidP="00783A4C">
            <w:pPr>
              <w:jc w:val="right"/>
              <w:rPr>
                <w:sz w:val="18"/>
                <w:szCs w:val="18"/>
              </w:rPr>
            </w:pPr>
            <w:r w:rsidRPr="003B485B">
              <w:rPr>
                <w:sz w:val="18"/>
                <w:szCs w:val="18"/>
              </w:rPr>
              <w:t>1.8</w:t>
            </w:r>
          </w:p>
        </w:tc>
      </w:tr>
      <w:tr w:rsidR="00783A4C" w:rsidRPr="003B485B" w:rsidTr="00783A4C">
        <w:trPr>
          <w:trHeight w:val="259"/>
          <w:jc w:val="center"/>
        </w:trPr>
        <w:tc>
          <w:tcPr>
            <w:tcW w:w="3771" w:type="dxa"/>
            <w:tcBorders>
              <w:top w:val="nil"/>
              <w:bottom w:val="nil"/>
              <w:right w:val="single" w:sz="8" w:space="0" w:color="0C5498"/>
            </w:tcBorders>
            <w:shd w:val="clear" w:color="auto" w:fill="auto"/>
            <w:vAlign w:val="center"/>
            <w:hideMark/>
          </w:tcPr>
          <w:p w:rsidR="00783A4C" w:rsidRPr="003B485B" w:rsidRDefault="00783A4C" w:rsidP="00783A4C">
            <w:pPr>
              <w:rPr>
                <w:rFonts w:cs="Arial"/>
                <w:color w:val="000000"/>
                <w:sz w:val="18"/>
                <w:szCs w:val="18"/>
              </w:rPr>
            </w:pPr>
            <w:r w:rsidRPr="003B485B">
              <w:rPr>
                <w:rFonts w:cs="Arial"/>
                <w:color w:val="000000"/>
                <w:sz w:val="18"/>
                <w:szCs w:val="18"/>
              </w:rPr>
              <w:t xml:space="preserve">        Unemployed</w:t>
            </w:r>
          </w:p>
        </w:tc>
        <w:tc>
          <w:tcPr>
            <w:tcW w:w="1075" w:type="dxa"/>
            <w:tcBorders>
              <w:top w:val="nil"/>
              <w:left w:val="nil"/>
              <w:bottom w:val="nil"/>
              <w:right w:val="single" w:sz="8" w:space="0" w:color="0C5498"/>
            </w:tcBorders>
            <w:shd w:val="clear" w:color="auto" w:fill="auto"/>
            <w:vAlign w:val="center"/>
          </w:tcPr>
          <w:p w:rsidR="00783A4C" w:rsidRPr="003B485B" w:rsidRDefault="00783A4C" w:rsidP="00783A4C">
            <w:pPr>
              <w:jc w:val="right"/>
              <w:rPr>
                <w:sz w:val="18"/>
                <w:szCs w:val="18"/>
              </w:rPr>
            </w:pPr>
            <w:r w:rsidRPr="003B485B">
              <w:rPr>
                <w:sz w:val="18"/>
                <w:szCs w:val="18"/>
              </w:rPr>
              <w:t>314.1</w:t>
            </w:r>
          </w:p>
        </w:tc>
        <w:tc>
          <w:tcPr>
            <w:tcW w:w="1044" w:type="dxa"/>
            <w:tcBorders>
              <w:top w:val="nil"/>
              <w:left w:val="nil"/>
              <w:bottom w:val="nil"/>
              <w:right w:val="nil"/>
            </w:tcBorders>
            <w:shd w:val="clear" w:color="auto" w:fill="auto"/>
            <w:vAlign w:val="center"/>
          </w:tcPr>
          <w:p w:rsidR="00783A4C" w:rsidRPr="003B485B" w:rsidRDefault="00783A4C" w:rsidP="00783A4C">
            <w:pPr>
              <w:jc w:val="right"/>
              <w:rPr>
                <w:sz w:val="18"/>
                <w:szCs w:val="18"/>
              </w:rPr>
            </w:pPr>
            <w:r w:rsidRPr="003B485B">
              <w:rPr>
                <w:sz w:val="18"/>
                <w:szCs w:val="18"/>
              </w:rPr>
              <w:t>5.7</w:t>
            </w:r>
          </w:p>
        </w:tc>
        <w:tc>
          <w:tcPr>
            <w:tcW w:w="1061" w:type="dxa"/>
            <w:tcBorders>
              <w:top w:val="nil"/>
              <w:left w:val="nil"/>
              <w:bottom w:val="nil"/>
              <w:right w:val="single" w:sz="8" w:space="0" w:color="0C5498"/>
            </w:tcBorders>
            <w:shd w:val="clear" w:color="auto" w:fill="auto"/>
            <w:vAlign w:val="center"/>
          </w:tcPr>
          <w:p w:rsidR="00783A4C" w:rsidRPr="003B485B" w:rsidRDefault="00783A4C" w:rsidP="00783A4C">
            <w:pPr>
              <w:jc w:val="right"/>
              <w:rPr>
                <w:sz w:val="18"/>
                <w:szCs w:val="18"/>
              </w:rPr>
            </w:pPr>
            <w:r w:rsidRPr="003B485B">
              <w:rPr>
                <w:sz w:val="18"/>
                <w:szCs w:val="18"/>
              </w:rPr>
              <w:t>1.8</w:t>
            </w:r>
          </w:p>
        </w:tc>
        <w:tc>
          <w:tcPr>
            <w:tcW w:w="1060" w:type="dxa"/>
            <w:tcBorders>
              <w:top w:val="nil"/>
              <w:left w:val="nil"/>
              <w:bottom w:val="nil"/>
              <w:right w:val="nil"/>
            </w:tcBorders>
            <w:shd w:val="clear" w:color="auto" w:fill="auto"/>
            <w:vAlign w:val="center"/>
          </w:tcPr>
          <w:p w:rsidR="00783A4C" w:rsidRPr="003B485B" w:rsidRDefault="00783A4C" w:rsidP="00783A4C">
            <w:pPr>
              <w:jc w:val="right"/>
              <w:rPr>
                <w:sz w:val="18"/>
                <w:szCs w:val="18"/>
              </w:rPr>
            </w:pPr>
            <w:r w:rsidRPr="003B485B">
              <w:rPr>
                <w:sz w:val="18"/>
                <w:szCs w:val="18"/>
              </w:rPr>
              <w:t>-102.5</w:t>
            </w:r>
          </w:p>
        </w:tc>
        <w:tc>
          <w:tcPr>
            <w:tcW w:w="1061" w:type="dxa"/>
            <w:tcBorders>
              <w:top w:val="nil"/>
              <w:left w:val="nil"/>
              <w:bottom w:val="nil"/>
              <w:right w:val="nil"/>
            </w:tcBorders>
            <w:shd w:val="clear" w:color="auto" w:fill="auto"/>
            <w:vAlign w:val="center"/>
          </w:tcPr>
          <w:p w:rsidR="00783A4C" w:rsidRPr="003B485B" w:rsidRDefault="00783A4C" w:rsidP="00783A4C">
            <w:pPr>
              <w:jc w:val="right"/>
              <w:rPr>
                <w:sz w:val="18"/>
                <w:szCs w:val="18"/>
              </w:rPr>
            </w:pPr>
            <w:r w:rsidRPr="003B485B">
              <w:rPr>
                <w:sz w:val="18"/>
                <w:szCs w:val="18"/>
              </w:rPr>
              <w:t>-24.6</w:t>
            </w:r>
          </w:p>
        </w:tc>
      </w:tr>
      <w:tr w:rsidR="00783A4C" w:rsidRPr="003B485B" w:rsidTr="00783A4C">
        <w:trPr>
          <w:trHeight w:val="259"/>
          <w:jc w:val="center"/>
        </w:trPr>
        <w:tc>
          <w:tcPr>
            <w:tcW w:w="3771" w:type="dxa"/>
            <w:tcBorders>
              <w:top w:val="nil"/>
              <w:bottom w:val="nil"/>
              <w:right w:val="single" w:sz="8" w:space="0" w:color="0C5498"/>
            </w:tcBorders>
            <w:shd w:val="clear" w:color="auto" w:fill="auto"/>
            <w:vAlign w:val="center"/>
            <w:hideMark/>
          </w:tcPr>
          <w:p w:rsidR="00783A4C" w:rsidRPr="003B485B" w:rsidRDefault="00783A4C" w:rsidP="00783A4C">
            <w:pPr>
              <w:rPr>
                <w:rFonts w:cs="Arial"/>
                <w:color w:val="000000"/>
                <w:sz w:val="18"/>
                <w:szCs w:val="18"/>
              </w:rPr>
            </w:pPr>
            <w:r w:rsidRPr="003B485B">
              <w:rPr>
                <w:rFonts w:cs="Arial"/>
                <w:color w:val="000000"/>
                <w:sz w:val="18"/>
                <w:szCs w:val="18"/>
              </w:rPr>
              <w:t xml:space="preserve">    Inactive population</w:t>
            </w:r>
          </w:p>
        </w:tc>
        <w:tc>
          <w:tcPr>
            <w:tcW w:w="1075" w:type="dxa"/>
            <w:tcBorders>
              <w:top w:val="nil"/>
              <w:left w:val="nil"/>
              <w:bottom w:val="nil"/>
              <w:right w:val="single" w:sz="8" w:space="0" w:color="0C5498"/>
            </w:tcBorders>
            <w:shd w:val="clear" w:color="auto" w:fill="auto"/>
            <w:vAlign w:val="center"/>
          </w:tcPr>
          <w:p w:rsidR="00783A4C" w:rsidRPr="003B485B" w:rsidRDefault="00783A4C" w:rsidP="00783A4C">
            <w:pPr>
              <w:jc w:val="right"/>
              <w:rPr>
                <w:sz w:val="18"/>
                <w:szCs w:val="18"/>
              </w:rPr>
            </w:pPr>
            <w:r w:rsidRPr="003B485B">
              <w:rPr>
                <w:sz w:val="18"/>
                <w:szCs w:val="18"/>
              </w:rPr>
              <w:t>2660.6</w:t>
            </w:r>
          </w:p>
        </w:tc>
        <w:tc>
          <w:tcPr>
            <w:tcW w:w="1044" w:type="dxa"/>
            <w:tcBorders>
              <w:top w:val="nil"/>
              <w:left w:val="nil"/>
              <w:bottom w:val="single" w:sz="8" w:space="0" w:color="0C5498"/>
              <w:right w:val="nil"/>
            </w:tcBorders>
            <w:shd w:val="clear" w:color="auto" w:fill="auto"/>
            <w:vAlign w:val="center"/>
          </w:tcPr>
          <w:p w:rsidR="00783A4C" w:rsidRPr="003B485B" w:rsidRDefault="00783A4C" w:rsidP="00783A4C">
            <w:pPr>
              <w:jc w:val="right"/>
              <w:rPr>
                <w:sz w:val="18"/>
                <w:szCs w:val="18"/>
              </w:rPr>
            </w:pPr>
            <w:r w:rsidRPr="003B485B">
              <w:rPr>
                <w:sz w:val="18"/>
                <w:szCs w:val="18"/>
              </w:rPr>
              <w:t>-12.5</w:t>
            </w:r>
          </w:p>
        </w:tc>
        <w:tc>
          <w:tcPr>
            <w:tcW w:w="1061" w:type="dxa"/>
            <w:tcBorders>
              <w:top w:val="nil"/>
              <w:left w:val="nil"/>
              <w:bottom w:val="single" w:sz="8" w:space="0" w:color="0C5498"/>
              <w:right w:val="single" w:sz="8" w:space="0" w:color="0C5498"/>
            </w:tcBorders>
            <w:shd w:val="clear" w:color="auto" w:fill="auto"/>
            <w:vAlign w:val="center"/>
          </w:tcPr>
          <w:p w:rsidR="00783A4C" w:rsidRPr="003B485B" w:rsidRDefault="00783A4C" w:rsidP="00783A4C">
            <w:pPr>
              <w:jc w:val="right"/>
              <w:rPr>
                <w:sz w:val="18"/>
                <w:szCs w:val="18"/>
              </w:rPr>
            </w:pPr>
            <w:r w:rsidRPr="003B485B">
              <w:rPr>
                <w:sz w:val="18"/>
                <w:szCs w:val="18"/>
              </w:rPr>
              <w:t>-0.5</w:t>
            </w:r>
          </w:p>
        </w:tc>
        <w:tc>
          <w:tcPr>
            <w:tcW w:w="1060" w:type="dxa"/>
            <w:tcBorders>
              <w:top w:val="nil"/>
              <w:left w:val="nil"/>
              <w:bottom w:val="single" w:sz="8" w:space="0" w:color="0C5498"/>
              <w:right w:val="nil"/>
            </w:tcBorders>
            <w:shd w:val="clear" w:color="auto" w:fill="auto"/>
            <w:vAlign w:val="center"/>
          </w:tcPr>
          <w:p w:rsidR="00783A4C" w:rsidRPr="003B485B" w:rsidRDefault="00783A4C" w:rsidP="00783A4C">
            <w:pPr>
              <w:jc w:val="right"/>
              <w:rPr>
                <w:sz w:val="18"/>
                <w:szCs w:val="18"/>
              </w:rPr>
            </w:pPr>
            <w:r w:rsidRPr="003B485B">
              <w:rPr>
                <w:sz w:val="18"/>
                <w:szCs w:val="18"/>
              </w:rPr>
              <w:t>-48.2</w:t>
            </w:r>
          </w:p>
        </w:tc>
        <w:tc>
          <w:tcPr>
            <w:tcW w:w="1061" w:type="dxa"/>
            <w:tcBorders>
              <w:top w:val="nil"/>
              <w:left w:val="nil"/>
              <w:bottom w:val="single" w:sz="8" w:space="0" w:color="0C5498"/>
              <w:right w:val="nil"/>
            </w:tcBorders>
            <w:shd w:val="clear" w:color="auto" w:fill="auto"/>
            <w:vAlign w:val="center"/>
          </w:tcPr>
          <w:p w:rsidR="00783A4C" w:rsidRPr="003B485B" w:rsidRDefault="00783A4C" w:rsidP="00783A4C">
            <w:pPr>
              <w:jc w:val="right"/>
              <w:rPr>
                <w:sz w:val="18"/>
                <w:szCs w:val="18"/>
              </w:rPr>
            </w:pPr>
            <w:r w:rsidRPr="003B485B">
              <w:rPr>
                <w:sz w:val="18"/>
                <w:szCs w:val="18"/>
              </w:rPr>
              <w:t>-1.8</w:t>
            </w:r>
          </w:p>
        </w:tc>
      </w:tr>
      <w:tr w:rsidR="00066CE2" w:rsidRPr="003B485B" w:rsidTr="00066CE2">
        <w:trPr>
          <w:trHeight w:val="273"/>
          <w:jc w:val="center"/>
        </w:trPr>
        <w:tc>
          <w:tcPr>
            <w:tcW w:w="3771" w:type="dxa"/>
            <w:tcBorders>
              <w:top w:val="single" w:sz="8" w:space="0" w:color="0C5498"/>
              <w:bottom w:val="single" w:sz="8" w:space="0" w:color="0C5498"/>
              <w:right w:val="single" w:sz="8" w:space="0" w:color="0C5498"/>
            </w:tcBorders>
            <w:shd w:val="clear" w:color="auto" w:fill="auto"/>
            <w:vAlign w:val="center"/>
            <w:hideMark/>
          </w:tcPr>
          <w:p w:rsidR="00066CE2" w:rsidRPr="003B485B" w:rsidRDefault="00066CE2" w:rsidP="00066CE2">
            <w:pPr>
              <w:rPr>
                <w:rFonts w:cs="Arial"/>
                <w:color w:val="000000"/>
                <w:sz w:val="18"/>
                <w:szCs w:val="18"/>
              </w:rPr>
            </w:pPr>
            <w:r w:rsidRPr="003B485B">
              <w:rPr>
                <w:rFonts w:cs="Arial"/>
                <w:color w:val="000000"/>
                <w:sz w:val="18"/>
                <w:szCs w:val="18"/>
              </w:rPr>
              <w:t> </w:t>
            </w:r>
          </w:p>
        </w:tc>
        <w:tc>
          <w:tcPr>
            <w:tcW w:w="1075" w:type="dxa"/>
            <w:tcBorders>
              <w:top w:val="single" w:sz="8" w:space="0" w:color="0C5498"/>
              <w:left w:val="nil"/>
              <w:bottom w:val="single" w:sz="8" w:space="0" w:color="0C5498"/>
              <w:right w:val="single" w:sz="8" w:space="0" w:color="0C5498"/>
            </w:tcBorders>
            <w:shd w:val="clear" w:color="auto" w:fill="auto"/>
            <w:noWrap/>
            <w:vAlign w:val="center"/>
            <w:hideMark/>
          </w:tcPr>
          <w:p w:rsidR="00066CE2" w:rsidRPr="003B485B" w:rsidRDefault="00066CE2" w:rsidP="00066CE2">
            <w:pPr>
              <w:jc w:val="center"/>
              <w:rPr>
                <w:rFonts w:cs="Arial"/>
                <w:b/>
                <w:bCs/>
                <w:color w:val="000000"/>
                <w:sz w:val="18"/>
                <w:szCs w:val="18"/>
              </w:rPr>
            </w:pPr>
            <w:r w:rsidRPr="003B485B">
              <w:rPr>
                <w:rFonts w:cs="Arial"/>
                <w:b/>
                <w:bCs/>
                <w:color w:val="000000"/>
                <w:sz w:val="18"/>
                <w:szCs w:val="18"/>
              </w:rPr>
              <w:t>%</w:t>
            </w:r>
          </w:p>
        </w:tc>
        <w:tc>
          <w:tcPr>
            <w:tcW w:w="4226" w:type="dxa"/>
            <w:gridSpan w:val="4"/>
            <w:tcBorders>
              <w:top w:val="single" w:sz="8" w:space="0" w:color="0C5498"/>
              <w:left w:val="nil"/>
              <w:bottom w:val="single" w:sz="8" w:space="0" w:color="0C5498"/>
            </w:tcBorders>
            <w:shd w:val="clear" w:color="auto" w:fill="auto"/>
            <w:noWrap/>
            <w:vAlign w:val="center"/>
            <w:hideMark/>
          </w:tcPr>
          <w:p w:rsidR="00066CE2" w:rsidRPr="003B485B" w:rsidRDefault="00066CE2" w:rsidP="00066CE2">
            <w:pPr>
              <w:jc w:val="center"/>
              <w:rPr>
                <w:rFonts w:cs="Arial"/>
                <w:color w:val="000000"/>
                <w:sz w:val="18"/>
                <w:szCs w:val="18"/>
              </w:rPr>
            </w:pPr>
            <w:r w:rsidRPr="003B485B">
              <w:rPr>
                <w:rFonts w:cs="Arial"/>
                <w:color w:val="000000"/>
                <w:sz w:val="18"/>
                <w:szCs w:val="18"/>
              </w:rPr>
              <w:t>(</w:t>
            </w:r>
            <w:proofErr w:type="gramStart"/>
            <w:r w:rsidRPr="003B485B">
              <w:rPr>
                <w:rFonts w:cs="Arial"/>
                <w:color w:val="000000"/>
                <w:sz w:val="18"/>
                <w:szCs w:val="18"/>
              </w:rPr>
              <w:t>p</w:t>
            </w:r>
            <w:proofErr w:type="gramEnd"/>
            <w:r w:rsidRPr="003B485B">
              <w:rPr>
                <w:rFonts w:cs="Arial"/>
                <w:color w:val="000000"/>
                <w:sz w:val="18"/>
                <w:szCs w:val="18"/>
              </w:rPr>
              <w:t>. p.)</w:t>
            </w:r>
          </w:p>
        </w:tc>
      </w:tr>
      <w:tr w:rsidR="00783A4C" w:rsidRPr="003B485B" w:rsidTr="00783A4C">
        <w:trPr>
          <w:trHeight w:val="260"/>
          <w:jc w:val="center"/>
        </w:trPr>
        <w:tc>
          <w:tcPr>
            <w:tcW w:w="3771" w:type="dxa"/>
            <w:tcBorders>
              <w:top w:val="nil"/>
              <w:bottom w:val="nil"/>
              <w:right w:val="single" w:sz="8" w:space="0" w:color="0C5498"/>
            </w:tcBorders>
            <w:shd w:val="clear" w:color="auto" w:fill="auto"/>
            <w:vAlign w:val="center"/>
            <w:hideMark/>
          </w:tcPr>
          <w:p w:rsidR="00783A4C" w:rsidRPr="003B485B" w:rsidRDefault="00783A4C" w:rsidP="00783A4C">
            <w:pPr>
              <w:rPr>
                <w:rFonts w:cs="Arial"/>
                <w:sz w:val="18"/>
                <w:szCs w:val="18"/>
              </w:rPr>
            </w:pPr>
            <w:r w:rsidRPr="003B485B">
              <w:rPr>
                <w:rFonts w:cs="Arial"/>
                <w:sz w:val="18"/>
                <w:szCs w:val="18"/>
              </w:rPr>
              <w:t>Activity rate</w:t>
            </w:r>
          </w:p>
        </w:tc>
        <w:tc>
          <w:tcPr>
            <w:tcW w:w="1075" w:type="dxa"/>
            <w:tcBorders>
              <w:top w:val="nil"/>
              <w:left w:val="nil"/>
              <w:bottom w:val="nil"/>
              <w:right w:val="single" w:sz="8" w:space="0" w:color="0C5498"/>
            </w:tcBorders>
            <w:shd w:val="clear" w:color="auto" w:fill="auto"/>
            <w:vAlign w:val="center"/>
          </w:tcPr>
          <w:p w:rsidR="00783A4C" w:rsidRPr="003B485B" w:rsidRDefault="00783A4C" w:rsidP="00783A4C">
            <w:pPr>
              <w:jc w:val="right"/>
              <w:rPr>
                <w:sz w:val="18"/>
                <w:szCs w:val="18"/>
              </w:rPr>
            </w:pPr>
            <w:r w:rsidRPr="003B485B">
              <w:rPr>
                <w:sz w:val="18"/>
                <w:szCs w:val="18"/>
              </w:rPr>
              <w:t>55.0</w:t>
            </w:r>
          </w:p>
        </w:tc>
        <w:tc>
          <w:tcPr>
            <w:tcW w:w="1044" w:type="dxa"/>
            <w:tcBorders>
              <w:top w:val="nil"/>
              <w:left w:val="nil"/>
              <w:bottom w:val="nil"/>
              <w:right w:val="nil"/>
            </w:tcBorders>
            <w:shd w:val="clear" w:color="auto" w:fill="auto"/>
            <w:noWrap/>
            <w:vAlign w:val="center"/>
          </w:tcPr>
          <w:p w:rsidR="00783A4C" w:rsidRPr="003B485B" w:rsidRDefault="00783A4C" w:rsidP="00783A4C">
            <w:pPr>
              <w:jc w:val="right"/>
              <w:rPr>
                <w:sz w:val="18"/>
                <w:szCs w:val="18"/>
              </w:rPr>
            </w:pPr>
          </w:p>
        </w:tc>
        <w:tc>
          <w:tcPr>
            <w:tcW w:w="1061" w:type="dxa"/>
            <w:tcBorders>
              <w:top w:val="nil"/>
              <w:left w:val="nil"/>
              <w:bottom w:val="nil"/>
              <w:right w:val="single" w:sz="8" w:space="0" w:color="0C5498"/>
            </w:tcBorders>
            <w:shd w:val="clear" w:color="auto" w:fill="auto"/>
            <w:vAlign w:val="center"/>
          </w:tcPr>
          <w:p w:rsidR="00783A4C" w:rsidRPr="003B485B" w:rsidRDefault="00783A4C" w:rsidP="00783A4C">
            <w:pPr>
              <w:jc w:val="right"/>
              <w:rPr>
                <w:sz w:val="18"/>
                <w:szCs w:val="18"/>
              </w:rPr>
            </w:pPr>
            <w:r w:rsidRPr="003B485B">
              <w:rPr>
                <w:sz w:val="18"/>
                <w:szCs w:val="18"/>
              </w:rPr>
              <w:t>0.2</w:t>
            </w:r>
          </w:p>
        </w:tc>
        <w:tc>
          <w:tcPr>
            <w:tcW w:w="1060" w:type="dxa"/>
            <w:tcBorders>
              <w:top w:val="nil"/>
              <w:left w:val="nil"/>
              <w:bottom w:val="nil"/>
              <w:right w:val="nil"/>
            </w:tcBorders>
            <w:shd w:val="clear" w:color="auto" w:fill="auto"/>
            <w:noWrap/>
            <w:vAlign w:val="center"/>
          </w:tcPr>
          <w:p w:rsidR="00783A4C" w:rsidRPr="003B485B" w:rsidRDefault="00783A4C" w:rsidP="00783A4C">
            <w:pPr>
              <w:jc w:val="right"/>
              <w:rPr>
                <w:sz w:val="18"/>
                <w:szCs w:val="18"/>
              </w:rPr>
            </w:pPr>
          </w:p>
        </w:tc>
        <w:tc>
          <w:tcPr>
            <w:tcW w:w="1061" w:type="dxa"/>
            <w:tcBorders>
              <w:top w:val="nil"/>
              <w:left w:val="nil"/>
              <w:bottom w:val="nil"/>
              <w:right w:val="nil"/>
            </w:tcBorders>
            <w:shd w:val="clear" w:color="auto" w:fill="auto"/>
            <w:vAlign w:val="center"/>
          </w:tcPr>
          <w:p w:rsidR="00783A4C" w:rsidRPr="003B485B" w:rsidRDefault="00783A4C" w:rsidP="00783A4C">
            <w:pPr>
              <w:jc w:val="right"/>
              <w:rPr>
                <w:sz w:val="18"/>
                <w:szCs w:val="18"/>
              </w:rPr>
            </w:pPr>
            <w:r w:rsidRPr="003B485B">
              <w:rPr>
                <w:sz w:val="18"/>
                <w:szCs w:val="18"/>
              </w:rPr>
              <w:t>0.6</w:t>
            </w:r>
          </w:p>
        </w:tc>
      </w:tr>
      <w:tr w:rsidR="00783A4C" w:rsidRPr="003B485B" w:rsidTr="00783A4C">
        <w:trPr>
          <w:trHeight w:val="260"/>
          <w:jc w:val="center"/>
        </w:trPr>
        <w:tc>
          <w:tcPr>
            <w:tcW w:w="3771" w:type="dxa"/>
            <w:tcBorders>
              <w:top w:val="nil"/>
              <w:bottom w:val="nil"/>
              <w:right w:val="single" w:sz="8" w:space="0" w:color="0C5498"/>
            </w:tcBorders>
            <w:shd w:val="clear" w:color="auto" w:fill="auto"/>
            <w:vAlign w:val="center"/>
            <w:hideMark/>
          </w:tcPr>
          <w:p w:rsidR="00783A4C" w:rsidRPr="003B485B" w:rsidRDefault="00783A4C" w:rsidP="00783A4C">
            <w:pPr>
              <w:rPr>
                <w:rFonts w:cs="Arial"/>
                <w:sz w:val="18"/>
                <w:szCs w:val="18"/>
              </w:rPr>
            </w:pPr>
            <w:r w:rsidRPr="003B485B">
              <w:rPr>
                <w:rFonts w:cs="Arial"/>
                <w:sz w:val="18"/>
                <w:szCs w:val="18"/>
              </w:rPr>
              <w:t>Employment rate</w:t>
            </w:r>
          </w:p>
        </w:tc>
        <w:tc>
          <w:tcPr>
            <w:tcW w:w="1075" w:type="dxa"/>
            <w:tcBorders>
              <w:top w:val="nil"/>
              <w:left w:val="nil"/>
              <w:bottom w:val="nil"/>
              <w:right w:val="single" w:sz="8" w:space="0" w:color="0C5498"/>
            </w:tcBorders>
            <w:shd w:val="clear" w:color="auto" w:fill="auto"/>
            <w:vAlign w:val="center"/>
          </w:tcPr>
          <w:p w:rsidR="00783A4C" w:rsidRPr="003B485B" w:rsidRDefault="00783A4C" w:rsidP="00783A4C">
            <w:pPr>
              <w:jc w:val="right"/>
              <w:rPr>
                <w:sz w:val="18"/>
                <w:szCs w:val="18"/>
              </w:rPr>
            </w:pPr>
            <w:r w:rsidRPr="003B485B">
              <w:rPr>
                <w:sz w:val="18"/>
                <w:szCs w:val="18"/>
              </w:rPr>
              <w:t>49.7</w:t>
            </w:r>
          </w:p>
        </w:tc>
        <w:tc>
          <w:tcPr>
            <w:tcW w:w="1044" w:type="dxa"/>
            <w:tcBorders>
              <w:top w:val="nil"/>
              <w:left w:val="nil"/>
              <w:bottom w:val="nil"/>
              <w:right w:val="nil"/>
            </w:tcBorders>
            <w:shd w:val="clear" w:color="auto" w:fill="auto"/>
            <w:noWrap/>
            <w:vAlign w:val="center"/>
          </w:tcPr>
          <w:p w:rsidR="00783A4C" w:rsidRPr="003B485B" w:rsidRDefault="00783A4C" w:rsidP="00783A4C">
            <w:pPr>
              <w:jc w:val="right"/>
              <w:rPr>
                <w:sz w:val="18"/>
                <w:szCs w:val="18"/>
              </w:rPr>
            </w:pPr>
          </w:p>
        </w:tc>
        <w:tc>
          <w:tcPr>
            <w:tcW w:w="1061" w:type="dxa"/>
            <w:tcBorders>
              <w:top w:val="nil"/>
              <w:left w:val="nil"/>
              <w:bottom w:val="nil"/>
              <w:right w:val="single" w:sz="8" w:space="0" w:color="0C5498"/>
            </w:tcBorders>
            <w:shd w:val="clear" w:color="auto" w:fill="auto"/>
            <w:noWrap/>
            <w:vAlign w:val="center"/>
          </w:tcPr>
          <w:p w:rsidR="00783A4C" w:rsidRPr="003B485B" w:rsidRDefault="00783A4C" w:rsidP="00783A4C">
            <w:pPr>
              <w:jc w:val="right"/>
              <w:rPr>
                <w:sz w:val="18"/>
                <w:szCs w:val="18"/>
              </w:rPr>
            </w:pPr>
            <w:r w:rsidRPr="003B485B">
              <w:rPr>
                <w:sz w:val="18"/>
                <w:szCs w:val="18"/>
              </w:rPr>
              <w:t>0.1</w:t>
            </w:r>
          </w:p>
        </w:tc>
        <w:tc>
          <w:tcPr>
            <w:tcW w:w="1060" w:type="dxa"/>
            <w:tcBorders>
              <w:top w:val="nil"/>
              <w:left w:val="nil"/>
              <w:bottom w:val="nil"/>
              <w:right w:val="nil"/>
            </w:tcBorders>
            <w:shd w:val="clear" w:color="auto" w:fill="auto"/>
            <w:noWrap/>
            <w:vAlign w:val="center"/>
          </w:tcPr>
          <w:p w:rsidR="00783A4C" w:rsidRPr="003B485B" w:rsidRDefault="00783A4C" w:rsidP="00783A4C">
            <w:pPr>
              <w:jc w:val="right"/>
              <w:rPr>
                <w:sz w:val="18"/>
                <w:szCs w:val="18"/>
              </w:rPr>
            </w:pPr>
          </w:p>
        </w:tc>
        <w:tc>
          <w:tcPr>
            <w:tcW w:w="1061" w:type="dxa"/>
            <w:tcBorders>
              <w:top w:val="nil"/>
              <w:left w:val="nil"/>
              <w:bottom w:val="nil"/>
              <w:right w:val="nil"/>
            </w:tcBorders>
            <w:shd w:val="clear" w:color="auto" w:fill="auto"/>
            <w:noWrap/>
            <w:vAlign w:val="center"/>
          </w:tcPr>
          <w:p w:rsidR="00783A4C" w:rsidRPr="003B485B" w:rsidRDefault="00783A4C" w:rsidP="00783A4C">
            <w:pPr>
              <w:jc w:val="right"/>
              <w:rPr>
                <w:sz w:val="18"/>
                <w:szCs w:val="18"/>
              </w:rPr>
            </w:pPr>
            <w:r w:rsidRPr="003B485B">
              <w:rPr>
                <w:sz w:val="18"/>
                <w:szCs w:val="18"/>
              </w:rPr>
              <w:t>2.3</w:t>
            </w:r>
          </w:p>
        </w:tc>
      </w:tr>
      <w:tr w:rsidR="00783A4C" w:rsidRPr="003B485B" w:rsidTr="00783A4C">
        <w:trPr>
          <w:trHeight w:val="260"/>
          <w:jc w:val="center"/>
        </w:trPr>
        <w:tc>
          <w:tcPr>
            <w:tcW w:w="3771" w:type="dxa"/>
            <w:tcBorders>
              <w:top w:val="nil"/>
              <w:bottom w:val="nil"/>
              <w:right w:val="single" w:sz="8" w:space="0" w:color="0C5498"/>
            </w:tcBorders>
            <w:shd w:val="clear" w:color="auto" w:fill="auto"/>
            <w:vAlign w:val="center"/>
            <w:hideMark/>
          </w:tcPr>
          <w:p w:rsidR="00783A4C" w:rsidRPr="003B485B" w:rsidRDefault="00783A4C" w:rsidP="00783A4C">
            <w:pPr>
              <w:rPr>
                <w:rFonts w:cs="Arial"/>
                <w:color w:val="000000"/>
                <w:sz w:val="18"/>
                <w:szCs w:val="18"/>
              </w:rPr>
            </w:pPr>
            <w:r w:rsidRPr="003B485B">
              <w:rPr>
                <w:rFonts w:cs="Arial"/>
                <w:color w:val="000000"/>
                <w:sz w:val="18"/>
                <w:szCs w:val="18"/>
              </w:rPr>
              <w:t xml:space="preserve">    Informal employment rate</w:t>
            </w:r>
          </w:p>
        </w:tc>
        <w:tc>
          <w:tcPr>
            <w:tcW w:w="1075" w:type="dxa"/>
            <w:tcBorders>
              <w:top w:val="nil"/>
              <w:left w:val="nil"/>
              <w:bottom w:val="nil"/>
              <w:right w:val="single" w:sz="8" w:space="0" w:color="0C5498"/>
            </w:tcBorders>
            <w:shd w:val="clear" w:color="auto" w:fill="auto"/>
            <w:noWrap/>
            <w:vAlign w:val="center"/>
          </w:tcPr>
          <w:p w:rsidR="00783A4C" w:rsidRPr="003B485B" w:rsidRDefault="00783A4C" w:rsidP="00783A4C">
            <w:pPr>
              <w:jc w:val="right"/>
              <w:rPr>
                <w:sz w:val="18"/>
                <w:szCs w:val="18"/>
              </w:rPr>
            </w:pPr>
            <w:r w:rsidRPr="003B485B">
              <w:rPr>
                <w:sz w:val="18"/>
                <w:szCs w:val="18"/>
              </w:rPr>
              <w:t>17.6</w:t>
            </w:r>
          </w:p>
        </w:tc>
        <w:tc>
          <w:tcPr>
            <w:tcW w:w="1044" w:type="dxa"/>
            <w:tcBorders>
              <w:top w:val="nil"/>
              <w:left w:val="nil"/>
              <w:bottom w:val="nil"/>
              <w:right w:val="nil"/>
            </w:tcBorders>
            <w:shd w:val="clear" w:color="auto" w:fill="auto"/>
            <w:noWrap/>
            <w:vAlign w:val="center"/>
          </w:tcPr>
          <w:p w:rsidR="00783A4C" w:rsidRPr="003B485B" w:rsidRDefault="00783A4C" w:rsidP="00783A4C">
            <w:pPr>
              <w:jc w:val="right"/>
              <w:rPr>
                <w:sz w:val="18"/>
                <w:szCs w:val="18"/>
              </w:rPr>
            </w:pPr>
          </w:p>
        </w:tc>
        <w:tc>
          <w:tcPr>
            <w:tcW w:w="1061" w:type="dxa"/>
            <w:tcBorders>
              <w:top w:val="nil"/>
              <w:left w:val="nil"/>
              <w:bottom w:val="nil"/>
              <w:right w:val="single" w:sz="8" w:space="0" w:color="0C5498"/>
            </w:tcBorders>
            <w:shd w:val="clear" w:color="auto" w:fill="auto"/>
            <w:noWrap/>
            <w:vAlign w:val="center"/>
          </w:tcPr>
          <w:p w:rsidR="00783A4C" w:rsidRPr="003B485B" w:rsidRDefault="00783A4C" w:rsidP="00783A4C">
            <w:pPr>
              <w:jc w:val="right"/>
              <w:rPr>
                <w:sz w:val="18"/>
                <w:szCs w:val="18"/>
              </w:rPr>
            </w:pPr>
            <w:r w:rsidRPr="003B485B">
              <w:rPr>
                <w:sz w:val="18"/>
                <w:szCs w:val="18"/>
              </w:rPr>
              <w:t>-1.1</w:t>
            </w:r>
          </w:p>
        </w:tc>
        <w:tc>
          <w:tcPr>
            <w:tcW w:w="1060" w:type="dxa"/>
            <w:tcBorders>
              <w:top w:val="nil"/>
              <w:left w:val="nil"/>
              <w:bottom w:val="nil"/>
              <w:right w:val="nil"/>
            </w:tcBorders>
            <w:shd w:val="clear" w:color="auto" w:fill="auto"/>
            <w:noWrap/>
            <w:vAlign w:val="center"/>
          </w:tcPr>
          <w:p w:rsidR="00783A4C" w:rsidRPr="003B485B" w:rsidRDefault="00783A4C" w:rsidP="00783A4C">
            <w:pPr>
              <w:jc w:val="right"/>
              <w:rPr>
                <w:sz w:val="18"/>
                <w:szCs w:val="18"/>
              </w:rPr>
            </w:pPr>
          </w:p>
        </w:tc>
        <w:tc>
          <w:tcPr>
            <w:tcW w:w="1061" w:type="dxa"/>
            <w:tcBorders>
              <w:top w:val="nil"/>
              <w:left w:val="nil"/>
              <w:bottom w:val="nil"/>
              <w:right w:val="nil"/>
            </w:tcBorders>
            <w:shd w:val="clear" w:color="auto" w:fill="auto"/>
            <w:noWrap/>
            <w:vAlign w:val="center"/>
          </w:tcPr>
          <w:p w:rsidR="00783A4C" w:rsidRPr="003B485B" w:rsidRDefault="00783A4C" w:rsidP="00783A4C">
            <w:pPr>
              <w:jc w:val="right"/>
              <w:rPr>
                <w:sz w:val="18"/>
                <w:szCs w:val="18"/>
              </w:rPr>
            </w:pPr>
            <w:r w:rsidRPr="003B485B">
              <w:rPr>
                <w:sz w:val="18"/>
                <w:szCs w:val="18"/>
              </w:rPr>
              <w:t>-0.4</w:t>
            </w:r>
          </w:p>
        </w:tc>
      </w:tr>
      <w:tr w:rsidR="00783A4C" w:rsidRPr="003B485B" w:rsidTr="00783A4C">
        <w:trPr>
          <w:trHeight w:val="260"/>
          <w:jc w:val="center"/>
        </w:trPr>
        <w:tc>
          <w:tcPr>
            <w:tcW w:w="3771" w:type="dxa"/>
            <w:tcBorders>
              <w:top w:val="nil"/>
              <w:bottom w:val="nil"/>
              <w:right w:val="single" w:sz="8" w:space="0" w:color="0C5498"/>
            </w:tcBorders>
            <w:shd w:val="clear" w:color="auto" w:fill="auto"/>
            <w:vAlign w:val="center"/>
            <w:hideMark/>
          </w:tcPr>
          <w:p w:rsidR="00783A4C" w:rsidRPr="003B485B" w:rsidRDefault="00783A4C" w:rsidP="00783A4C">
            <w:pPr>
              <w:rPr>
                <w:rFonts w:cs="Arial"/>
                <w:color w:val="000000"/>
                <w:sz w:val="18"/>
                <w:szCs w:val="18"/>
              </w:rPr>
            </w:pPr>
            <w:r w:rsidRPr="003B485B">
              <w:rPr>
                <w:rFonts w:cs="Arial"/>
                <w:color w:val="000000"/>
                <w:sz w:val="18"/>
                <w:szCs w:val="18"/>
              </w:rPr>
              <w:t>Unemployment rate</w:t>
            </w:r>
          </w:p>
        </w:tc>
        <w:tc>
          <w:tcPr>
            <w:tcW w:w="1075" w:type="dxa"/>
            <w:tcBorders>
              <w:top w:val="nil"/>
              <w:left w:val="nil"/>
              <w:bottom w:val="nil"/>
              <w:right w:val="single" w:sz="8" w:space="0" w:color="0C5498"/>
            </w:tcBorders>
            <w:shd w:val="clear" w:color="auto" w:fill="auto"/>
            <w:vAlign w:val="center"/>
          </w:tcPr>
          <w:p w:rsidR="00783A4C" w:rsidRPr="003B485B" w:rsidRDefault="00783A4C" w:rsidP="00783A4C">
            <w:pPr>
              <w:jc w:val="right"/>
              <w:rPr>
                <w:sz w:val="18"/>
                <w:szCs w:val="18"/>
              </w:rPr>
            </w:pPr>
            <w:r w:rsidRPr="003B485B">
              <w:rPr>
                <w:sz w:val="18"/>
                <w:szCs w:val="18"/>
              </w:rPr>
              <w:t>9.7</w:t>
            </w:r>
          </w:p>
        </w:tc>
        <w:tc>
          <w:tcPr>
            <w:tcW w:w="1044" w:type="dxa"/>
            <w:tcBorders>
              <w:top w:val="nil"/>
              <w:left w:val="nil"/>
              <w:bottom w:val="nil"/>
              <w:right w:val="nil"/>
            </w:tcBorders>
            <w:shd w:val="clear" w:color="auto" w:fill="auto"/>
            <w:noWrap/>
            <w:vAlign w:val="center"/>
          </w:tcPr>
          <w:p w:rsidR="00783A4C" w:rsidRPr="003B485B" w:rsidRDefault="00783A4C" w:rsidP="00783A4C">
            <w:pPr>
              <w:jc w:val="right"/>
              <w:rPr>
                <w:sz w:val="18"/>
                <w:szCs w:val="18"/>
              </w:rPr>
            </w:pPr>
          </w:p>
        </w:tc>
        <w:tc>
          <w:tcPr>
            <w:tcW w:w="1061" w:type="dxa"/>
            <w:tcBorders>
              <w:top w:val="nil"/>
              <w:left w:val="nil"/>
              <w:bottom w:val="nil"/>
              <w:right w:val="single" w:sz="8" w:space="0" w:color="0C5498"/>
            </w:tcBorders>
            <w:shd w:val="clear" w:color="auto" w:fill="auto"/>
            <w:noWrap/>
            <w:vAlign w:val="center"/>
          </w:tcPr>
          <w:p w:rsidR="00783A4C" w:rsidRPr="003B485B" w:rsidRDefault="00783A4C" w:rsidP="00783A4C">
            <w:pPr>
              <w:jc w:val="right"/>
              <w:rPr>
                <w:sz w:val="18"/>
                <w:szCs w:val="18"/>
              </w:rPr>
            </w:pPr>
            <w:r w:rsidRPr="003B485B">
              <w:rPr>
                <w:sz w:val="18"/>
                <w:szCs w:val="18"/>
              </w:rPr>
              <w:t>0.2</w:t>
            </w:r>
          </w:p>
        </w:tc>
        <w:tc>
          <w:tcPr>
            <w:tcW w:w="1060" w:type="dxa"/>
            <w:tcBorders>
              <w:top w:val="nil"/>
              <w:left w:val="nil"/>
              <w:bottom w:val="nil"/>
              <w:right w:val="nil"/>
            </w:tcBorders>
            <w:shd w:val="clear" w:color="auto" w:fill="auto"/>
            <w:noWrap/>
            <w:vAlign w:val="center"/>
          </w:tcPr>
          <w:p w:rsidR="00783A4C" w:rsidRPr="003B485B" w:rsidRDefault="00783A4C" w:rsidP="00783A4C">
            <w:pPr>
              <w:jc w:val="right"/>
              <w:rPr>
                <w:sz w:val="18"/>
                <w:szCs w:val="18"/>
              </w:rPr>
            </w:pPr>
          </w:p>
        </w:tc>
        <w:tc>
          <w:tcPr>
            <w:tcW w:w="1061" w:type="dxa"/>
            <w:tcBorders>
              <w:top w:val="nil"/>
              <w:left w:val="nil"/>
              <w:bottom w:val="nil"/>
              <w:right w:val="nil"/>
            </w:tcBorders>
            <w:shd w:val="clear" w:color="auto" w:fill="auto"/>
            <w:noWrap/>
            <w:vAlign w:val="center"/>
          </w:tcPr>
          <w:p w:rsidR="00783A4C" w:rsidRPr="003B485B" w:rsidRDefault="00783A4C" w:rsidP="00783A4C">
            <w:pPr>
              <w:jc w:val="right"/>
              <w:rPr>
                <w:sz w:val="18"/>
                <w:szCs w:val="18"/>
              </w:rPr>
            </w:pPr>
            <w:r w:rsidRPr="003B485B">
              <w:rPr>
                <w:sz w:val="18"/>
                <w:szCs w:val="18"/>
              </w:rPr>
              <w:t>-3.2</w:t>
            </w:r>
          </w:p>
        </w:tc>
      </w:tr>
      <w:tr w:rsidR="00783A4C" w:rsidRPr="003B485B" w:rsidTr="00783A4C">
        <w:trPr>
          <w:trHeight w:val="273"/>
          <w:jc w:val="center"/>
        </w:trPr>
        <w:tc>
          <w:tcPr>
            <w:tcW w:w="3771" w:type="dxa"/>
            <w:tcBorders>
              <w:top w:val="nil"/>
              <w:right w:val="single" w:sz="8" w:space="0" w:color="0C5498"/>
            </w:tcBorders>
            <w:shd w:val="clear" w:color="auto" w:fill="auto"/>
            <w:vAlign w:val="center"/>
            <w:hideMark/>
          </w:tcPr>
          <w:p w:rsidR="00783A4C" w:rsidRPr="003B485B" w:rsidRDefault="00783A4C" w:rsidP="00783A4C">
            <w:pPr>
              <w:rPr>
                <w:rFonts w:cs="Arial"/>
                <w:color w:val="000000"/>
                <w:sz w:val="18"/>
                <w:szCs w:val="18"/>
              </w:rPr>
            </w:pPr>
            <w:r w:rsidRPr="003B485B">
              <w:rPr>
                <w:rFonts w:cs="Arial"/>
                <w:color w:val="000000"/>
                <w:sz w:val="18"/>
                <w:szCs w:val="18"/>
              </w:rPr>
              <w:t>Inactivity rate</w:t>
            </w:r>
          </w:p>
        </w:tc>
        <w:tc>
          <w:tcPr>
            <w:tcW w:w="1075" w:type="dxa"/>
            <w:tcBorders>
              <w:top w:val="nil"/>
              <w:left w:val="nil"/>
              <w:bottom w:val="nil"/>
              <w:right w:val="single" w:sz="8" w:space="0" w:color="0C5498"/>
            </w:tcBorders>
            <w:shd w:val="clear" w:color="auto" w:fill="auto"/>
            <w:vAlign w:val="center"/>
          </w:tcPr>
          <w:p w:rsidR="00783A4C" w:rsidRPr="003B485B" w:rsidRDefault="00783A4C" w:rsidP="00783A4C">
            <w:pPr>
              <w:jc w:val="right"/>
              <w:rPr>
                <w:sz w:val="18"/>
                <w:szCs w:val="18"/>
              </w:rPr>
            </w:pPr>
            <w:r w:rsidRPr="003B485B">
              <w:rPr>
                <w:sz w:val="18"/>
                <w:szCs w:val="18"/>
              </w:rPr>
              <w:t>45.0</w:t>
            </w:r>
          </w:p>
        </w:tc>
        <w:tc>
          <w:tcPr>
            <w:tcW w:w="1044" w:type="dxa"/>
            <w:tcBorders>
              <w:top w:val="nil"/>
              <w:left w:val="nil"/>
              <w:bottom w:val="nil"/>
              <w:right w:val="nil"/>
            </w:tcBorders>
            <w:shd w:val="clear" w:color="auto" w:fill="auto"/>
            <w:noWrap/>
            <w:vAlign w:val="center"/>
          </w:tcPr>
          <w:p w:rsidR="00783A4C" w:rsidRPr="003B485B" w:rsidRDefault="00783A4C" w:rsidP="00783A4C">
            <w:pPr>
              <w:jc w:val="right"/>
              <w:rPr>
                <w:sz w:val="18"/>
                <w:szCs w:val="18"/>
              </w:rPr>
            </w:pPr>
          </w:p>
        </w:tc>
        <w:tc>
          <w:tcPr>
            <w:tcW w:w="1061" w:type="dxa"/>
            <w:tcBorders>
              <w:top w:val="nil"/>
              <w:left w:val="nil"/>
              <w:bottom w:val="nil"/>
              <w:right w:val="single" w:sz="8" w:space="0" w:color="0C5498"/>
            </w:tcBorders>
            <w:shd w:val="clear" w:color="auto" w:fill="auto"/>
            <w:vAlign w:val="center"/>
          </w:tcPr>
          <w:p w:rsidR="00783A4C" w:rsidRPr="003B485B" w:rsidRDefault="00783A4C" w:rsidP="00783A4C">
            <w:pPr>
              <w:jc w:val="right"/>
              <w:rPr>
                <w:sz w:val="18"/>
                <w:szCs w:val="18"/>
              </w:rPr>
            </w:pPr>
            <w:r w:rsidRPr="003B485B">
              <w:rPr>
                <w:sz w:val="18"/>
                <w:szCs w:val="18"/>
              </w:rPr>
              <w:t>-0.2</w:t>
            </w:r>
          </w:p>
        </w:tc>
        <w:tc>
          <w:tcPr>
            <w:tcW w:w="1060" w:type="dxa"/>
            <w:tcBorders>
              <w:top w:val="nil"/>
              <w:left w:val="nil"/>
              <w:bottom w:val="nil"/>
              <w:right w:val="nil"/>
            </w:tcBorders>
            <w:shd w:val="clear" w:color="auto" w:fill="auto"/>
            <w:noWrap/>
            <w:vAlign w:val="center"/>
          </w:tcPr>
          <w:p w:rsidR="00783A4C" w:rsidRPr="003B485B" w:rsidRDefault="00783A4C" w:rsidP="00783A4C">
            <w:pPr>
              <w:jc w:val="right"/>
              <w:rPr>
                <w:sz w:val="18"/>
                <w:szCs w:val="18"/>
              </w:rPr>
            </w:pPr>
          </w:p>
        </w:tc>
        <w:tc>
          <w:tcPr>
            <w:tcW w:w="1061" w:type="dxa"/>
            <w:tcBorders>
              <w:top w:val="nil"/>
              <w:left w:val="nil"/>
              <w:bottom w:val="nil"/>
              <w:right w:val="nil"/>
            </w:tcBorders>
            <w:shd w:val="clear" w:color="auto" w:fill="auto"/>
            <w:vAlign w:val="center"/>
          </w:tcPr>
          <w:p w:rsidR="00783A4C" w:rsidRPr="003B485B" w:rsidRDefault="00783A4C" w:rsidP="00783A4C">
            <w:pPr>
              <w:jc w:val="right"/>
              <w:rPr>
                <w:sz w:val="18"/>
                <w:szCs w:val="18"/>
              </w:rPr>
            </w:pPr>
            <w:r w:rsidRPr="003B485B">
              <w:rPr>
                <w:sz w:val="18"/>
                <w:szCs w:val="18"/>
              </w:rPr>
              <w:t>-0.6</w:t>
            </w:r>
          </w:p>
        </w:tc>
      </w:tr>
    </w:tbl>
    <w:p w:rsidR="009E3604" w:rsidRPr="003B485B" w:rsidRDefault="009E3604" w:rsidP="00ED093B">
      <w:pPr>
        <w:spacing w:before="360" w:after="120" w:line="264" w:lineRule="auto"/>
        <w:ind w:firstLine="403"/>
        <w:jc w:val="both"/>
        <w:rPr>
          <w:rFonts w:cs="Arial"/>
        </w:rPr>
      </w:pPr>
      <w:r w:rsidRPr="003B485B">
        <w:rPr>
          <w:rFonts w:cs="Arial"/>
        </w:rPr>
        <w:t xml:space="preserve">In the </w:t>
      </w:r>
      <w:r w:rsidR="00065688" w:rsidRPr="003B485B">
        <w:rPr>
          <w:rFonts w:cs="Arial"/>
        </w:rPr>
        <w:t>fourth</w:t>
      </w:r>
      <w:r w:rsidRPr="003B485B">
        <w:rPr>
          <w:rFonts w:cs="Arial"/>
        </w:rPr>
        <w:t xml:space="preserve"> quarter 201</w:t>
      </w:r>
      <w:r w:rsidR="00E625E8" w:rsidRPr="003B485B">
        <w:rPr>
          <w:rFonts w:cs="Arial"/>
        </w:rPr>
        <w:t>9</w:t>
      </w:r>
      <w:r w:rsidRPr="003B485B">
        <w:rPr>
          <w:rFonts w:cs="Arial"/>
        </w:rPr>
        <w:t>, the Survey was conducted on the sample of 1</w:t>
      </w:r>
      <w:r w:rsidR="00E625E8" w:rsidRPr="003B485B">
        <w:rPr>
          <w:rFonts w:cs="Arial"/>
        </w:rPr>
        <w:t>5</w:t>
      </w:r>
      <w:r w:rsidRPr="003B485B">
        <w:rPr>
          <w:rFonts w:cs="Arial"/>
        </w:rPr>
        <w:t> </w:t>
      </w:r>
      <w:r w:rsidR="00065688" w:rsidRPr="003B485B">
        <w:rPr>
          <w:rFonts w:cs="Arial"/>
        </w:rPr>
        <w:t>651</w:t>
      </w:r>
      <w:r w:rsidRPr="003B485B">
        <w:rPr>
          <w:rFonts w:cs="Arial"/>
        </w:rPr>
        <w:t xml:space="preserve"> households, out of which 1</w:t>
      </w:r>
      <w:r w:rsidR="00722C7B" w:rsidRPr="003B485B">
        <w:rPr>
          <w:rFonts w:cs="Arial"/>
        </w:rPr>
        <w:t>1</w:t>
      </w:r>
      <w:r w:rsidRPr="003B485B">
        <w:rPr>
          <w:rFonts w:cs="Arial"/>
        </w:rPr>
        <w:t> </w:t>
      </w:r>
      <w:r w:rsidR="00722C7B" w:rsidRPr="003B485B">
        <w:rPr>
          <w:rFonts w:cs="Arial"/>
        </w:rPr>
        <w:t>5</w:t>
      </w:r>
      <w:r w:rsidR="00065688" w:rsidRPr="003B485B">
        <w:rPr>
          <w:rFonts w:cs="Arial"/>
        </w:rPr>
        <w:t>58</w:t>
      </w:r>
      <w:r w:rsidRPr="003B485B">
        <w:rPr>
          <w:rFonts w:cs="Arial"/>
        </w:rPr>
        <w:t xml:space="preserve"> households, i.e. 2</w:t>
      </w:r>
      <w:r w:rsidR="00722C7B" w:rsidRPr="003B485B">
        <w:rPr>
          <w:rFonts w:cs="Arial"/>
        </w:rPr>
        <w:t>6</w:t>
      </w:r>
      <w:r w:rsidRPr="003B485B">
        <w:rPr>
          <w:rFonts w:cs="Arial"/>
        </w:rPr>
        <w:t> </w:t>
      </w:r>
      <w:r w:rsidR="00065688" w:rsidRPr="003B485B">
        <w:rPr>
          <w:rFonts w:cs="Arial"/>
        </w:rPr>
        <w:t>635</w:t>
      </w:r>
      <w:r w:rsidRPr="003B485B">
        <w:rPr>
          <w:rFonts w:cs="Arial"/>
        </w:rPr>
        <w:t xml:space="preserve"> persons aged 15 and over were interviewed.</w:t>
      </w:r>
    </w:p>
    <w:p w:rsidR="00065688" w:rsidRPr="003B485B" w:rsidRDefault="009E3604" w:rsidP="00065688">
      <w:pPr>
        <w:spacing w:before="120" w:after="120" w:line="264" w:lineRule="auto"/>
        <w:ind w:firstLine="403"/>
        <w:jc w:val="both"/>
        <w:rPr>
          <w:rFonts w:cs="Arial"/>
        </w:rPr>
      </w:pPr>
      <w:proofErr w:type="gramStart"/>
      <w:r w:rsidRPr="003B485B">
        <w:rPr>
          <w:rFonts w:cs="Arial"/>
        </w:rPr>
        <w:t>More detailed data</w:t>
      </w:r>
      <w:proofErr w:type="gramEnd"/>
      <w:r w:rsidRPr="003B485B">
        <w:rPr>
          <w:rFonts w:cs="Arial"/>
        </w:rPr>
        <w:t xml:space="preserve"> can be obtained in the tables that are part of the Statistical Release on Labour Force Survey for the </w:t>
      </w:r>
      <w:r w:rsidR="00722C7B" w:rsidRPr="003B485B">
        <w:rPr>
          <w:rFonts w:cs="Arial"/>
        </w:rPr>
        <w:t>third</w:t>
      </w:r>
      <w:r w:rsidRPr="003B485B">
        <w:rPr>
          <w:rFonts w:cs="Arial"/>
        </w:rPr>
        <w:t xml:space="preserve"> quarter 201</w:t>
      </w:r>
      <w:r w:rsidR="008F5D88" w:rsidRPr="003B485B">
        <w:rPr>
          <w:rFonts w:cs="Arial"/>
        </w:rPr>
        <w:t>9</w:t>
      </w:r>
      <w:r w:rsidRPr="003B485B">
        <w:rPr>
          <w:rFonts w:cs="Arial"/>
        </w:rPr>
        <w:t xml:space="preserve"> (RS10), on the address:</w:t>
      </w:r>
      <w:r w:rsidR="0056288F" w:rsidRPr="003B485B">
        <w:rPr>
          <w:rFonts w:cs="Arial"/>
        </w:rPr>
        <w:t xml:space="preserve"> </w:t>
      </w:r>
      <w:hyperlink r:id="rId10" w:history="1">
        <w:r w:rsidR="003B485B" w:rsidRPr="00A1136B">
          <w:rPr>
            <w:rStyle w:val="Hyperlink"/>
            <w:rFonts w:cs="Arial"/>
          </w:rPr>
          <w:t>http://publikacije.stat.gov.rs/G2020/Xls/G20201051.xlsx</w:t>
        </w:r>
      </w:hyperlink>
      <w:r w:rsidR="00065688" w:rsidRPr="003B485B">
        <w:rPr>
          <w:rFonts w:cs="Arial"/>
        </w:rPr>
        <w:t>.</w:t>
      </w:r>
    </w:p>
    <w:p w:rsidR="000F4A7D" w:rsidRPr="003B485B" w:rsidRDefault="00A73B1F" w:rsidP="00AE1A0C">
      <w:pPr>
        <w:spacing w:before="480" w:after="120" w:line="264" w:lineRule="auto"/>
        <w:jc w:val="center"/>
        <w:rPr>
          <w:rFonts w:cs="Arial"/>
          <w:b/>
        </w:rPr>
      </w:pPr>
      <w:r w:rsidRPr="003B485B">
        <w:rPr>
          <w:rFonts w:cs="Arial"/>
          <w:b/>
        </w:rPr>
        <w:t>Methodological notes</w:t>
      </w:r>
    </w:p>
    <w:p w:rsidR="00331733" w:rsidRPr="003B485B" w:rsidRDefault="00C50458" w:rsidP="00ED093B">
      <w:pPr>
        <w:pStyle w:val="NormalWeb"/>
        <w:spacing w:beforeLines="0" w:before="120" w:afterLines="0" w:after="120" w:line="264" w:lineRule="auto"/>
        <w:ind w:firstLine="403"/>
        <w:jc w:val="both"/>
        <w:rPr>
          <w:rFonts w:ascii="Arial" w:hAnsi="Arial" w:cs="Arial"/>
          <w:lang w:val="en-GB"/>
        </w:rPr>
      </w:pPr>
      <w:r w:rsidRPr="003B485B">
        <w:rPr>
          <w:rFonts w:ascii="Arial" w:hAnsi="Arial" w:cs="Arial"/>
          <w:lang w:val="en-GB"/>
        </w:rPr>
        <w:t xml:space="preserve">Labour Force Survey (LFS) is the most complex and the only internationally comparable instrument for labour trends monitoring, registering demographic and socio–economic characteristics of population aged 15 and over.  </w:t>
      </w:r>
    </w:p>
    <w:p w:rsidR="00331733" w:rsidRPr="003B485B" w:rsidRDefault="00C50458" w:rsidP="00ED093B">
      <w:pPr>
        <w:pStyle w:val="NormalWeb"/>
        <w:spacing w:beforeLines="0" w:before="120" w:afterLines="0" w:after="120" w:line="264" w:lineRule="auto"/>
        <w:ind w:firstLine="403"/>
        <w:jc w:val="both"/>
        <w:rPr>
          <w:rFonts w:ascii="Arial" w:hAnsi="Arial" w:cs="Arial"/>
          <w:lang w:val="en-GB"/>
        </w:rPr>
      </w:pPr>
      <w:r w:rsidRPr="003B485B">
        <w:rPr>
          <w:rFonts w:ascii="Arial" w:hAnsi="Arial" w:cs="Arial"/>
          <w:lang w:val="en-GB"/>
        </w:rPr>
        <w:t xml:space="preserve">The main aim of the survey is estimating the labour force volume, i.e. employed and unemployed population, where employment relates to work in both formal and informal section. </w:t>
      </w:r>
    </w:p>
    <w:p w:rsidR="00C50458" w:rsidRPr="003B485B" w:rsidRDefault="00C50458" w:rsidP="00ED093B">
      <w:pPr>
        <w:pStyle w:val="NormalWeb"/>
        <w:spacing w:beforeLines="0" w:before="120" w:afterLines="0" w:after="120" w:line="264" w:lineRule="auto"/>
        <w:ind w:firstLine="403"/>
        <w:jc w:val="both"/>
        <w:rPr>
          <w:rFonts w:ascii="Arial" w:hAnsi="Arial" w:cs="Arial"/>
          <w:lang w:val="en-GB"/>
        </w:rPr>
      </w:pPr>
      <w:r w:rsidRPr="003B485B">
        <w:rPr>
          <w:rFonts w:ascii="Arial" w:hAnsi="Arial" w:cs="Arial"/>
          <w:lang w:val="en-GB"/>
        </w:rPr>
        <w:t>Additionally, LFS deals with characteristics of employment (professional status of the employed persons, their activity, occupation, rights realized at work…) and unemployment (acquired education, duration of job seeking, previous working experience…), as well as characteristics of inactive population – their education, age, income source and readiness for involvement in labour market.</w:t>
      </w:r>
    </w:p>
    <w:p w:rsidR="00C50458" w:rsidRPr="003B485B" w:rsidRDefault="00C50458" w:rsidP="00ED093B">
      <w:pPr>
        <w:spacing w:before="120" w:after="120" w:line="264" w:lineRule="auto"/>
        <w:ind w:firstLine="403"/>
        <w:jc w:val="both"/>
        <w:rPr>
          <w:rFonts w:cs="Arial"/>
        </w:rPr>
      </w:pPr>
      <w:r w:rsidRPr="003B485B">
        <w:rPr>
          <w:rFonts w:cs="Arial"/>
          <w:b/>
          <w:bCs/>
        </w:rPr>
        <w:t>Active population</w:t>
      </w:r>
      <w:r w:rsidRPr="003B485B">
        <w:rPr>
          <w:rFonts w:cs="Arial"/>
        </w:rPr>
        <w:t xml:space="preserve"> (</w:t>
      </w:r>
      <w:r w:rsidRPr="003B485B">
        <w:rPr>
          <w:rFonts w:cs="Arial"/>
          <w:b/>
          <w:bCs/>
        </w:rPr>
        <w:t>labour force</w:t>
      </w:r>
      <w:r w:rsidRPr="003B485B">
        <w:rPr>
          <w:rFonts w:cs="Arial"/>
        </w:rPr>
        <w:t>) includes all employed and unemployed persons</w:t>
      </w:r>
      <w:r w:rsidR="004F0B6D" w:rsidRPr="003B485B">
        <w:rPr>
          <w:rFonts w:cs="Arial"/>
        </w:rPr>
        <w:t xml:space="preserve"> aged 15 and over</w:t>
      </w:r>
      <w:r w:rsidRPr="003B485B">
        <w:rPr>
          <w:rFonts w:cs="Arial"/>
        </w:rPr>
        <w:t>.</w:t>
      </w:r>
    </w:p>
    <w:p w:rsidR="00C50458" w:rsidRPr="003B485B" w:rsidRDefault="00C50458" w:rsidP="00ED093B">
      <w:pPr>
        <w:pStyle w:val="Heading4"/>
        <w:spacing w:before="120" w:after="120" w:line="264" w:lineRule="auto"/>
        <w:ind w:firstLine="403"/>
        <w:jc w:val="both"/>
        <w:rPr>
          <w:rFonts w:ascii="Arial" w:hAnsi="Arial" w:cs="Arial"/>
          <w:b w:val="0"/>
          <w:bCs w:val="0"/>
          <w:i w:val="0"/>
          <w:color w:val="auto"/>
          <w:spacing w:val="-4"/>
        </w:rPr>
      </w:pPr>
      <w:r w:rsidRPr="003B485B">
        <w:rPr>
          <w:rFonts w:ascii="Arial" w:hAnsi="Arial" w:cs="Arial"/>
          <w:i w:val="0"/>
          <w:color w:val="auto"/>
          <w:spacing w:val="-4"/>
        </w:rPr>
        <w:t>Activity rate (share of labour force)</w:t>
      </w:r>
      <w:r w:rsidRPr="003B485B">
        <w:rPr>
          <w:rFonts w:ascii="Arial" w:hAnsi="Arial" w:cs="Arial"/>
          <w:b w:val="0"/>
          <w:bCs w:val="0"/>
          <w:i w:val="0"/>
          <w:color w:val="auto"/>
          <w:spacing w:val="-4"/>
        </w:rPr>
        <w:t xml:space="preserve"> presents the percentage share of active population in total population aged 15 and over.</w:t>
      </w:r>
    </w:p>
    <w:p w:rsidR="00C50458" w:rsidRPr="003B485B" w:rsidRDefault="00C50458" w:rsidP="00ED093B">
      <w:pPr>
        <w:spacing w:before="120" w:after="120" w:line="264" w:lineRule="auto"/>
        <w:ind w:firstLine="403"/>
        <w:jc w:val="both"/>
        <w:rPr>
          <w:rFonts w:cs="Arial"/>
          <w:b/>
        </w:rPr>
      </w:pPr>
      <w:r w:rsidRPr="003B485B">
        <w:rPr>
          <w:rFonts w:cs="Arial"/>
          <w:b/>
          <w:bCs/>
        </w:rPr>
        <w:t xml:space="preserve">Employed persons </w:t>
      </w:r>
      <w:r w:rsidRPr="003B485B">
        <w:rPr>
          <w:rFonts w:cs="Arial"/>
        </w:rPr>
        <w:t>are persons who performed a paid job (in money or in kind) for at least one hour in the reference week, as well as persons who had an employment, but were absent from work in that week but which have a guaranty to return to it.</w:t>
      </w:r>
      <w:r w:rsidRPr="003B485B">
        <w:rPr>
          <w:rFonts w:cs="Arial"/>
          <w:b/>
        </w:rPr>
        <w:t xml:space="preserve"> </w:t>
      </w:r>
    </w:p>
    <w:p w:rsidR="00C50458" w:rsidRPr="003B485B" w:rsidRDefault="00C50458" w:rsidP="00ED093B">
      <w:pPr>
        <w:spacing w:before="120" w:after="120" w:line="264" w:lineRule="auto"/>
        <w:ind w:firstLine="403"/>
        <w:jc w:val="both"/>
        <w:rPr>
          <w:rFonts w:cs="Arial"/>
        </w:rPr>
      </w:pPr>
      <w:r w:rsidRPr="003B485B">
        <w:rPr>
          <w:rFonts w:cs="Arial"/>
          <w:b/>
          <w:bCs/>
        </w:rPr>
        <w:t xml:space="preserve">Employment rate </w:t>
      </w:r>
      <w:r w:rsidRPr="003B485B">
        <w:rPr>
          <w:rFonts w:cs="Arial"/>
        </w:rPr>
        <w:t>is the percentage share of employed in the total population aged 15 and over.</w:t>
      </w:r>
    </w:p>
    <w:p w:rsidR="00C50458" w:rsidRPr="003B485B" w:rsidRDefault="00C50458" w:rsidP="00ED093B">
      <w:pPr>
        <w:spacing w:before="120" w:after="120" w:line="264" w:lineRule="auto"/>
        <w:ind w:firstLine="403"/>
        <w:jc w:val="both"/>
        <w:rPr>
          <w:rFonts w:cs="Arial"/>
        </w:rPr>
      </w:pPr>
      <w:r w:rsidRPr="003B485B">
        <w:rPr>
          <w:rFonts w:cs="Arial"/>
          <w:b/>
          <w:bCs/>
        </w:rPr>
        <w:t>Informally employed</w:t>
      </w:r>
      <w:r w:rsidRPr="003B485B">
        <w:rPr>
          <w:rFonts w:cs="Arial"/>
        </w:rPr>
        <w:t xml:space="preserve"> are employees without written contract, self-employed in unregistered business, as well as contributing family workers.</w:t>
      </w:r>
    </w:p>
    <w:p w:rsidR="00C50458" w:rsidRPr="003B485B" w:rsidRDefault="00C50458" w:rsidP="00ED093B">
      <w:pPr>
        <w:spacing w:before="120" w:after="120" w:line="264" w:lineRule="auto"/>
        <w:ind w:firstLine="403"/>
        <w:jc w:val="both"/>
        <w:rPr>
          <w:rFonts w:cs="Arial"/>
          <w:b/>
          <w:bCs/>
          <w:spacing w:val="-4"/>
        </w:rPr>
      </w:pPr>
      <w:r w:rsidRPr="003B485B">
        <w:rPr>
          <w:rFonts w:cs="Arial"/>
          <w:b/>
          <w:bCs/>
        </w:rPr>
        <w:t>Informal employment rate</w:t>
      </w:r>
      <w:r w:rsidRPr="003B485B">
        <w:rPr>
          <w:rFonts w:cs="Arial"/>
        </w:rPr>
        <w:t xml:space="preserve"> is the percentage share of informally employed in total employment.</w:t>
      </w:r>
    </w:p>
    <w:p w:rsidR="00C50458" w:rsidRPr="003B485B" w:rsidRDefault="00C50458" w:rsidP="00ED093B">
      <w:pPr>
        <w:spacing w:before="120" w:after="120" w:line="264" w:lineRule="auto"/>
        <w:ind w:firstLine="403"/>
        <w:jc w:val="both"/>
        <w:rPr>
          <w:rFonts w:cs="Arial"/>
        </w:rPr>
      </w:pPr>
      <w:r w:rsidRPr="003B485B">
        <w:rPr>
          <w:rFonts w:cs="Arial"/>
          <w:b/>
          <w:bCs/>
        </w:rPr>
        <w:t>Unemployed persons</w:t>
      </w:r>
      <w:r w:rsidRPr="003B485B">
        <w:rPr>
          <w:rFonts w:cs="Arial"/>
        </w:rPr>
        <w:t xml:space="preserve"> are the persons who, in the respective week, did no work for remuneration, who undertook active steps to find a job during four-week period preceding the respective week and who were able to start working in two-week time after the referent week. </w:t>
      </w:r>
    </w:p>
    <w:p w:rsidR="00C50458" w:rsidRPr="003B485B" w:rsidRDefault="00C50458" w:rsidP="00ED093B">
      <w:pPr>
        <w:pStyle w:val="Heading4"/>
        <w:spacing w:before="120" w:after="120" w:line="264" w:lineRule="auto"/>
        <w:ind w:firstLine="403"/>
        <w:jc w:val="both"/>
        <w:rPr>
          <w:rFonts w:ascii="Arial" w:hAnsi="Arial" w:cs="Arial"/>
          <w:b w:val="0"/>
          <w:bCs w:val="0"/>
          <w:i w:val="0"/>
          <w:color w:val="auto"/>
        </w:rPr>
      </w:pPr>
      <w:r w:rsidRPr="003B485B">
        <w:rPr>
          <w:rFonts w:ascii="Arial" w:hAnsi="Arial" w:cs="Arial"/>
          <w:i w:val="0"/>
          <w:color w:val="auto"/>
        </w:rPr>
        <w:lastRenderedPageBreak/>
        <w:t xml:space="preserve">Unemployment rate </w:t>
      </w:r>
      <w:r w:rsidRPr="003B485B">
        <w:rPr>
          <w:rFonts w:ascii="Arial" w:hAnsi="Arial" w:cs="Arial"/>
          <w:b w:val="0"/>
          <w:bCs w:val="0"/>
          <w:i w:val="0"/>
          <w:color w:val="auto"/>
        </w:rPr>
        <w:t>presents the percentage share of unemployed population in labour force (employed and unemployed), aged 15 and over.</w:t>
      </w:r>
    </w:p>
    <w:p w:rsidR="00C50458" w:rsidRPr="003B485B" w:rsidRDefault="00C50458" w:rsidP="00ED093B">
      <w:pPr>
        <w:spacing w:before="120" w:after="120" w:line="264" w:lineRule="auto"/>
        <w:ind w:firstLine="403"/>
        <w:jc w:val="both"/>
        <w:rPr>
          <w:rFonts w:cs="Arial"/>
        </w:rPr>
      </w:pPr>
      <w:r w:rsidRPr="003B485B">
        <w:rPr>
          <w:rFonts w:cs="Arial"/>
          <w:b/>
          <w:bCs/>
        </w:rPr>
        <w:t>Long-term unemployment rate</w:t>
      </w:r>
      <w:r w:rsidRPr="003B485B">
        <w:rPr>
          <w:rFonts w:cs="Arial"/>
        </w:rPr>
        <w:t xml:space="preserve"> presents the percentage share of the unemployed for one year and more, in the total labour force (employed and unemployed), aged 15 and over.</w:t>
      </w:r>
    </w:p>
    <w:p w:rsidR="00C50458" w:rsidRPr="003B485B" w:rsidRDefault="00C50458" w:rsidP="00ED093B">
      <w:pPr>
        <w:pStyle w:val="ListParagraph"/>
        <w:spacing w:before="120" w:after="120" w:line="264" w:lineRule="auto"/>
        <w:ind w:left="0" w:firstLine="403"/>
        <w:contextualSpacing w:val="0"/>
        <w:jc w:val="both"/>
        <w:rPr>
          <w:rFonts w:ascii="Arial" w:hAnsi="Arial" w:cs="Arial"/>
          <w:sz w:val="20"/>
          <w:szCs w:val="20"/>
          <w:lang w:val="en-GB"/>
        </w:rPr>
      </w:pPr>
      <w:r w:rsidRPr="003B485B">
        <w:rPr>
          <w:rFonts w:ascii="Arial" w:hAnsi="Arial" w:cs="Arial"/>
          <w:b/>
          <w:bCs/>
          <w:sz w:val="20"/>
          <w:szCs w:val="20"/>
          <w:lang w:val="en-GB"/>
        </w:rPr>
        <w:t xml:space="preserve">NEET rate – </w:t>
      </w:r>
      <w:r w:rsidRPr="003B485B">
        <w:rPr>
          <w:rFonts w:ascii="Arial" w:hAnsi="Arial" w:cs="Arial"/>
          <w:sz w:val="20"/>
          <w:szCs w:val="20"/>
          <w:lang w:val="en-GB"/>
        </w:rPr>
        <w:t xml:space="preserve">refers to share of persons aged 15 </w:t>
      </w:r>
      <w:proofErr w:type="gramStart"/>
      <w:r w:rsidRPr="003B485B">
        <w:rPr>
          <w:rFonts w:ascii="Arial" w:hAnsi="Arial" w:cs="Arial"/>
          <w:sz w:val="20"/>
          <w:szCs w:val="20"/>
          <w:lang w:val="en-GB"/>
        </w:rPr>
        <w:t>to 24, neither</w:t>
      </w:r>
      <w:proofErr w:type="gramEnd"/>
      <w:r w:rsidRPr="003B485B">
        <w:rPr>
          <w:rFonts w:ascii="Arial" w:hAnsi="Arial" w:cs="Arial"/>
          <w:sz w:val="20"/>
          <w:szCs w:val="20"/>
          <w:lang w:val="en-GB"/>
        </w:rPr>
        <w:t xml:space="preserve"> employed, nor in education, training, in total population of that age.</w:t>
      </w:r>
      <w:r w:rsidRPr="003B485B">
        <w:rPr>
          <w:rFonts w:ascii="Arial" w:hAnsi="Arial" w:cs="Arial"/>
          <w:b/>
          <w:bCs/>
          <w:sz w:val="20"/>
          <w:szCs w:val="20"/>
          <w:lang w:val="en-GB"/>
        </w:rPr>
        <w:t xml:space="preserve"> </w:t>
      </w:r>
    </w:p>
    <w:p w:rsidR="00C50458" w:rsidRPr="003B485B" w:rsidRDefault="00C50458" w:rsidP="00ED093B">
      <w:pPr>
        <w:spacing w:before="120" w:after="120" w:line="264" w:lineRule="auto"/>
        <w:ind w:firstLine="403"/>
        <w:jc w:val="both"/>
        <w:rPr>
          <w:rFonts w:cs="Arial"/>
        </w:rPr>
      </w:pPr>
      <w:r w:rsidRPr="003B485B">
        <w:rPr>
          <w:rFonts w:cs="Arial"/>
          <w:b/>
          <w:bCs/>
        </w:rPr>
        <w:t>Inactive population</w:t>
      </w:r>
      <w:r w:rsidRPr="003B485B">
        <w:rPr>
          <w:rFonts w:cs="Arial"/>
        </w:rPr>
        <w:t xml:space="preserve"> includes all persons aged 15 and over who </w:t>
      </w:r>
      <w:proofErr w:type="gramStart"/>
      <w:r w:rsidRPr="003B485B">
        <w:rPr>
          <w:rFonts w:cs="Arial"/>
        </w:rPr>
        <w:t>are not classified</w:t>
      </w:r>
      <w:proofErr w:type="gramEnd"/>
      <w:r w:rsidRPr="003B485B">
        <w:rPr>
          <w:rFonts w:cs="Arial"/>
        </w:rPr>
        <w:t xml:space="preserve"> in employed and unemployed population. Inactive population comprises students, pensioners, persons performing household tasks, as well as all other persons who performed no paid job in the observed week, did not actively seek a job and who were not able to start working in two-week time after the observed week.  </w:t>
      </w:r>
    </w:p>
    <w:p w:rsidR="00C50458" w:rsidRPr="003B485B" w:rsidRDefault="00C50458" w:rsidP="00ED093B">
      <w:pPr>
        <w:pStyle w:val="Heading1"/>
        <w:spacing w:before="120" w:after="120" w:line="264" w:lineRule="auto"/>
        <w:ind w:firstLine="403"/>
        <w:jc w:val="both"/>
        <w:rPr>
          <w:rFonts w:ascii="Arial IS" w:hAnsi="Arial IS" w:cs="Arial IS"/>
          <w:b w:val="0"/>
          <w:bCs w:val="0"/>
          <w:i/>
          <w:iCs/>
          <w:color w:val="auto"/>
          <w:sz w:val="20"/>
          <w:szCs w:val="20"/>
        </w:rPr>
      </w:pPr>
      <w:r w:rsidRPr="003B485B">
        <w:rPr>
          <w:rFonts w:ascii="Arial" w:hAnsi="Arial" w:cs="Arial"/>
          <w:color w:val="auto"/>
          <w:sz w:val="20"/>
          <w:szCs w:val="20"/>
        </w:rPr>
        <w:t xml:space="preserve">Inactivity rate </w:t>
      </w:r>
      <w:r w:rsidRPr="003B485B">
        <w:rPr>
          <w:rFonts w:ascii="Arial" w:hAnsi="Arial" w:cs="Arial"/>
          <w:b w:val="0"/>
          <w:bCs w:val="0"/>
          <w:color w:val="auto"/>
          <w:sz w:val="20"/>
          <w:szCs w:val="20"/>
        </w:rPr>
        <w:t>presents</w:t>
      </w:r>
      <w:r w:rsidRPr="003B485B">
        <w:rPr>
          <w:rFonts w:ascii="Arial" w:hAnsi="Arial" w:cs="Arial"/>
          <w:color w:val="auto"/>
          <w:sz w:val="20"/>
          <w:szCs w:val="20"/>
        </w:rPr>
        <w:t xml:space="preserve"> </w:t>
      </w:r>
      <w:r w:rsidRPr="003B485B">
        <w:rPr>
          <w:rFonts w:ascii="Arial" w:hAnsi="Arial" w:cs="Arial"/>
          <w:b w:val="0"/>
          <w:bCs w:val="0"/>
          <w:color w:val="auto"/>
          <w:sz w:val="20"/>
          <w:szCs w:val="20"/>
        </w:rPr>
        <w:t>the percentage share of inactive population in total population aged 15 and over.</w:t>
      </w:r>
    </w:p>
    <w:p w:rsidR="00C50458" w:rsidRPr="003B485B" w:rsidRDefault="00C50458" w:rsidP="00ED093B">
      <w:pPr>
        <w:spacing w:before="120" w:after="120" w:line="264" w:lineRule="auto"/>
        <w:ind w:firstLine="403"/>
        <w:jc w:val="both"/>
        <w:rPr>
          <w:rFonts w:cs="Arial"/>
        </w:rPr>
      </w:pPr>
      <w:r w:rsidRPr="003B485B">
        <w:rPr>
          <w:rFonts w:cs="Arial"/>
        </w:rPr>
        <w:t xml:space="preserve">For more detailed description of the Survey and definitions of labour force, see the methodology of Labour Force Survey on </w:t>
      </w:r>
      <w:hyperlink r:id="rId11" w:history="1">
        <w:r w:rsidRPr="003B485B">
          <w:rPr>
            <w:rStyle w:val="Hyperlink"/>
            <w:rFonts w:cs="Arial"/>
          </w:rPr>
          <w:t>www.stat.gov.rs</w:t>
        </w:r>
      </w:hyperlink>
      <w:r w:rsidRPr="003B485B">
        <w:rPr>
          <w:rFonts w:cs="Arial"/>
        </w:rPr>
        <w:t>.</w:t>
      </w:r>
    </w:p>
    <w:p w:rsidR="00335F51" w:rsidRPr="003B485B" w:rsidRDefault="00335F51" w:rsidP="00F7497D">
      <w:pPr>
        <w:spacing w:before="240" w:after="120" w:line="264" w:lineRule="auto"/>
        <w:ind w:firstLine="403"/>
        <w:jc w:val="both"/>
        <w:rPr>
          <w:rFonts w:cs="Arial"/>
        </w:rPr>
      </w:pPr>
    </w:p>
    <w:p w:rsidR="00C50458" w:rsidRPr="003B485B" w:rsidRDefault="00C50458" w:rsidP="00F7497D">
      <w:pPr>
        <w:spacing w:before="240" w:after="120" w:line="264" w:lineRule="auto"/>
        <w:ind w:firstLine="403"/>
        <w:jc w:val="both"/>
        <w:rPr>
          <w:rFonts w:cs="Arial"/>
        </w:rPr>
      </w:pPr>
      <w:r w:rsidRPr="003B485B">
        <w:rPr>
          <w:rFonts w:cs="Arial"/>
        </w:rPr>
        <w:t xml:space="preserve">Starting from 1999 the Statistical Office of the Republic of Serbia has not at disposal and may not provide available certain data relative to AP Kosovo and </w:t>
      </w:r>
      <w:proofErr w:type="spellStart"/>
      <w:r w:rsidRPr="003B485B">
        <w:rPr>
          <w:rFonts w:cs="Arial"/>
        </w:rPr>
        <w:t>Metohija</w:t>
      </w:r>
      <w:proofErr w:type="spellEnd"/>
      <w:r w:rsidRPr="003B485B">
        <w:rPr>
          <w:rFonts w:cs="Arial"/>
        </w:rPr>
        <w:t xml:space="preserve"> and therefore these data are not included in the coverage for the Republic of Serbia (total). </w:t>
      </w:r>
    </w:p>
    <w:p w:rsidR="00B05442" w:rsidRPr="003B485B" w:rsidRDefault="00B05442" w:rsidP="000F2A19">
      <w:pPr>
        <w:pStyle w:val="FootnoteText"/>
        <w:spacing w:before="100" w:after="100" w:line="300" w:lineRule="auto"/>
        <w:jc w:val="both"/>
        <w:rPr>
          <w:rFonts w:ascii="Arial" w:hAnsi="Arial" w:cs="Arial"/>
        </w:rPr>
      </w:pPr>
    </w:p>
    <w:p w:rsidR="00B05442" w:rsidRPr="003B485B" w:rsidRDefault="00B05442" w:rsidP="000F2A19">
      <w:pPr>
        <w:pStyle w:val="FootnoteText"/>
        <w:spacing w:before="100" w:after="100" w:line="300" w:lineRule="auto"/>
        <w:jc w:val="both"/>
        <w:rPr>
          <w:rFonts w:ascii="Arial" w:hAnsi="Arial" w:cs="Arial"/>
        </w:rPr>
      </w:pPr>
    </w:p>
    <w:p w:rsidR="00B05442" w:rsidRPr="003B485B" w:rsidRDefault="00B05442" w:rsidP="000F2A19">
      <w:pPr>
        <w:pStyle w:val="FootnoteText"/>
        <w:spacing w:before="100" w:after="100" w:line="300" w:lineRule="auto"/>
        <w:jc w:val="both"/>
        <w:rPr>
          <w:rFonts w:ascii="Arial" w:hAnsi="Arial" w:cs="Arial"/>
        </w:rPr>
      </w:pPr>
    </w:p>
    <w:p w:rsidR="00B05442" w:rsidRPr="003B485B" w:rsidRDefault="00B05442" w:rsidP="000F2A19">
      <w:pPr>
        <w:pStyle w:val="FootnoteText"/>
        <w:spacing w:before="100" w:after="100" w:line="300" w:lineRule="auto"/>
        <w:jc w:val="both"/>
        <w:rPr>
          <w:rFonts w:ascii="Arial" w:hAnsi="Arial" w:cs="Arial"/>
        </w:rPr>
      </w:pPr>
    </w:p>
    <w:p w:rsidR="00B05442" w:rsidRPr="003B485B" w:rsidRDefault="00B05442" w:rsidP="000F2A19">
      <w:pPr>
        <w:pStyle w:val="FootnoteText"/>
        <w:spacing w:before="100" w:after="100" w:line="300" w:lineRule="auto"/>
        <w:jc w:val="both"/>
        <w:rPr>
          <w:rFonts w:ascii="Arial" w:hAnsi="Arial" w:cs="Arial"/>
        </w:rPr>
      </w:pPr>
    </w:p>
    <w:p w:rsidR="00B05442" w:rsidRPr="003B485B" w:rsidRDefault="00B05442" w:rsidP="000F2A19">
      <w:pPr>
        <w:pStyle w:val="FootnoteText"/>
        <w:spacing w:before="100" w:after="100" w:line="300" w:lineRule="auto"/>
        <w:jc w:val="both"/>
        <w:rPr>
          <w:rFonts w:ascii="Arial" w:hAnsi="Arial" w:cs="Arial"/>
        </w:rPr>
      </w:pPr>
    </w:p>
    <w:p w:rsidR="00612AE0" w:rsidRPr="003B485B" w:rsidRDefault="00612AE0" w:rsidP="000F2A19">
      <w:pPr>
        <w:pStyle w:val="FootnoteText"/>
        <w:spacing w:before="100" w:after="100" w:line="300" w:lineRule="auto"/>
        <w:jc w:val="both"/>
        <w:rPr>
          <w:rFonts w:ascii="Arial" w:hAnsi="Arial" w:cs="Arial"/>
        </w:rPr>
      </w:pPr>
    </w:p>
    <w:p w:rsidR="00ED093B" w:rsidRPr="003B485B" w:rsidRDefault="00ED093B" w:rsidP="000F2A19">
      <w:pPr>
        <w:pStyle w:val="FootnoteText"/>
        <w:spacing w:before="100" w:after="100" w:line="300" w:lineRule="auto"/>
        <w:jc w:val="both"/>
        <w:rPr>
          <w:rFonts w:ascii="Arial" w:hAnsi="Arial" w:cs="Arial"/>
        </w:rPr>
      </w:pPr>
    </w:p>
    <w:p w:rsidR="00ED093B" w:rsidRPr="003B485B" w:rsidRDefault="00ED093B" w:rsidP="000F2A19">
      <w:pPr>
        <w:pStyle w:val="FootnoteText"/>
        <w:spacing w:before="100" w:after="100" w:line="300" w:lineRule="auto"/>
        <w:jc w:val="both"/>
        <w:rPr>
          <w:rFonts w:ascii="Arial" w:hAnsi="Arial" w:cs="Arial"/>
        </w:rPr>
      </w:pPr>
    </w:p>
    <w:p w:rsidR="00D925E2" w:rsidRPr="003B485B" w:rsidRDefault="00D925E2" w:rsidP="000F2A19">
      <w:pPr>
        <w:pStyle w:val="FootnoteText"/>
        <w:spacing w:before="100" w:after="100" w:line="300" w:lineRule="auto"/>
        <w:jc w:val="both"/>
        <w:rPr>
          <w:rFonts w:ascii="Arial" w:hAnsi="Arial" w:cs="Arial"/>
        </w:rPr>
      </w:pPr>
    </w:p>
    <w:p w:rsidR="00F20EB9" w:rsidRPr="003B485B" w:rsidRDefault="00F20EB9" w:rsidP="000F2A19">
      <w:pPr>
        <w:pStyle w:val="FootnoteText"/>
        <w:spacing w:before="100" w:after="100" w:line="300" w:lineRule="auto"/>
        <w:jc w:val="both"/>
        <w:rPr>
          <w:rFonts w:ascii="Arial" w:hAnsi="Arial" w:cs="Arial"/>
        </w:rPr>
      </w:pPr>
    </w:p>
    <w:p w:rsidR="00D925E2" w:rsidRPr="003B485B" w:rsidRDefault="00D925E2" w:rsidP="000F2A19">
      <w:pPr>
        <w:pStyle w:val="FootnoteText"/>
        <w:spacing w:before="100" w:after="100" w:line="300" w:lineRule="auto"/>
        <w:jc w:val="both"/>
        <w:rPr>
          <w:rFonts w:ascii="Arial" w:hAnsi="Arial" w:cs="Arial"/>
        </w:rPr>
      </w:pPr>
    </w:p>
    <w:p w:rsidR="007336AE" w:rsidRPr="003B485B" w:rsidRDefault="007336AE" w:rsidP="000F2A19">
      <w:pPr>
        <w:pStyle w:val="FootnoteText"/>
        <w:spacing w:before="100" w:after="100" w:line="300" w:lineRule="auto"/>
        <w:jc w:val="both"/>
        <w:rPr>
          <w:rFonts w:ascii="Arial" w:hAnsi="Arial" w:cs="Arial"/>
        </w:rPr>
      </w:pPr>
    </w:p>
    <w:p w:rsidR="007336AE" w:rsidRPr="003B485B" w:rsidRDefault="007336AE" w:rsidP="000F2A19">
      <w:pPr>
        <w:pStyle w:val="FootnoteText"/>
        <w:spacing w:before="100" w:after="100" w:line="300" w:lineRule="auto"/>
        <w:jc w:val="both"/>
        <w:rPr>
          <w:rFonts w:ascii="Arial" w:hAnsi="Arial" w:cs="Arial"/>
        </w:rPr>
      </w:pPr>
    </w:p>
    <w:p w:rsidR="00D925E2" w:rsidRPr="003B485B" w:rsidRDefault="00D925E2" w:rsidP="000F2A19">
      <w:pPr>
        <w:pStyle w:val="FootnoteText"/>
        <w:spacing w:before="100" w:after="100" w:line="300" w:lineRule="auto"/>
        <w:jc w:val="both"/>
        <w:rPr>
          <w:rFonts w:ascii="Arial" w:hAnsi="Arial" w:cs="Arial"/>
        </w:rPr>
      </w:pPr>
    </w:p>
    <w:p w:rsidR="003B485B" w:rsidRDefault="003B485B" w:rsidP="000F2A19">
      <w:pPr>
        <w:pStyle w:val="FootnoteText"/>
        <w:spacing w:before="100" w:after="100" w:line="300" w:lineRule="auto"/>
        <w:jc w:val="both"/>
        <w:rPr>
          <w:rFonts w:ascii="Arial" w:hAnsi="Arial" w:cs="Arial"/>
        </w:rPr>
      </w:pPr>
    </w:p>
    <w:p w:rsidR="003B485B" w:rsidRPr="003B485B" w:rsidRDefault="003B485B" w:rsidP="000F2A19">
      <w:pPr>
        <w:pStyle w:val="FootnoteText"/>
        <w:spacing w:before="100" w:after="100" w:line="300" w:lineRule="auto"/>
        <w:jc w:val="both"/>
        <w:rPr>
          <w:rFonts w:ascii="Arial" w:hAnsi="Arial" w:cs="Arial"/>
        </w:rPr>
      </w:pPr>
    </w:p>
    <w:p w:rsidR="000F2A19" w:rsidRPr="003B485B" w:rsidRDefault="000F2A19" w:rsidP="000F2A19">
      <w:pPr>
        <w:pStyle w:val="FootnoteText"/>
        <w:spacing w:before="100" w:after="100" w:line="300" w:lineRule="auto"/>
        <w:jc w:val="both"/>
        <w:rPr>
          <w:rFonts w:cs="Arial"/>
          <w:sz w:val="16"/>
          <w:szCs w:val="16"/>
        </w:rPr>
      </w:pPr>
    </w:p>
    <w:p w:rsidR="008F1FDB" w:rsidRPr="003B485B" w:rsidRDefault="008F1FDB" w:rsidP="008F1FDB">
      <w:pPr>
        <w:ind w:left="1416" w:firstLine="708"/>
        <w:rPr>
          <w:rFonts w:cs="Arial"/>
          <w:sz w:val="16"/>
          <w:szCs w:val="16"/>
        </w:rPr>
      </w:pPr>
      <w:r w:rsidRPr="003B485B">
        <w:rPr>
          <w:noProof/>
          <w:lang w:val="en-US"/>
        </w:rPr>
        <mc:AlternateContent>
          <mc:Choice Requires="wps">
            <w:drawing>
              <wp:anchor distT="4294967295" distB="4294967295" distL="114300" distR="114300" simplePos="0" relativeHeight="251657216" behindDoc="0" locked="0" layoutInCell="1" allowOverlap="1" wp14:anchorId="7EE46D44" wp14:editId="1C40C171">
                <wp:simplePos x="0" y="0"/>
                <wp:positionH relativeFrom="column">
                  <wp:posOffset>949960</wp:posOffset>
                </wp:positionH>
                <wp:positionV relativeFrom="paragraph">
                  <wp:posOffset>34924</wp:posOffset>
                </wp:positionV>
                <wp:extent cx="46799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9950" cy="0"/>
                        </a:xfrm>
                        <a:prstGeom prst="line">
                          <a:avLst/>
                        </a:prstGeom>
                        <a:noFill/>
                        <a:ln w="12700"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912D38" id="Straight Connector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4.8pt,2.75pt" to="443.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" strokecolor="#7f7f7f" strokeweight="1pt">
                <o:lock v:ext="edit" shapetype="f"/>
              </v:line>
            </w:pict>
          </mc:Fallback>
        </mc:AlternateContent>
      </w:r>
    </w:p>
    <w:p w:rsidR="00C50458" w:rsidRPr="003B485B" w:rsidRDefault="00C50458" w:rsidP="00C50458">
      <w:pPr>
        <w:jc w:val="center"/>
        <w:rPr>
          <w:rFonts w:cs="Arial"/>
          <w:color w:val="FF0000"/>
          <w:sz w:val="18"/>
          <w:szCs w:val="18"/>
        </w:rPr>
      </w:pPr>
      <w:r w:rsidRPr="003B485B">
        <w:rPr>
          <w:rFonts w:cs="Arial"/>
          <w:sz w:val="18"/>
          <w:szCs w:val="18"/>
        </w:rPr>
        <w:t xml:space="preserve">Contact: </w:t>
      </w:r>
      <w:hyperlink r:id="rId12" w:history="1">
        <w:r w:rsidRPr="003B485B">
          <w:rPr>
            <w:rStyle w:val="Hyperlink"/>
            <w:rFonts w:cs="Arial"/>
            <w:sz w:val="18"/>
            <w:szCs w:val="18"/>
          </w:rPr>
          <w:t>ars@stat.gov.rs</w:t>
        </w:r>
      </w:hyperlink>
      <w:r w:rsidRPr="003B485B">
        <w:rPr>
          <w:rStyle w:val="Hyperlink"/>
          <w:rFonts w:cs="Arial"/>
          <w:sz w:val="18"/>
          <w:szCs w:val="18"/>
        </w:rPr>
        <w:t>,</w:t>
      </w:r>
      <w:r w:rsidRPr="003B485B">
        <w:rPr>
          <w:rFonts w:cs="Arial"/>
          <w:sz w:val="18"/>
          <w:szCs w:val="18"/>
        </w:rPr>
        <w:t xml:space="preserve"> Phone: +381 11 2412 922, ext. </w:t>
      </w:r>
      <w:r w:rsidR="00065688" w:rsidRPr="003B485B">
        <w:rPr>
          <w:rFonts w:cs="Arial"/>
          <w:sz w:val="18"/>
          <w:szCs w:val="18"/>
        </w:rPr>
        <w:t>372</w:t>
      </w:r>
    </w:p>
    <w:p w:rsidR="00C50458" w:rsidRPr="003B485B" w:rsidRDefault="00C50458" w:rsidP="00C50458">
      <w:pPr>
        <w:jc w:val="center"/>
        <w:rPr>
          <w:rFonts w:cs="Arial"/>
          <w:iCs/>
          <w:sz w:val="18"/>
          <w:szCs w:val="18"/>
        </w:rPr>
      </w:pPr>
      <w:r w:rsidRPr="003B485B">
        <w:rPr>
          <w:rFonts w:cs="Arial"/>
          <w:iCs/>
          <w:sz w:val="18"/>
          <w:szCs w:val="18"/>
        </w:rPr>
        <w:t xml:space="preserve">Published and printed by: Statistical Office of the Republic of Serbia, 11 050 Belgrade, </w:t>
      </w:r>
      <w:proofErr w:type="spellStart"/>
      <w:r w:rsidRPr="003B485B">
        <w:rPr>
          <w:rFonts w:cs="Arial"/>
          <w:iCs/>
          <w:sz w:val="18"/>
          <w:szCs w:val="18"/>
        </w:rPr>
        <w:t>Milana</w:t>
      </w:r>
      <w:proofErr w:type="spellEnd"/>
      <w:r w:rsidRPr="003B485B">
        <w:rPr>
          <w:rFonts w:cs="Arial"/>
          <w:iCs/>
          <w:sz w:val="18"/>
          <w:szCs w:val="18"/>
        </w:rPr>
        <w:t xml:space="preserve"> </w:t>
      </w:r>
      <w:proofErr w:type="spellStart"/>
      <w:r w:rsidRPr="003B485B">
        <w:rPr>
          <w:rFonts w:cs="Arial"/>
          <w:iCs/>
          <w:sz w:val="18"/>
          <w:szCs w:val="18"/>
        </w:rPr>
        <w:t>Rakica</w:t>
      </w:r>
      <w:proofErr w:type="spellEnd"/>
      <w:r w:rsidRPr="003B485B">
        <w:rPr>
          <w:rFonts w:cs="Arial"/>
          <w:iCs/>
          <w:sz w:val="18"/>
          <w:szCs w:val="18"/>
        </w:rPr>
        <w:t xml:space="preserve"> 5</w:t>
      </w:r>
    </w:p>
    <w:p w:rsidR="00C50458" w:rsidRPr="003B485B" w:rsidRDefault="00C50458" w:rsidP="00C50458">
      <w:pPr>
        <w:jc w:val="center"/>
        <w:rPr>
          <w:rFonts w:cs="Arial"/>
          <w:iCs/>
          <w:sz w:val="18"/>
          <w:szCs w:val="18"/>
        </w:rPr>
      </w:pPr>
      <w:r w:rsidRPr="003B485B">
        <w:rPr>
          <w:rFonts w:cs="Arial"/>
          <w:iCs/>
          <w:sz w:val="18"/>
          <w:szCs w:val="18"/>
        </w:rPr>
        <w:t xml:space="preserve">Phone: +381 11 2412922 </w:t>
      </w:r>
      <w:r w:rsidRPr="003B485B">
        <w:rPr>
          <w:rFonts w:cs="Arial"/>
          <w:sz w:val="18"/>
          <w:szCs w:val="18"/>
        </w:rPr>
        <w:t xml:space="preserve">(telephone exchange) </w:t>
      </w:r>
      <w:r w:rsidRPr="003B485B">
        <w:rPr>
          <w:rFonts w:cs="Arial"/>
          <w:iCs/>
          <w:sz w:val="18"/>
          <w:szCs w:val="18"/>
        </w:rPr>
        <w:t xml:space="preserve">● Fax: +381 11 2411260 ● www.stat.gov.rs  </w:t>
      </w:r>
    </w:p>
    <w:p w:rsidR="00C50458" w:rsidRPr="003B485B" w:rsidRDefault="00C50458" w:rsidP="00C50458">
      <w:pPr>
        <w:jc w:val="center"/>
        <w:rPr>
          <w:rFonts w:cs="Arial"/>
          <w:iCs/>
          <w:sz w:val="18"/>
          <w:szCs w:val="18"/>
        </w:rPr>
      </w:pPr>
      <w:r w:rsidRPr="003B485B">
        <w:rPr>
          <w:rFonts w:cs="Arial"/>
          <w:iCs/>
          <w:sz w:val="18"/>
          <w:szCs w:val="18"/>
        </w:rPr>
        <w:t xml:space="preserve">Responsible: Dr </w:t>
      </w:r>
      <w:proofErr w:type="spellStart"/>
      <w:r w:rsidRPr="003B485B">
        <w:rPr>
          <w:rFonts w:cs="Arial"/>
          <w:iCs/>
          <w:sz w:val="18"/>
          <w:szCs w:val="18"/>
        </w:rPr>
        <w:t>Miladin</w:t>
      </w:r>
      <w:proofErr w:type="spellEnd"/>
      <w:r w:rsidRPr="003B485B">
        <w:rPr>
          <w:rFonts w:cs="Arial"/>
          <w:iCs/>
          <w:sz w:val="18"/>
          <w:szCs w:val="18"/>
        </w:rPr>
        <w:t xml:space="preserve"> </w:t>
      </w:r>
      <w:proofErr w:type="spellStart"/>
      <w:r w:rsidRPr="003B485B">
        <w:rPr>
          <w:rFonts w:cs="Arial"/>
          <w:iCs/>
          <w:sz w:val="18"/>
          <w:szCs w:val="18"/>
        </w:rPr>
        <w:t>Kovačević</w:t>
      </w:r>
      <w:proofErr w:type="spellEnd"/>
      <w:r w:rsidRPr="003B485B">
        <w:rPr>
          <w:rFonts w:cs="Arial"/>
          <w:iCs/>
          <w:sz w:val="18"/>
          <w:szCs w:val="18"/>
        </w:rPr>
        <w:t>, Director</w:t>
      </w:r>
    </w:p>
    <w:p w:rsidR="005B2627" w:rsidRPr="00DF0CBB" w:rsidRDefault="00C50458" w:rsidP="00166DB3">
      <w:pPr>
        <w:spacing w:after="60"/>
        <w:jc w:val="center"/>
        <w:rPr>
          <w:rFonts w:cs="Arial"/>
          <w:sz w:val="18"/>
          <w:szCs w:val="18"/>
        </w:rPr>
      </w:pPr>
      <w:r w:rsidRPr="003B485B">
        <w:rPr>
          <w:rFonts w:cs="Arial"/>
          <w:sz w:val="18"/>
          <w:szCs w:val="18"/>
        </w:rPr>
        <w:t>Circulation: 20 • Periodicity: quarterly</w:t>
      </w:r>
    </w:p>
    <w:sectPr w:rsidR="005B2627" w:rsidRPr="00DF0CBB" w:rsidSect="00BC5415">
      <w:footerReference w:type="even" r:id="rId13"/>
      <w:footerReference w:type="default" r:id="rId14"/>
      <w:footnotePr>
        <w:numRestart w:val="eachPage"/>
      </w:footnotePr>
      <w:pgSz w:w="11906" w:h="16838" w:code="9"/>
      <w:pgMar w:top="907" w:right="851" w:bottom="90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A4C" w:rsidRDefault="00376A4C" w:rsidP="008F1FDB">
      <w:r>
        <w:separator/>
      </w:r>
    </w:p>
  </w:endnote>
  <w:endnote w:type="continuationSeparator" w:id="0">
    <w:p w:rsidR="00376A4C" w:rsidRDefault="00376A4C" w:rsidP="008F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IS">
    <w:altName w:val="Arial"/>
    <w:charset w:val="00"/>
    <w:family w:val="swiss"/>
    <w:pitch w:val="variable"/>
    <w:sig w:usb0="20000A87" w:usb1="00000000"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E41" w:rsidRPr="00AE1A0C" w:rsidRDefault="00624E41" w:rsidP="00075BA9">
    <w:pPr>
      <w:pStyle w:val="Footer"/>
      <w:pBdr>
        <w:top w:val="single" w:sz="4" w:space="1" w:color="auto"/>
      </w:pBdr>
      <w:spacing w:before="240"/>
      <w:rPr>
        <w:rFonts w:ascii="Arial" w:hAnsi="Arial" w:cs="Arial"/>
        <w:sz w:val="16"/>
        <w:szCs w:val="16"/>
        <w:lang w:val="sr-Latn-RS"/>
      </w:rPr>
    </w:pPr>
    <w:r w:rsidRPr="00D44751">
      <w:rPr>
        <w:rFonts w:ascii="Arial" w:hAnsi="Arial" w:cs="Arial"/>
        <w:sz w:val="16"/>
        <w:szCs w:val="16"/>
      </w:rPr>
      <w:fldChar w:fldCharType="begin"/>
    </w:r>
    <w:r w:rsidRPr="00D44751">
      <w:rPr>
        <w:rFonts w:ascii="Arial" w:hAnsi="Arial" w:cs="Arial"/>
        <w:sz w:val="16"/>
        <w:szCs w:val="16"/>
      </w:rPr>
      <w:instrText xml:space="preserve"> PAGE   \* MERGEFORMAT </w:instrText>
    </w:r>
    <w:r w:rsidRPr="00D44751">
      <w:rPr>
        <w:rFonts w:ascii="Arial" w:hAnsi="Arial" w:cs="Arial"/>
        <w:sz w:val="16"/>
        <w:szCs w:val="16"/>
      </w:rPr>
      <w:fldChar w:fldCharType="separate"/>
    </w:r>
    <w:r w:rsidR="007A661B">
      <w:rPr>
        <w:rFonts w:ascii="Arial" w:hAnsi="Arial" w:cs="Arial"/>
        <w:noProof/>
        <w:sz w:val="16"/>
        <w:szCs w:val="16"/>
      </w:rPr>
      <w:t>2</w:t>
    </w:r>
    <w:r w:rsidRPr="00D44751">
      <w:rPr>
        <w:rFonts w:ascii="Arial" w:hAnsi="Arial" w:cs="Arial"/>
        <w:noProof/>
        <w:sz w:val="16"/>
        <w:szCs w:val="16"/>
      </w:rPr>
      <w:fldChar w:fldCharType="end"/>
    </w:r>
    <w:r w:rsidRPr="00D44751">
      <w:rPr>
        <w:rFonts w:ascii="Arial" w:eastAsia="Times New Roman" w:hAnsi="Arial" w:cs="Arial"/>
        <w:sz w:val="16"/>
        <w:szCs w:val="16"/>
        <w:lang w:val="sr-Cyrl-CS"/>
      </w:rPr>
      <w:t xml:space="preserve"> </w:t>
    </w:r>
    <w:r w:rsidRPr="00D44751">
      <w:rPr>
        <w:rFonts w:ascii="Arial" w:eastAsia="Times New Roman" w:hAnsi="Arial" w:cs="Arial"/>
        <w:sz w:val="16"/>
        <w:szCs w:val="16"/>
        <w:lang w:val="en-US"/>
      </w:rPr>
      <w:t xml:space="preserve">                                                                                                                                                                                           </w:t>
    </w:r>
    <w:r w:rsidR="00783A4C" w:rsidRPr="00783A4C">
      <w:rPr>
        <w:rFonts w:ascii="Arial" w:eastAsia="Times New Roman" w:hAnsi="Arial" w:cs="Arial"/>
        <w:sz w:val="16"/>
        <w:szCs w:val="16"/>
        <w:lang w:val="en-US"/>
      </w:rPr>
      <w:t>SERB</w:t>
    </w:r>
    <w:r w:rsidR="003B485B">
      <w:rPr>
        <w:rFonts w:ascii="Arial" w:eastAsia="Times New Roman" w:hAnsi="Arial" w:cs="Arial"/>
        <w:sz w:val="16"/>
        <w:szCs w:val="16"/>
        <w:lang w:val="en-US"/>
      </w:rPr>
      <w:t>051</w:t>
    </w:r>
    <w:r w:rsidR="00783A4C" w:rsidRPr="00783A4C">
      <w:rPr>
        <w:rFonts w:ascii="Arial" w:eastAsia="Times New Roman" w:hAnsi="Arial" w:cs="Arial"/>
        <w:sz w:val="16"/>
        <w:szCs w:val="16"/>
        <w:lang w:val="en-US"/>
      </w:rPr>
      <w:t xml:space="preserve"> RS10 </w:t>
    </w:r>
    <w:r w:rsidR="003B485B">
      <w:rPr>
        <w:rFonts w:ascii="Arial" w:eastAsia="Times New Roman" w:hAnsi="Arial" w:cs="Arial"/>
        <w:sz w:val="16"/>
        <w:szCs w:val="16"/>
        <w:lang w:val="en-US"/>
      </w:rPr>
      <w:t>280220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E41" w:rsidRPr="00D44751" w:rsidRDefault="00783A4C" w:rsidP="00075BA9">
    <w:pPr>
      <w:pStyle w:val="Footer"/>
      <w:pBdr>
        <w:top w:val="single" w:sz="4" w:space="1" w:color="auto"/>
      </w:pBdr>
      <w:spacing w:before="240"/>
      <w:rPr>
        <w:rFonts w:ascii="Arial" w:hAnsi="Arial" w:cs="Arial"/>
        <w:sz w:val="16"/>
        <w:szCs w:val="16"/>
      </w:rPr>
    </w:pPr>
    <w:r w:rsidRPr="00783A4C">
      <w:rPr>
        <w:rFonts w:ascii="Arial" w:eastAsia="Times New Roman" w:hAnsi="Arial" w:cs="Arial"/>
        <w:sz w:val="16"/>
        <w:szCs w:val="16"/>
        <w:lang w:val="sr-Latn-RS"/>
      </w:rPr>
      <w:t>SERB</w:t>
    </w:r>
    <w:r w:rsidR="003B485B">
      <w:rPr>
        <w:rFonts w:ascii="Arial" w:eastAsia="Times New Roman" w:hAnsi="Arial" w:cs="Arial"/>
        <w:sz w:val="16"/>
        <w:szCs w:val="16"/>
        <w:lang w:val="sr-Latn-RS"/>
      </w:rPr>
      <w:t>051</w:t>
    </w:r>
    <w:r w:rsidRPr="00783A4C">
      <w:rPr>
        <w:rFonts w:ascii="Arial" w:eastAsia="Times New Roman" w:hAnsi="Arial" w:cs="Arial"/>
        <w:sz w:val="16"/>
        <w:szCs w:val="16"/>
        <w:lang w:val="sr-Latn-RS"/>
      </w:rPr>
      <w:t xml:space="preserve"> RS10 </w:t>
    </w:r>
    <w:r w:rsidR="003B485B">
      <w:rPr>
        <w:rFonts w:ascii="Arial" w:eastAsia="Times New Roman" w:hAnsi="Arial" w:cs="Arial"/>
        <w:sz w:val="16"/>
        <w:szCs w:val="16"/>
        <w:lang w:val="sr-Latn-RS"/>
      </w:rPr>
      <w:t xml:space="preserve">280220                                                                                                                                                                                            </w:t>
    </w:r>
    <w:r w:rsidR="00624E41" w:rsidRPr="00D44751">
      <w:rPr>
        <w:rFonts w:ascii="Arial" w:hAnsi="Arial" w:cs="Arial"/>
        <w:sz w:val="16"/>
        <w:szCs w:val="16"/>
      </w:rPr>
      <w:fldChar w:fldCharType="begin"/>
    </w:r>
    <w:r w:rsidR="00624E41" w:rsidRPr="00D44751">
      <w:rPr>
        <w:rFonts w:ascii="Arial" w:hAnsi="Arial" w:cs="Arial"/>
        <w:sz w:val="16"/>
        <w:szCs w:val="16"/>
      </w:rPr>
      <w:instrText xml:space="preserve"> PAGE   \* MERGEFORMAT </w:instrText>
    </w:r>
    <w:r w:rsidR="00624E41" w:rsidRPr="00D44751">
      <w:rPr>
        <w:rFonts w:ascii="Arial" w:hAnsi="Arial" w:cs="Arial"/>
        <w:sz w:val="16"/>
        <w:szCs w:val="16"/>
      </w:rPr>
      <w:fldChar w:fldCharType="separate"/>
    </w:r>
    <w:r w:rsidR="007A661B">
      <w:rPr>
        <w:rFonts w:ascii="Arial" w:hAnsi="Arial" w:cs="Arial"/>
        <w:noProof/>
        <w:sz w:val="16"/>
        <w:szCs w:val="16"/>
      </w:rPr>
      <w:t>3</w:t>
    </w:r>
    <w:r w:rsidR="00624E41" w:rsidRPr="00D4475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A4C" w:rsidRDefault="00376A4C" w:rsidP="008F1FDB">
      <w:r>
        <w:separator/>
      </w:r>
    </w:p>
  </w:footnote>
  <w:footnote w:type="continuationSeparator" w:id="0">
    <w:p w:rsidR="00376A4C" w:rsidRDefault="00376A4C" w:rsidP="008F1FDB">
      <w:r>
        <w:continuationSeparator/>
      </w:r>
    </w:p>
  </w:footnote>
  <w:footnote w:id="1">
    <w:p w:rsidR="003B485B" w:rsidRPr="003B485B" w:rsidRDefault="003B485B" w:rsidP="003B485B">
      <w:pPr>
        <w:ind w:left="142" w:hanging="142"/>
      </w:pPr>
      <w:r w:rsidRPr="00F82D1F">
        <w:rPr>
          <w:rStyle w:val="FootnoteReference"/>
          <w:sz w:val="16"/>
          <w:szCs w:val="16"/>
        </w:rPr>
        <w:footnoteRef/>
      </w:r>
      <w:r w:rsidRPr="00F82D1F">
        <w:rPr>
          <w:sz w:val="16"/>
          <w:szCs w:val="16"/>
        </w:rPr>
        <w:t xml:space="preserve"> The activity of Agriculture covers the whole section of Agriculture, forestry and fishery, as well as a part of the section Activities of households as employers referring to agriculture.</w:t>
      </w:r>
    </w:p>
  </w:footnote>
  <w:footnote w:id="2">
    <w:p w:rsidR="00F82D1F" w:rsidRPr="00F82D1F" w:rsidRDefault="00F82D1F" w:rsidP="003B485B">
      <w:pPr>
        <w:ind w:left="142" w:hanging="142"/>
      </w:pPr>
      <w:r w:rsidRPr="00F82D1F">
        <w:rPr>
          <w:rStyle w:val="FootnoteReference"/>
          <w:sz w:val="16"/>
          <w:szCs w:val="16"/>
        </w:rPr>
        <w:footnoteRef/>
      </w:r>
      <w:r w:rsidRPr="00F82D1F">
        <w:rPr>
          <w:sz w:val="16"/>
          <w:szCs w:val="16"/>
        </w:rPr>
        <w:t xml:space="preserve"> The activity of Agriculture covers the whole section of Agriculture, forestry and fishery, as well as a part of the section Activities of households as employers referring to agriculture.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2269"/>
    <w:multiLevelType w:val="hybridMultilevel"/>
    <w:tmpl w:val="302A30AE"/>
    <w:lvl w:ilvl="0" w:tplc="EB34B6E8">
      <w:numFmt w:val="bullet"/>
      <w:lvlText w:val=""/>
      <w:lvlJc w:val="left"/>
      <w:pPr>
        <w:ind w:left="720" w:hanging="360"/>
      </w:pPr>
      <w:rPr>
        <w:rFonts w:ascii="Symbol" w:eastAsia="Calibr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C6793"/>
    <w:multiLevelType w:val="hybridMultilevel"/>
    <w:tmpl w:val="B088FFEE"/>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 w15:restartNumberingAfterBreak="0">
    <w:nsid w:val="0F223D8A"/>
    <w:multiLevelType w:val="hybridMultilevel"/>
    <w:tmpl w:val="1FEA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538CE"/>
    <w:multiLevelType w:val="hybridMultilevel"/>
    <w:tmpl w:val="58E84AC0"/>
    <w:lvl w:ilvl="0" w:tplc="2A7655DC">
      <w:start w:val="1"/>
      <w:numFmt w:val="decimal"/>
      <w:lvlText w:val="%1."/>
      <w:lvlJc w:val="left"/>
      <w:pPr>
        <w:ind w:left="1413" w:hanging="7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2148707D"/>
    <w:multiLevelType w:val="hybridMultilevel"/>
    <w:tmpl w:val="3502D5DA"/>
    <w:lvl w:ilvl="0" w:tplc="04090003">
      <w:start w:val="1"/>
      <w:numFmt w:val="bullet"/>
      <w:lvlText w:val="o"/>
      <w:lvlJc w:val="left"/>
      <w:pPr>
        <w:ind w:left="1117" w:hanging="360"/>
      </w:pPr>
      <w:rPr>
        <w:rFonts w:ascii="Courier New" w:hAnsi="Courier New" w:cs="Courier New"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 w15:restartNumberingAfterBreak="0">
    <w:nsid w:val="24626CBD"/>
    <w:multiLevelType w:val="hybridMultilevel"/>
    <w:tmpl w:val="85047E42"/>
    <w:lvl w:ilvl="0" w:tplc="EB34B6E8">
      <w:numFmt w:val="bullet"/>
      <w:lvlText w:val=""/>
      <w:lvlJc w:val="left"/>
      <w:pPr>
        <w:ind w:left="720" w:hanging="360"/>
      </w:pPr>
      <w:rPr>
        <w:rFonts w:ascii="Symbol" w:eastAsia="Calibr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703B1"/>
    <w:multiLevelType w:val="hybridMultilevel"/>
    <w:tmpl w:val="72189026"/>
    <w:lvl w:ilvl="0" w:tplc="9750559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882484"/>
    <w:multiLevelType w:val="hybridMultilevel"/>
    <w:tmpl w:val="4A0E49A6"/>
    <w:lvl w:ilvl="0" w:tplc="E390CF06">
      <w:start w:val="1"/>
      <w:numFmt w:val="bullet"/>
      <w:lvlText w:val="-"/>
      <w:lvlJc w:val="left"/>
      <w:pPr>
        <w:ind w:left="720" w:hanging="360"/>
      </w:pPr>
      <w:rPr>
        <w:rFonts w:ascii="Calibri" w:hAnsi="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356B0DB9"/>
    <w:multiLevelType w:val="multilevel"/>
    <w:tmpl w:val="14D6CD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94301EA"/>
    <w:multiLevelType w:val="hybridMultilevel"/>
    <w:tmpl w:val="8048BD94"/>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39FC2EA2"/>
    <w:multiLevelType w:val="hybridMultilevel"/>
    <w:tmpl w:val="B5703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72694C"/>
    <w:multiLevelType w:val="hybridMultilevel"/>
    <w:tmpl w:val="FD10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667B3"/>
    <w:multiLevelType w:val="hybridMultilevel"/>
    <w:tmpl w:val="418C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F49AA"/>
    <w:multiLevelType w:val="hybridMultilevel"/>
    <w:tmpl w:val="D07CD6A4"/>
    <w:lvl w:ilvl="0" w:tplc="E620E0AC">
      <w:start w:val="1"/>
      <w:numFmt w:val="bullet"/>
      <w:lvlText w:val=""/>
      <w:lvlJc w:val="left"/>
      <w:pPr>
        <w:ind w:left="1495" w:hanging="360"/>
      </w:pPr>
      <w:rPr>
        <w:rFonts w:ascii="Wingdings" w:hAnsi="Wingdings" w:hint="default"/>
        <w:color w:val="auto"/>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4" w15:restartNumberingAfterBreak="0">
    <w:nsid w:val="598C14ED"/>
    <w:multiLevelType w:val="hybridMultilevel"/>
    <w:tmpl w:val="FE68AA2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15:restartNumberingAfterBreak="0">
    <w:nsid w:val="5B407F59"/>
    <w:multiLevelType w:val="hybridMultilevel"/>
    <w:tmpl w:val="5C2C88DA"/>
    <w:lvl w:ilvl="0" w:tplc="23921F8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CD00CC"/>
    <w:multiLevelType w:val="hybridMultilevel"/>
    <w:tmpl w:val="813A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33332"/>
    <w:multiLevelType w:val="hybridMultilevel"/>
    <w:tmpl w:val="6262DA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51D3A"/>
    <w:multiLevelType w:val="hybridMultilevel"/>
    <w:tmpl w:val="84D8F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7018A0"/>
    <w:multiLevelType w:val="hybridMultilevel"/>
    <w:tmpl w:val="BF909BE8"/>
    <w:lvl w:ilvl="0" w:tplc="EB34B6E8">
      <w:numFmt w:val="bullet"/>
      <w:lvlText w:val=""/>
      <w:lvlJc w:val="left"/>
      <w:pPr>
        <w:ind w:left="720" w:hanging="360"/>
      </w:pPr>
      <w:rPr>
        <w:rFonts w:ascii="Symbol" w:eastAsia="Calibr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250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CD0FDA"/>
    <w:multiLevelType w:val="hybridMultilevel"/>
    <w:tmpl w:val="98B85448"/>
    <w:lvl w:ilvl="0" w:tplc="CD861C7C">
      <w:start w:val="15"/>
      <w:numFmt w:val="bullet"/>
      <w:lvlText w:val="-"/>
      <w:lvlJc w:val="left"/>
      <w:pPr>
        <w:ind w:left="1773" w:hanging="360"/>
      </w:pPr>
      <w:rPr>
        <w:rFonts w:ascii="Times New Roman" w:eastAsia="Calibri" w:hAnsi="Times New Roman" w:cs="Times New Roman" w:hint="default"/>
      </w:rPr>
    </w:lvl>
    <w:lvl w:ilvl="1" w:tplc="04090003" w:tentative="1">
      <w:start w:val="1"/>
      <w:numFmt w:val="bullet"/>
      <w:lvlText w:val="o"/>
      <w:lvlJc w:val="left"/>
      <w:pPr>
        <w:ind w:left="2493" w:hanging="360"/>
      </w:pPr>
      <w:rPr>
        <w:rFonts w:ascii="Courier New" w:hAnsi="Courier New" w:cs="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22" w15:restartNumberingAfterBreak="0">
    <w:nsid w:val="7D8E0550"/>
    <w:multiLevelType w:val="hybridMultilevel"/>
    <w:tmpl w:val="05108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4"/>
  </w:num>
  <w:num w:numId="5">
    <w:abstractNumId w:val="5"/>
  </w:num>
  <w:num w:numId="6">
    <w:abstractNumId w:val="19"/>
  </w:num>
  <w:num w:numId="7">
    <w:abstractNumId w:val="0"/>
  </w:num>
  <w:num w:numId="8">
    <w:abstractNumId w:val="7"/>
  </w:num>
  <w:num w:numId="9">
    <w:abstractNumId w:val="1"/>
  </w:num>
  <w:num w:numId="10">
    <w:abstractNumId w:val="16"/>
  </w:num>
  <w:num w:numId="11">
    <w:abstractNumId w:val="13"/>
  </w:num>
  <w:num w:numId="12">
    <w:abstractNumId w:val="4"/>
  </w:num>
  <w:num w:numId="13">
    <w:abstractNumId w:val="17"/>
  </w:num>
  <w:num w:numId="14">
    <w:abstractNumId w:val="3"/>
  </w:num>
  <w:num w:numId="15">
    <w:abstractNumId w:val="20"/>
  </w:num>
  <w:num w:numId="16">
    <w:abstractNumId w:val="8"/>
  </w:num>
  <w:num w:numId="17">
    <w:abstractNumId w:val="21"/>
  </w:num>
  <w:num w:numId="18">
    <w:abstractNumId w:val="11"/>
  </w:num>
  <w:num w:numId="19">
    <w:abstractNumId w:val="6"/>
  </w:num>
  <w:num w:numId="20">
    <w:abstractNumId w:val="9"/>
  </w:num>
  <w:num w:numId="21">
    <w:abstractNumId w:val="15"/>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DB"/>
    <w:rsid w:val="00000065"/>
    <w:rsid w:val="00003304"/>
    <w:rsid w:val="00006538"/>
    <w:rsid w:val="00007669"/>
    <w:rsid w:val="00010B08"/>
    <w:rsid w:val="00013093"/>
    <w:rsid w:val="0003096B"/>
    <w:rsid w:val="00030DBF"/>
    <w:rsid w:val="00030E76"/>
    <w:rsid w:val="000348CE"/>
    <w:rsid w:val="00046DB9"/>
    <w:rsid w:val="0005439C"/>
    <w:rsid w:val="00056CE9"/>
    <w:rsid w:val="00065688"/>
    <w:rsid w:val="00066CE2"/>
    <w:rsid w:val="000738EC"/>
    <w:rsid w:val="00073C85"/>
    <w:rsid w:val="00075BA9"/>
    <w:rsid w:val="00077879"/>
    <w:rsid w:val="00084400"/>
    <w:rsid w:val="000A395C"/>
    <w:rsid w:val="000B556F"/>
    <w:rsid w:val="000C43A8"/>
    <w:rsid w:val="000C6D73"/>
    <w:rsid w:val="000D69BB"/>
    <w:rsid w:val="000E70B3"/>
    <w:rsid w:val="000F046C"/>
    <w:rsid w:val="000F2A19"/>
    <w:rsid w:val="000F44C5"/>
    <w:rsid w:val="000F4A7D"/>
    <w:rsid w:val="00100800"/>
    <w:rsid w:val="00103A54"/>
    <w:rsid w:val="00106668"/>
    <w:rsid w:val="00106751"/>
    <w:rsid w:val="001156FD"/>
    <w:rsid w:val="0011686A"/>
    <w:rsid w:val="00126219"/>
    <w:rsid w:val="00127CC7"/>
    <w:rsid w:val="0013162E"/>
    <w:rsid w:val="00134023"/>
    <w:rsid w:val="00135A4A"/>
    <w:rsid w:val="0013616A"/>
    <w:rsid w:val="0015173D"/>
    <w:rsid w:val="00151995"/>
    <w:rsid w:val="001637F6"/>
    <w:rsid w:val="001643B8"/>
    <w:rsid w:val="00166DB3"/>
    <w:rsid w:val="00184AFD"/>
    <w:rsid w:val="00196487"/>
    <w:rsid w:val="001A2E37"/>
    <w:rsid w:val="001A5267"/>
    <w:rsid w:val="001A634D"/>
    <w:rsid w:val="001C0F9C"/>
    <w:rsid w:val="001C2865"/>
    <w:rsid w:val="001C2A83"/>
    <w:rsid w:val="001F19B7"/>
    <w:rsid w:val="001F3AB9"/>
    <w:rsid w:val="0020430D"/>
    <w:rsid w:val="002058FC"/>
    <w:rsid w:val="00206E07"/>
    <w:rsid w:val="00210C1C"/>
    <w:rsid w:val="0021176C"/>
    <w:rsid w:val="00213C8C"/>
    <w:rsid w:val="00220476"/>
    <w:rsid w:val="002230F8"/>
    <w:rsid w:val="00225892"/>
    <w:rsid w:val="00227336"/>
    <w:rsid w:val="00232FA1"/>
    <w:rsid w:val="002338AB"/>
    <w:rsid w:val="00251661"/>
    <w:rsid w:val="002518BC"/>
    <w:rsid w:val="0027467B"/>
    <w:rsid w:val="0027499B"/>
    <w:rsid w:val="00275560"/>
    <w:rsid w:val="00277FE4"/>
    <w:rsid w:val="00296794"/>
    <w:rsid w:val="002A0F49"/>
    <w:rsid w:val="002A5206"/>
    <w:rsid w:val="002A5578"/>
    <w:rsid w:val="002A7F09"/>
    <w:rsid w:val="002B6AEA"/>
    <w:rsid w:val="002B7CF1"/>
    <w:rsid w:val="002D3DE0"/>
    <w:rsid w:val="002E1F9F"/>
    <w:rsid w:val="002E5232"/>
    <w:rsid w:val="002E56DD"/>
    <w:rsid w:val="002E68C6"/>
    <w:rsid w:val="002F2021"/>
    <w:rsid w:val="002F7531"/>
    <w:rsid w:val="00301CB4"/>
    <w:rsid w:val="0030252E"/>
    <w:rsid w:val="00303BFE"/>
    <w:rsid w:val="003138BC"/>
    <w:rsid w:val="0032019D"/>
    <w:rsid w:val="0032539F"/>
    <w:rsid w:val="003266BF"/>
    <w:rsid w:val="00331733"/>
    <w:rsid w:val="00335F51"/>
    <w:rsid w:val="0033607C"/>
    <w:rsid w:val="003648F3"/>
    <w:rsid w:val="0036735D"/>
    <w:rsid w:val="00376A4C"/>
    <w:rsid w:val="00391A81"/>
    <w:rsid w:val="0039649B"/>
    <w:rsid w:val="003A38E3"/>
    <w:rsid w:val="003B485B"/>
    <w:rsid w:val="003B4E77"/>
    <w:rsid w:val="003C784C"/>
    <w:rsid w:val="003D1BAD"/>
    <w:rsid w:val="003D4780"/>
    <w:rsid w:val="003D6E3B"/>
    <w:rsid w:val="003D6FB6"/>
    <w:rsid w:val="003E6A11"/>
    <w:rsid w:val="003F1840"/>
    <w:rsid w:val="003F229B"/>
    <w:rsid w:val="00407AEC"/>
    <w:rsid w:val="00412661"/>
    <w:rsid w:val="00415AE4"/>
    <w:rsid w:val="004161FD"/>
    <w:rsid w:val="00421F08"/>
    <w:rsid w:val="00424EB5"/>
    <w:rsid w:val="004253AF"/>
    <w:rsid w:val="00436AE2"/>
    <w:rsid w:val="00440D47"/>
    <w:rsid w:val="004439E5"/>
    <w:rsid w:val="0044492F"/>
    <w:rsid w:val="00451739"/>
    <w:rsid w:val="004568F6"/>
    <w:rsid w:val="0045721A"/>
    <w:rsid w:val="00460D42"/>
    <w:rsid w:val="004625B5"/>
    <w:rsid w:val="00466052"/>
    <w:rsid w:val="00475D8E"/>
    <w:rsid w:val="00476EBC"/>
    <w:rsid w:val="0049196E"/>
    <w:rsid w:val="004933F8"/>
    <w:rsid w:val="004A2B81"/>
    <w:rsid w:val="004A5C1A"/>
    <w:rsid w:val="004B0BEC"/>
    <w:rsid w:val="004C40C6"/>
    <w:rsid w:val="004D5448"/>
    <w:rsid w:val="004D5559"/>
    <w:rsid w:val="004F0B6D"/>
    <w:rsid w:val="004F268A"/>
    <w:rsid w:val="004F449F"/>
    <w:rsid w:val="004F6E59"/>
    <w:rsid w:val="0051113F"/>
    <w:rsid w:val="005149E9"/>
    <w:rsid w:val="00517932"/>
    <w:rsid w:val="00520D82"/>
    <w:rsid w:val="00523F0F"/>
    <w:rsid w:val="005270CA"/>
    <w:rsid w:val="005417F2"/>
    <w:rsid w:val="00541CEF"/>
    <w:rsid w:val="0054237A"/>
    <w:rsid w:val="00545B7A"/>
    <w:rsid w:val="005603EE"/>
    <w:rsid w:val="0056288F"/>
    <w:rsid w:val="00563A0D"/>
    <w:rsid w:val="00565286"/>
    <w:rsid w:val="00576503"/>
    <w:rsid w:val="00586E90"/>
    <w:rsid w:val="0059160F"/>
    <w:rsid w:val="005A78F5"/>
    <w:rsid w:val="005B2627"/>
    <w:rsid w:val="005D0BFA"/>
    <w:rsid w:val="005D3D9D"/>
    <w:rsid w:val="005D3F8D"/>
    <w:rsid w:val="005E3666"/>
    <w:rsid w:val="005E65AF"/>
    <w:rsid w:val="005E696F"/>
    <w:rsid w:val="0060303E"/>
    <w:rsid w:val="00605676"/>
    <w:rsid w:val="00612AE0"/>
    <w:rsid w:val="006148C7"/>
    <w:rsid w:val="00624E41"/>
    <w:rsid w:val="00625934"/>
    <w:rsid w:val="006264D2"/>
    <w:rsid w:val="00633F41"/>
    <w:rsid w:val="00667CA0"/>
    <w:rsid w:val="00670DFD"/>
    <w:rsid w:val="006830B4"/>
    <w:rsid w:val="00686AAB"/>
    <w:rsid w:val="00687560"/>
    <w:rsid w:val="0069569B"/>
    <w:rsid w:val="006A1222"/>
    <w:rsid w:val="006A1C70"/>
    <w:rsid w:val="006A6E25"/>
    <w:rsid w:val="006B1341"/>
    <w:rsid w:val="006B565F"/>
    <w:rsid w:val="006D0ED9"/>
    <w:rsid w:val="006D7E24"/>
    <w:rsid w:val="006F0BB2"/>
    <w:rsid w:val="006F3615"/>
    <w:rsid w:val="00705354"/>
    <w:rsid w:val="00716137"/>
    <w:rsid w:val="007179D8"/>
    <w:rsid w:val="00722C7B"/>
    <w:rsid w:val="00725519"/>
    <w:rsid w:val="007258A5"/>
    <w:rsid w:val="00727EAB"/>
    <w:rsid w:val="007336AE"/>
    <w:rsid w:val="00737EA5"/>
    <w:rsid w:val="00746DD9"/>
    <w:rsid w:val="007568FD"/>
    <w:rsid w:val="00761651"/>
    <w:rsid w:val="00766691"/>
    <w:rsid w:val="00767198"/>
    <w:rsid w:val="00780DB5"/>
    <w:rsid w:val="0078202D"/>
    <w:rsid w:val="0078275A"/>
    <w:rsid w:val="007838B6"/>
    <w:rsid w:val="00783A4C"/>
    <w:rsid w:val="007972AA"/>
    <w:rsid w:val="007973C9"/>
    <w:rsid w:val="007A661B"/>
    <w:rsid w:val="007A710F"/>
    <w:rsid w:val="007A7B1D"/>
    <w:rsid w:val="007A7D95"/>
    <w:rsid w:val="007C233B"/>
    <w:rsid w:val="007C4AA3"/>
    <w:rsid w:val="007D513C"/>
    <w:rsid w:val="007E2FC1"/>
    <w:rsid w:val="007E6487"/>
    <w:rsid w:val="007F00DA"/>
    <w:rsid w:val="007F04AF"/>
    <w:rsid w:val="007F04C4"/>
    <w:rsid w:val="007F2030"/>
    <w:rsid w:val="007F58F3"/>
    <w:rsid w:val="007F79D5"/>
    <w:rsid w:val="00800AAE"/>
    <w:rsid w:val="00810978"/>
    <w:rsid w:val="00814F67"/>
    <w:rsid w:val="008220FF"/>
    <w:rsid w:val="008253D5"/>
    <w:rsid w:val="00830131"/>
    <w:rsid w:val="008316F0"/>
    <w:rsid w:val="00837FE1"/>
    <w:rsid w:val="00852349"/>
    <w:rsid w:val="008560F4"/>
    <w:rsid w:val="0085728F"/>
    <w:rsid w:val="00863855"/>
    <w:rsid w:val="00864F8D"/>
    <w:rsid w:val="0086505B"/>
    <w:rsid w:val="008720FA"/>
    <w:rsid w:val="00880A8B"/>
    <w:rsid w:val="00882574"/>
    <w:rsid w:val="00882BB3"/>
    <w:rsid w:val="0088400B"/>
    <w:rsid w:val="00895C7F"/>
    <w:rsid w:val="008A6A1E"/>
    <w:rsid w:val="008B4880"/>
    <w:rsid w:val="008B4DF4"/>
    <w:rsid w:val="008C0465"/>
    <w:rsid w:val="008C52BC"/>
    <w:rsid w:val="008C52F9"/>
    <w:rsid w:val="008D1C57"/>
    <w:rsid w:val="008E1872"/>
    <w:rsid w:val="008E20A0"/>
    <w:rsid w:val="008E72AB"/>
    <w:rsid w:val="008F1FDB"/>
    <w:rsid w:val="008F53C9"/>
    <w:rsid w:val="008F5D88"/>
    <w:rsid w:val="00901882"/>
    <w:rsid w:val="00903C4C"/>
    <w:rsid w:val="00911976"/>
    <w:rsid w:val="00924511"/>
    <w:rsid w:val="009246B8"/>
    <w:rsid w:val="00930544"/>
    <w:rsid w:val="00936402"/>
    <w:rsid w:val="00942052"/>
    <w:rsid w:val="00944E1D"/>
    <w:rsid w:val="00953DCE"/>
    <w:rsid w:val="00961739"/>
    <w:rsid w:val="00964DF0"/>
    <w:rsid w:val="00964EA6"/>
    <w:rsid w:val="00970E19"/>
    <w:rsid w:val="009773BD"/>
    <w:rsid w:val="009927E5"/>
    <w:rsid w:val="009A1BA2"/>
    <w:rsid w:val="009B1EAA"/>
    <w:rsid w:val="009B2524"/>
    <w:rsid w:val="009B7E85"/>
    <w:rsid w:val="009D13A2"/>
    <w:rsid w:val="009E3604"/>
    <w:rsid w:val="009E479C"/>
    <w:rsid w:val="009F56BA"/>
    <w:rsid w:val="00A01539"/>
    <w:rsid w:val="00A03B79"/>
    <w:rsid w:val="00A16667"/>
    <w:rsid w:val="00A17D42"/>
    <w:rsid w:val="00A21645"/>
    <w:rsid w:val="00A27BB4"/>
    <w:rsid w:val="00A51001"/>
    <w:rsid w:val="00A5363E"/>
    <w:rsid w:val="00A575CF"/>
    <w:rsid w:val="00A611EF"/>
    <w:rsid w:val="00A640BF"/>
    <w:rsid w:val="00A70C18"/>
    <w:rsid w:val="00A73B1F"/>
    <w:rsid w:val="00A76B48"/>
    <w:rsid w:val="00A7749A"/>
    <w:rsid w:val="00A838BF"/>
    <w:rsid w:val="00A92DE7"/>
    <w:rsid w:val="00A93D57"/>
    <w:rsid w:val="00AB4EA8"/>
    <w:rsid w:val="00AB7A3B"/>
    <w:rsid w:val="00AC22D0"/>
    <w:rsid w:val="00AC3EC2"/>
    <w:rsid w:val="00AD5AB1"/>
    <w:rsid w:val="00AE1A0C"/>
    <w:rsid w:val="00AE2B74"/>
    <w:rsid w:val="00AE37FB"/>
    <w:rsid w:val="00B001B9"/>
    <w:rsid w:val="00B01D93"/>
    <w:rsid w:val="00B05442"/>
    <w:rsid w:val="00B2296A"/>
    <w:rsid w:val="00B30441"/>
    <w:rsid w:val="00B336CD"/>
    <w:rsid w:val="00B377AD"/>
    <w:rsid w:val="00B47D12"/>
    <w:rsid w:val="00B50D83"/>
    <w:rsid w:val="00B52C1F"/>
    <w:rsid w:val="00B547F5"/>
    <w:rsid w:val="00B57A70"/>
    <w:rsid w:val="00B84327"/>
    <w:rsid w:val="00B90D92"/>
    <w:rsid w:val="00B91C74"/>
    <w:rsid w:val="00B939E3"/>
    <w:rsid w:val="00BA1826"/>
    <w:rsid w:val="00BA28CA"/>
    <w:rsid w:val="00BA3FF9"/>
    <w:rsid w:val="00BA4AF7"/>
    <w:rsid w:val="00BB018E"/>
    <w:rsid w:val="00BC5415"/>
    <w:rsid w:val="00BD08A0"/>
    <w:rsid w:val="00BD4B17"/>
    <w:rsid w:val="00BD6BE5"/>
    <w:rsid w:val="00BE1D56"/>
    <w:rsid w:val="00BE4FEB"/>
    <w:rsid w:val="00BF092A"/>
    <w:rsid w:val="00C01122"/>
    <w:rsid w:val="00C0716F"/>
    <w:rsid w:val="00C079BC"/>
    <w:rsid w:val="00C20CF6"/>
    <w:rsid w:val="00C25484"/>
    <w:rsid w:val="00C3339D"/>
    <w:rsid w:val="00C44C23"/>
    <w:rsid w:val="00C465AE"/>
    <w:rsid w:val="00C47384"/>
    <w:rsid w:val="00C50458"/>
    <w:rsid w:val="00C57274"/>
    <w:rsid w:val="00C63CDF"/>
    <w:rsid w:val="00C64868"/>
    <w:rsid w:val="00C67681"/>
    <w:rsid w:val="00C73815"/>
    <w:rsid w:val="00C764D4"/>
    <w:rsid w:val="00C7661B"/>
    <w:rsid w:val="00C83F19"/>
    <w:rsid w:val="00C87C57"/>
    <w:rsid w:val="00C93537"/>
    <w:rsid w:val="00C94716"/>
    <w:rsid w:val="00C9494C"/>
    <w:rsid w:val="00CA197A"/>
    <w:rsid w:val="00CA3880"/>
    <w:rsid w:val="00CA4936"/>
    <w:rsid w:val="00CA60E8"/>
    <w:rsid w:val="00CA6360"/>
    <w:rsid w:val="00CD1661"/>
    <w:rsid w:val="00CD3C9E"/>
    <w:rsid w:val="00CE4FF6"/>
    <w:rsid w:val="00CE52BA"/>
    <w:rsid w:val="00CE7B57"/>
    <w:rsid w:val="00CF2807"/>
    <w:rsid w:val="00CF7145"/>
    <w:rsid w:val="00D11296"/>
    <w:rsid w:val="00D12954"/>
    <w:rsid w:val="00D3111B"/>
    <w:rsid w:val="00D31124"/>
    <w:rsid w:val="00D31C3E"/>
    <w:rsid w:val="00D34336"/>
    <w:rsid w:val="00D36BF2"/>
    <w:rsid w:val="00D4357B"/>
    <w:rsid w:val="00D44D7D"/>
    <w:rsid w:val="00D465E1"/>
    <w:rsid w:val="00D5113B"/>
    <w:rsid w:val="00D53A35"/>
    <w:rsid w:val="00D556F2"/>
    <w:rsid w:val="00D655A4"/>
    <w:rsid w:val="00D65A50"/>
    <w:rsid w:val="00D8352F"/>
    <w:rsid w:val="00D84671"/>
    <w:rsid w:val="00D925E2"/>
    <w:rsid w:val="00D945F0"/>
    <w:rsid w:val="00DA0EF7"/>
    <w:rsid w:val="00DA1920"/>
    <w:rsid w:val="00DA2A7C"/>
    <w:rsid w:val="00DC19DA"/>
    <w:rsid w:val="00DC35AC"/>
    <w:rsid w:val="00DD30B9"/>
    <w:rsid w:val="00DE3C95"/>
    <w:rsid w:val="00DE4F1D"/>
    <w:rsid w:val="00DE662A"/>
    <w:rsid w:val="00DF002F"/>
    <w:rsid w:val="00DF0CBB"/>
    <w:rsid w:val="00E03C68"/>
    <w:rsid w:val="00E068AF"/>
    <w:rsid w:val="00E079E5"/>
    <w:rsid w:val="00E15E0B"/>
    <w:rsid w:val="00E22119"/>
    <w:rsid w:val="00E263C3"/>
    <w:rsid w:val="00E330AD"/>
    <w:rsid w:val="00E34BDD"/>
    <w:rsid w:val="00E54662"/>
    <w:rsid w:val="00E57461"/>
    <w:rsid w:val="00E60984"/>
    <w:rsid w:val="00E61511"/>
    <w:rsid w:val="00E625E8"/>
    <w:rsid w:val="00E62C2D"/>
    <w:rsid w:val="00E711A9"/>
    <w:rsid w:val="00E75AED"/>
    <w:rsid w:val="00E80409"/>
    <w:rsid w:val="00E834F8"/>
    <w:rsid w:val="00E86E35"/>
    <w:rsid w:val="00E91E47"/>
    <w:rsid w:val="00E93EDA"/>
    <w:rsid w:val="00EA0458"/>
    <w:rsid w:val="00EA3CC1"/>
    <w:rsid w:val="00EA57A8"/>
    <w:rsid w:val="00EA58CE"/>
    <w:rsid w:val="00EA7144"/>
    <w:rsid w:val="00EB3111"/>
    <w:rsid w:val="00EB69D8"/>
    <w:rsid w:val="00EB77D3"/>
    <w:rsid w:val="00EC0C85"/>
    <w:rsid w:val="00EC17DB"/>
    <w:rsid w:val="00EC413F"/>
    <w:rsid w:val="00EC5131"/>
    <w:rsid w:val="00ED093B"/>
    <w:rsid w:val="00EE000E"/>
    <w:rsid w:val="00EE2BAA"/>
    <w:rsid w:val="00EE3555"/>
    <w:rsid w:val="00EF25FA"/>
    <w:rsid w:val="00F03B80"/>
    <w:rsid w:val="00F05C5F"/>
    <w:rsid w:val="00F1064B"/>
    <w:rsid w:val="00F200F5"/>
    <w:rsid w:val="00F20EB9"/>
    <w:rsid w:val="00F37082"/>
    <w:rsid w:val="00F416AF"/>
    <w:rsid w:val="00F44424"/>
    <w:rsid w:val="00F54219"/>
    <w:rsid w:val="00F575CD"/>
    <w:rsid w:val="00F74925"/>
    <w:rsid w:val="00F7497D"/>
    <w:rsid w:val="00F82D1F"/>
    <w:rsid w:val="00F86051"/>
    <w:rsid w:val="00F9046D"/>
    <w:rsid w:val="00FA2B2F"/>
    <w:rsid w:val="00FA316C"/>
    <w:rsid w:val="00FB1802"/>
    <w:rsid w:val="00FB2E36"/>
    <w:rsid w:val="00FC67CF"/>
    <w:rsid w:val="00FC7E82"/>
    <w:rsid w:val="00FD3EB5"/>
    <w:rsid w:val="00FE415C"/>
    <w:rsid w:val="00FE417F"/>
    <w:rsid w:val="00FE450F"/>
    <w:rsid w:val="00FE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47FC6"/>
  <w15:docId w15:val="{5D626A24-229A-4775-9F7E-C5890A9D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FDB"/>
    <w:pPr>
      <w:spacing w:after="0" w:line="240" w:lineRule="auto"/>
    </w:pPr>
    <w:rPr>
      <w:rFonts w:ascii="Arial" w:eastAsia="Times New Roman" w:hAnsi="Arial" w:cs="Times New Roman"/>
      <w:sz w:val="20"/>
      <w:szCs w:val="20"/>
      <w:lang w:val="en-GB"/>
    </w:rPr>
  </w:style>
  <w:style w:type="paragraph" w:styleId="Heading1">
    <w:name w:val="heading 1"/>
    <w:basedOn w:val="Normal"/>
    <w:next w:val="Normal"/>
    <w:link w:val="Heading1Char"/>
    <w:uiPriority w:val="9"/>
    <w:qFormat/>
    <w:rsid w:val="008F1FDB"/>
    <w:pPr>
      <w:keepNext/>
      <w:keepLines/>
      <w:spacing w:before="480" w:line="276" w:lineRule="auto"/>
      <w:outlineLvl w:val="0"/>
    </w:pPr>
    <w:rPr>
      <w:rFonts w:ascii="Cambria" w:hAnsi="Cambria"/>
      <w:b/>
      <w:bCs/>
      <w:color w:val="365F91"/>
      <w:sz w:val="28"/>
      <w:szCs w:val="28"/>
    </w:rPr>
  </w:style>
  <w:style w:type="paragraph" w:styleId="Heading4">
    <w:name w:val="heading 4"/>
    <w:basedOn w:val="Normal"/>
    <w:next w:val="Normal"/>
    <w:link w:val="Heading4Char"/>
    <w:uiPriority w:val="9"/>
    <w:semiHidden/>
    <w:unhideWhenUsed/>
    <w:qFormat/>
    <w:rsid w:val="00C504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FDB"/>
    <w:rPr>
      <w:rFonts w:ascii="Cambria" w:eastAsia="Times New Roman" w:hAnsi="Cambria" w:cs="Times New Roman"/>
      <w:b/>
      <w:bCs/>
      <w:color w:val="365F91"/>
      <w:sz w:val="28"/>
      <w:szCs w:val="28"/>
      <w:lang w:val="sr-Cyrl-RS"/>
    </w:rPr>
  </w:style>
  <w:style w:type="paragraph" w:styleId="PlainText">
    <w:name w:val="Plain Text"/>
    <w:basedOn w:val="Normal"/>
    <w:link w:val="PlainTextChar"/>
    <w:uiPriority w:val="99"/>
    <w:unhideWhenUsed/>
    <w:rsid w:val="008F1FDB"/>
    <w:rPr>
      <w:rFonts w:ascii="Calibri" w:eastAsia="Calibri" w:hAnsi="Calibri"/>
      <w:sz w:val="22"/>
      <w:szCs w:val="22"/>
      <w:lang w:val="x-none" w:eastAsia="x-none"/>
    </w:rPr>
  </w:style>
  <w:style w:type="character" w:customStyle="1" w:styleId="PlainTextChar">
    <w:name w:val="Plain Text Char"/>
    <w:basedOn w:val="DefaultParagraphFont"/>
    <w:link w:val="PlainText"/>
    <w:uiPriority w:val="99"/>
    <w:rsid w:val="008F1FDB"/>
    <w:rPr>
      <w:rFonts w:ascii="Calibri" w:eastAsia="Calibri" w:hAnsi="Calibri" w:cs="Times New Roman"/>
      <w:lang w:val="x-none" w:eastAsia="x-none"/>
    </w:rPr>
  </w:style>
  <w:style w:type="paragraph" w:styleId="ListParagraph">
    <w:name w:val="List Paragraph"/>
    <w:basedOn w:val="Normal"/>
    <w:uiPriority w:val="34"/>
    <w:qFormat/>
    <w:rsid w:val="008F1FDB"/>
    <w:pPr>
      <w:ind w:left="720"/>
      <w:contextualSpacing/>
    </w:pPr>
    <w:rPr>
      <w:rFonts w:ascii="Calibri" w:eastAsia="Calibri" w:hAnsi="Calibri"/>
      <w:sz w:val="24"/>
      <w:szCs w:val="24"/>
      <w:lang w:val="en-US"/>
    </w:rPr>
  </w:style>
  <w:style w:type="paragraph" w:customStyle="1" w:styleId="Default">
    <w:name w:val="Default"/>
    <w:rsid w:val="008F1FDB"/>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rsid w:val="008F1FDB"/>
    <w:pPr>
      <w:spacing w:beforeLines="1" w:afterLines="1"/>
    </w:pPr>
    <w:rPr>
      <w:rFonts w:ascii="Times" w:eastAsia="Calibri" w:hAnsi="Times"/>
      <w:lang w:val="en-US"/>
    </w:rPr>
  </w:style>
  <w:style w:type="paragraph" w:styleId="FootnoteText">
    <w:name w:val="footnote text"/>
    <w:basedOn w:val="Normal"/>
    <w:link w:val="FootnoteTextChar"/>
    <w:uiPriority w:val="99"/>
    <w:unhideWhenUsed/>
    <w:rsid w:val="008F1FDB"/>
    <w:rPr>
      <w:rFonts w:ascii="Calibri" w:eastAsia="Calibri" w:hAnsi="Calibri"/>
    </w:rPr>
  </w:style>
  <w:style w:type="character" w:customStyle="1" w:styleId="FootnoteTextChar">
    <w:name w:val="Footnote Text Char"/>
    <w:basedOn w:val="DefaultParagraphFont"/>
    <w:link w:val="FootnoteText"/>
    <w:uiPriority w:val="99"/>
    <w:rsid w:val="008F1FDB"/>
    <w:rPr>
      <w:rFonts w:ascii="Calibri" w:eastAsia="Calibri" w:hAnsi="Calibri" w:cs="Times New Roman"/>
      <w:sz w:val="20"/>
      <w:szCs w:val="20"/>
      <w:lang w:val="sr-Cyrl-RS"/>
    </w:rPr>
  </w:style>
  <w:style w:type="character" w:styleId="FootnoteReference">
    <w:name w:val="footnote reference"/>
    <w:uiPriority w:val="99"/>
    <w:unhideWhenUsed/>
    <w:rsid w:val="008F1FDB"/>
    <w:rPr>
      <w:vertAlign w:val="superscript"/>
    </w:rPr>
  </w:style>
  <w:style w:type="paragraph" w:styleId="BalloonText">
    <w:name w:val="Balloon Text"/>
    <w:basedOn w:val="Normal"/>
    <w:link w:val="BalloonTextChar"/>
    <w:uiPriority w:val="99"/>
    <w:semiHidden/>
    <w:unhideWhenUsed/>
    <w:rsid w:val="008F1FD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F1FDB"/>
    <w:rPr>
      <w:rFonts w:ascii="Tahoma" w:eastAsia="Calibri" w:hAnsi="Tahoma" w:cs="Tahoma"/>
      <w:sz w:val="16"/>
      <w:szCs w:val="16"/>
      <w:lang w:val="sr-Cyrl-RS"/>
    </w:rPr>
  </w:style>
  <w:style w:type="paragraph" w:styleId="Header">
    <w:name w:val="header"/>
    <w:basedOn w:val="Normal"/>
    <w:link w:val="HeaderChar"/>
    <w:uiPriority w:val="99"/>
    <w:unhideWhenUsed/>
    <w:rsid w:val="008F1FDB"/>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8F1FDB"/>
    <w:rPr>
      <w:rFonts w:ascii="Calibri" w:eastAsia="Calibri" w:hAnsi="Calibri" w:cs="Times New Roman"/>
      <w:lang w:val="sr-Cyrl-RS"/>
    </w:rPr>
  </w:style>
  <w:style w:type="paragraph" w:styleId="Footer">
    <w:name w:val="footer"/>
    <w:basedOn w:val="Normal"/>
    <w:link w:val="FooterChar"/>
    <w:uiPriority w:val="99"/>
    <w:unhideWhenUsed/>
    <w:rsid w:val="008F1FDB"/>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8F1FDB"/>
    <w:rPr>
      <w:rFonts w:ascii="Calibri" w:eastAsia="Calibri" w:hAnsi="Calibri" w:cs="Times New Roman"/>
      <w:lang w:val="sr-Cyrl-RS"/>
    </w:rPr>
  </w:style>
  <w:style w:type="table" w:styleId="TableGrid">
    <w:name w:val="Table Grid"/>
    <w:basedOn w:val="TableNormal"/>
    <w:uiPriority w:val="59"/>
    <w:rsid w:val="008F1FD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F1FDB"/>
    <w:rPr>
      <w:color w:val="0000FF"/>
      <w:u w:val="single"/>
    </w:rPr>
  </w:style>
  <w:style w:type="paragraph" w:styleId="EndnoteText">
    <w:name w:val="endnote text"/>
    <w:basedOn w:val="Normal"/>
    <w:link w:val="EndnoteTextChar"/>
    <w:uiPriority w:val="99"/>
    <w:semiHidden/>
    <w:unhideWhenUsed/>
    <w:rsid w:val="008F1FDB"/>
    <w:rPr>
      <w:rFonts w:ascii="Calibri" w:eastAsia="Calibri" w:hAnsi="Calibri"/>
    </w:rPr>
  </w:style>
  <w:style w:type="character" w:customStyle="1" w:styleId="EndnoteTextChar">
    <w:name w:val="Endnote Text Char"/>
    <w:basedOn w:val="DefaultParagraphFont"/>
    <w:link w:val="EndnoteText"/>
    <w:uiPriority w:val="99"/>
    <w:semiHidden/>
    <w:rsid w:val="008F1FDB"/>
    <w:rPr>
      <w:rFonts w:ascii="Calibri" w:eastAsia="Calibri" w:hAnsi="Calibri" w:cs="Times New Roman"/>
      <w:sz w:val="20"/>
      <w:szCs w:val="20"/>
      <w:lang w:val="sr-Cyrl-RS"/>
    </w:rPr>
  </w:style>
  <w:style w:type="character" w:styleId="EndnoteReference">
    <w:name w:val="endnote reference"/>
    <w:uiPriority w:val="99"/>
    <w:semiHidden/>
    <w:unhideWhenUsed/>
    <w:rsid w:val="008F1FDB"/>
    <w:rPr>
      <w:vertAlign w:val="superscript"/>
    </w:rPr>
  </w:style>
  <w:style w:type="paragraph" w:customStyle="1" w:styleId="CharCharCharChar">
    <w:name w:val="Char Char Char Char"/>
    <w:basedOn w:val="Normal"/>
    <w:rsid w:val="008F1FDB"/>
    <w:pPr>
      <w:spacing w:after="160" w:line="240" w:lineRule="exact"/>
    </w:pPr>
    <w:rPr>
      <w:rFonts w:ascii="Verdana" w:hAnsi="Verdana"/>
      <w:i/>
      <w:lang w:val="en-US"/>
    </w:rPr>
  </w:style>
  <w:style w:type="character" w:styleId="CommentReference">
    <w:name w:val="annotation reference"/>
    <w:unhideWhenUsed/>
    <w:rsid w:val="008F1FDB"/>
    <w:rPr>
      <w:sz w:val="16"/>
      <w:szCs w:val="16"/>
    </w:rPr>
  </w:style>
  <w:style w:type="paragraph" w:styleId="CommentText">
    <w:name w:val="annotation text"/>
    <w:basedOn w:val="Normal"/>
    <w:link w:val="CommentTextChar"/>
    <w:unhideWhenUsed/>
    <w:rsid w:val="008F1FDB"/>
    <w:pPr>
      <w:spacing w:after="200"/>
    </w:pPr>
    <w:rPr>
      <w:rFonts w:ascii="Calibri" w:eastAsia="Calibri" w:hAnsi="Calibri"/>
    </w:rPr>
  </w:style>
  <w:style w:type="character" w:customStyle="1" w:styleId="CommentTextChar">
    <w:name w:val="Comment Text Char"/>
    <w:basedOn w:val="DefaultParagraphFont"/>
    <w:link w:val="CommentText"/>
    <w:rsid w:val="008F1FDB"/>
    <w:rPr>
      <w:rFonts w:ascii="Calibri" w:eastAsia="Calibri" w:hAnsi="Calibri" w:cs="Times New Roman"/>
      <w:sz w:val="20"/>
      <w:szCs w:val="20"/>
      <w:lang w:val="sr-Cyrl-RS"/>
    </w:rPr>
  </w:style>
  <w:style w:type="paragraph" w:styleId="CommentSubject">
    <w:name w:val="annotation subject"/>
    <w:basedOn w:val="CommentText"/>
    <w:next w:val="CommentText"/>
    <w:link w:val="CommentSubjectChar"/>
    <w:uiPriority w:val="99"/>
    <w:semiHidden/>
    <w:unhideWhenUsed/>
    <w:rsid w:val="008F1FDB"/>
    <w:rPr>
      <w:b/>
      <w:bCs/>
    </w:rPr>
  </w:style>
  <w:style w:type="character" w:customStyle="1" w:styleId="CommentSubjectChar">
    <w:name w:val="Comment Subject Char"/>
    <w:basedOn w:val="CommentTextChar"/>
    <w:link w:val="CommentSubject"/>
    <w:uiPriority w:val="99"/>
    <w:semiHidden/>
    <w:rsid w:val="008F1FDB"/>
    <w:rPr>
      <w:rFonts w:ascii="Calibri" w:eastAsia="Calibri" w:hAnsi="Calibri" w:cs="Times New Roman"/>
      <w:b/>
      <w:bCs/>
      <w:sz w:val="20"/>
      <w:szCs w:val="20"/>
      <w:lang w:val="sr-Cyrl-RS"/>
    </w:rPr>
  </w:style>
  <w:style w:type="character" w:styleId="IntenseEmphasis">
    <w:name w:val="Intense Emphasis"/>
    <w:uiPriority w:val="21"/>
    <w:qFormat/>
    <w:rsid w:val="00DD30B9"/>
    <w:rPr>
      <w:i/>
      <w:iCs/>
      <w:color w:val="5B9BD5"/>
    </w:rPr>
  </w:style>
  <w:style w:type="paragraph" w:customStyle="1" w:styleId="CharCharCharChar0">
    <w:name w:val="Char Char Char Char"/>
    <w:basedOn w:val="Normal"/>
    <w:rsid w:val="00E263C3"/>
    <w:pPr>
      <w:spacing w:after="160" w:line="240" w:lineRule="exact"/>
    </w:pPr>
    <w:rPr>
      <w:rFonts w:ascii="Verdana" w:hAnsi="Verdana"/>
      <w:i/>
    </w:rPr>
  </w:style>
  <w:style w:type="character" w:styleId="IntenseReference">
    <w:name w:val="Intense Reference"/>
    <w:uiPriority w:val="32"/>
    <w:qFormat/>
    <w:rsid w:val="00E263C3"/>
    <w:rPr>
      <w:b/>
      <w:bCs/>
      <w:smallCaps/>
      <w:color w:val="5B9BD5"/>
      <w:spacing w:val="5"/>
    </w:rPr>
  </w:style>
  <w:style w:type="paragraph" w:customStyle="1" w:styleId="CharCharCharChar1">
    <w:name w:val="Char Char Char Char"/>
    <w:basedOn w:val="Normal"/>
    <w:rsid w:val="00B05442"/>
    <w:pPr>
      <w:spacing w:after="160" w:line="240" w:lineRule="exact"/>
    </w:pPr>
    <w:rPr>
      <w:rFonts w:ascii="Verdana" w:hAnsi="Verdana"/>
      <w:i/>
    </w:rPr>
  </w:style>
  <w:style w:type="paragraph" w:customStyle="1" w:styleId="CharCharCharChar2">
    <w:name w:val="Char Char Char Char"/>
    <w:basedOn w:val="Normal"/>
    <w:rsid w:val="008C52F9"/>
    <w:pPr>
      <w:spacing w:after="160" w:line="240" w:lineRule="exact"/>
    </w:pPr>
    <w:rPr>
      <w:rFonts w:ascii="Verdana" w:hAnsi="Verdana"/>
      <w:i/>
    </w:rPr>
  </w:style>
  <w:style w:type="character" w:styleId="FollowedHyperlink">
    <w:name w:val="FollowedHyperlink"/>
    <w:basedOn w:val="DefaultParagraphFont"/>
    <w:uiPriority w:val="99"/>
    <w:semiHidden/>
    <w:unhideWhenUsed/>
    <w:rsid w:val="00227336"/>
    <w:rPr>
      <w:color w:val="954F72" w:themeColor="followedHyperlink"/>
      <w:u w:val="single"/>
    </w:rPr>
  </w:style>
  <w:style w:type="character" w:customStyle="1" w:styleId="Heading4Char">
    <w:name w:val="Heading 4 Char"/>
    <w:basedOn w:val="DefaultParagraphFont"/>
    <w:link w:val="Heading4"/>
    <w:uiPriority w:val="9"/>
    <w:semiHidden/>
    <w:rsid w:val="00C50458"/>
    <w:rPr>
      <w:rFonts w:asciiTheme="majorHAnsi" w:eastAsiaTheme="majorEastAsia" w:hAnsiTheme="majorHAnsi" w:cstheme="majorBidi"/>
      <w:b/>
      <w:bCs/>
      <w:i/>
      <w:iCs/>
      <w:color w:val="5B9BD5" w:themeColor="accent1"/>
      <w:sz w:val="20"/>
      <w:szCs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12">
      <w:bodyDiv w:val="1"/>
      <w:marLeft w:val="0"/>
      <w:marRight w:val="0"/>
      <w:marTop w:val="0"/>
      <w:marBottom w:val="0"/>
      <w:divBdr>
        <w:top w:val="none" w:sz="0" w:space="0" w:color="auto"/>
        <w:left w:val="none" w:sz="0" w:space="0" w:color="auto"/>
        <w:bottom w:val="none" w:sz="0" w:space="0" w:color="auto"/>
        <w:right w:val="none" w:sz="0" w:space="0" w:color="auto"/>
      </w:divBdr>
    </w:div>
    <w:div w:id="585920677">
      <w:bodyDiv w:val="1"/>
      <w:marLeft w:val="0"/>
      <w:marRight w:val="0"/>
      <w:marTop w:val="0"/>
      <w:marBottom w:val="0"/>
      <w:divBdr>
        <w:top w:val="none" w:sz="0" w:space="0" w:color="auto"/>
        <w:left w:val="none" w:sz="0" w:space="0" w:color="auto"/>
        <w:bottom w:val="none" w:sz="0" w:space="0" w:color="auto"/>
        <w:right w:val="none" w:sz="0" w:space="0" w:color="auto"/>
      </w:divBdr>
    </w:div>
    <w:div w:id="1658145439">
      <w:bodyDiv w:val="1"/>
      <w:marLeft w:val="0"/>
      <w:marRight w:val="0"/>
      <w:marTop w:val="0"/>
      <w:marBottom w:val="0"/>
      <w:divBdr>
        <w:top w:val="none" w:sz="0" w:space="0" w:color="auto"/>
        <w:left w:val="none" w:sz="0" w:space="0" w:color="auto"/>
        <w:bottom w:val="none" w:sz="0" w:space="0" w:color="auto"/>
        <w:right w:val="none" w:sz="0" w:space="0" w:color="auto"/>
      </w:divBdr>
    </w:div>
    <w:div w:id="1758556006">
      <w:bodyDiv w:val="1"/>
      <w:marLeft w:val="0"/>
      <w:marRight w:val="0"/>
      <w:marTop w:val="0"/>
      <w:marBottom w:val="0"/>
      <w:divBdr>
        <w:top w:val="none" w:sz="0" w:space="0" w:color="auto"/>
        <w:left w:val="none" w:sz="0" w:space="0" w:color="auto"/>
        <w:bottom w:val="none" w:sz="0" w:space="0" w:color="auto"/>
        <w:right w:val="none" w:sz="0" w:space="0" w:color="auto"/>
      </w:divBdr>
    </w:div>
    <w:div w:id="209893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s@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ublikacije.stat.gov.rs/G2020/Xls/G20201051.xls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6C6AC-FCBD-4B22-83CB-E565FF59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Savkovic</dc:creator>
  <cp:keywords/>
  <dc:description/>
  <cp:lastModifiedBy>Slavica Novakovic</cp:lastModifiedBy>
  <cp:revision>5</cp:revision>
  <cp:lastPrinted>2019-09-02T08:23:00Z</cp:lastPrinted>
  <dcterms:created xsi:type="dcterms:W3CDTF">2020-02-27T11:37:00Z</dcterms:created>
  <dcterms:modified xsi:type="dcterms:W3CDTF">2020-02-27T12:18:00Z</dcterms:modified>
</cp:coreProperties>
</file>