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A56EE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A56EEA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noProof/>
                <w:lang w:val="en-US"/>
              </w:rPr>
              <w:drawing>
                <wp:inline distT="0" distB="0" distL="0" distR="0" wp14:anchorId="447F69EA" wp14:editId="670F1338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A56EEA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rPr>
                <w:b/>
              </w:rPr>
            </w:pPr>
          </w:p>
        </w:tc>
      </w:tr>
      <w:tr w:rsidR="00EB2E61" w:rsidRPr="00A56EEA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A56EEA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A56EEA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E243F4" w:rsidP="00920129">
            <w:pPr>
              <w:rPr>
                <w:color w:val="808080"/>
                <w:sz w:val="20"/>
                <w:szCs w:val="20"/>
              </w:rPr>
            </w:pPr>
            <w:r w:rsidRPr="00A56EEA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A56EEA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A56EEA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A56EEA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A56EEA" w:rsidRDefault="00E243F4" w:rsidP="0050107F">
            <w:pPr>
              <w:rPr>
                <w:rFonts w:ascii="Arial" w:hAnsi="Arial" w:cs="Arial"/>
                <w:sz w:val="20"/>
                <w:szCs w:val="20"/>
              </w:rPr>
            </w:pPr>
            <w:r w:rsidRPr="00A56EEA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012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EA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E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A56EEA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A56EEA">
              <w:rPr>
                <w:rFonts w:ascii="Arial" w:hAnsi="Arial" w:cs="Arial"/>
                <w:sz w:val="20"/>
                <w:szCs w:val="20"/>
              </w:rPr>
              <w:t>2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4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01</w:t>
            </w:r>
            <w:r w:rsidR="00B365B7" w:rsidRPr="00A56EEA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A56EEA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A56E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A56EEA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A56EEA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73129C" w:rsidP="00E243F4">
            <w:pPr>
              <w:rPr>
                <w:b/>
                <w:bCs/>
              </w:rPr>
            </w:pPr>
            <w:r w:rsidRPr="00A56EEA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A56EEA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A56EEA" w:rsidRDefault="00355E53" w:rsidP="0050107F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A56EEA">
              <w:rPr>
                <w:b w:val="0"/>
                <w:noProof w:val="0"/>
                <w:sz w:val="20"/>
                <w:lang w:val="en-GB"/>
              </w:rPr>
              <w:t>SERB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012</w:t>
            </w:r>
            <w:r w:rsidR="00616AC2" w:rsidRPr="00A56EE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A56EEA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A56EEA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A56EEA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A56EEA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50107F" w:rsidRPr="00A56EEA">
              <w:rPr>
                <w:b w:val="0"/>
                <w:noProof w:val="0"/>
                <w:sz w:val="20"/>
                <w:lang w:val="en-GB"/>
              </w:rPr>
              <w:t>240120</w:t>
            </w:r>
          </w:p>
        </w:tc>
      </w:tr>
      <w:tr w:rsidR="00EB2E61" w:rsidRPr="00A56EEA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A56EEA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A56EEA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A56EEA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C30ED3" w:rsidRDefault="00B365B7" w:rsidP="00A93F04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30ED3">
        <w:rPr>
          <w:rFonts w:ascii="Arial" w:hAnsi="Arial" w:cs="Arial"/>
          <w:b/>
          <w:bCs/>
        </w:rPr>
        <w:t xml:space="preserve">Average salaries and wages per employee, </w:t>
      </w:r>
      <w:r w:rsidR="00734576" w:rsidRPr="00C30ED3">
        <w:rPr>
          <w:rFonts w:ascii="Arial" w:hAnsi="Arial" w:cs="Arial"/>
          <w:b/>
          <w:bCs/>
          <w:sz w:val="22"/>
          <w:szCs w:val="22"/>
        </w:rPr>
        <w:t>Novem</w:t>
      </w:r>
      <w:r w:rsidR="00783D6C" w:rsidRPr="00C30ED3">
        <w:rPr>
          <w:rFonts w:ascii="Arial" w:hAnsi="Arial" w:cs="Arial"/>
          <w:b/>
          <w:bCs/>
          <w:sz w:val="22"/>
          <w:szCs w:val="22"/>
        </w:rPr>
        <w:t>ber</w:t>
      </w:r>
      <w:r w:rsidRPr="00C30ED3">
        <w:rPr>
          <w:rFonts w:ascii="Arial" w:hAnsi="Arial" w:cs="Arial"/>
          <w:b/>
          <w:bCs/>
          <w:sz w:val="22"/>
          <w:szCs w:val="22"/>
        </w:rPr>
        <w:t xml:space="preserve"> 201</w:t>
      </w:r>
      <w:r w:rsidR="006D1D4C" w:rsidRPr="00C30ED3">
        <w:rPr>
          <w:rFonts w:ascii="Arial" w:hAnsi="Arial" w:cs="Arial"/>
          <w:b/>
          <w:bCs/>
          <w:sz w:val="22"/>
          <w:szCs w:val="22"/>
        </w:rPr>
        <w:t>9</w:t>
      </w:r>
    </w:p>
    <w:p w:rsidR="00B365B7" w:rsidRPr="00C30ED3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C30ED3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30ED3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734576" w:rsidRPr="00C30ED3">
        <w:rPr>
          <w:rFonts w:ascii="Arial" w:hAnsi="Arial" w:cs="Arial"/>
          <w:sz w:val="20"/>
          <w:szCs w:val="20"/>
        </w:rPr>
        <w:t>Novem</w:t>
      </w:r>
      <w:r w:rsidR="00783D6C" w:rsidRPr="00C30ED3">
        <w:rPr>
          <w:rFonts w:ascii="Arial" w:hAnsi="Arial" w:cs="Arial"/>
          <w:sz w:val="20"/>
          <w:szCs w:val="20"/>
        </w:rPr>
        <w:t>ber</w:t>
      </w:r>
      <w:r w:rsidRPr="00C30ED3">
        <w:rPr>
          <w:rFonts w:ascii="Arial" w:hAnsi="Arial" w:cs="Arial"/>
          <w:sz w:val="20"/>
          <w:szCs w:val="20"/>
        </w:rPr>
        <w:t xml:space="preserve"> 201</w:t>
      </w:r>
      <w:r w:rsidR="006D1D4C" w:rsidRPr="00C30ED3">
        <w:rPr>
          <w:rFonts w:ascii="Arial" w:hAnsi="Arial" w:cs="Arial"/>
          <w:sz w:val="20"/>
          <w:szCs w:val="20"/>
        </w:rPr>
        <w:t>9</w:t>
      </w:r>
      <w:r w:rsidRPr="00C30ED3">
        <w:rPr>
          <w:rFonts w:ascii="Arial" w:hAnsi="Arial" w:cs="Arial"/>
          <w:sz w:val="20"/>
          <w:szCs w:val="20"/>
        </w:rPr>
        <w:t xml:space="preserve"> amounted to </w:t>
      </w:r>
      <w:r w:rsidR="0021474B" w:rsidRPr="00C30ED3">
        <w:rPr>
          <w:rFonts w:ascii="Arial" w:hAnsi="Arial" w:cs="Arial"/>
          <w:sz w:val="20"/>
          <w:szCs w:val="20"/>
        </w:rPr>
        <w:t>7</w:t>
      </w:r>
      <w:r w:rsidR="00734576" w:rsidRPr="00C30ED3">
        <w:rPr>
          <w:rFonts w:ascii="Arial" w:hAnsi="Arial" w:cs="Arial"/>
          <w:sz w:val="20"/>
          <w:szCs w:val="20"/>
        </w:rPr>
        <w:t>7</w:t>
      </w:r>
      <w:r w:rsidR="00CC2637" w:rsidRPr="00C30ED3">
        <w:rPr>
          <w:rFonts w:ascii="Arial" w:hAnsi="Arial" w:cs="Arial"/>
          <w:sz w:val="20"/>
          <w:szCs w:val="20"/>
        </w:rPr>
        <w:t> </w:t>
      </w:r>
      <w:r w:rsidR="00734576" w:rsidRPr="00C30ED3">
        <w:rPr>
          <w:rFonts w:ascii="Arial" w:hAnsi="Arial" w:cs="Arial"/>
          <w:sz w:val="20"/>
          <w:szCs w:val="20"/>
        </w:rPr>
        <w:t>879</w:t>
      </w:r>
      <w:r w:rsidR="00CC2637" w:rsidRPr="00C30ED3">
        <w:rPr>
          <w:rFonts w:ascii="Arial" w:hAnsi="Arial" w:cs="Arial"/>
          <w:sz w:val="20"/>
          <w:szCs w:val="20"/>
        </w:rPr>
        <w:t> </w:t>
      </w:r>
      <w:r w:rsidRPr="00C30ED3">
        <w:rPr>
          <w:rFonts w:ascii="Arial" w:hAnsi="Arial" w:cs="Arial"/>
          <w:sz w:val="20"/>
          <w:szCs w:val="20"/>
        </w:rPr>
        <w:t xml:space="preserve">RSD, while average net salaries and wages amounted to </w:t>
      </w:r>
      <w:r w:rsidR="009577C4" w:rsidRPr="00C30ED3">
        <w:rPr>
          <w:rFonts w:ascii="Arial" w:hAnsi="Arial" w:cs="Arial"/>
          <w:sz w:val="20"/>
          <w:szCs w:val="20"/>
        </w:rPr>
        <w:t>5</w:t>
      </w:r>
      <w:r w:rsidR="00734576" w:rsidRPr="00C30ED3">
        <w:rPr>
          <w:rFonts w:ascii="Arial" w:hAnsi="Arial" w:cs="Arial"/>
          <w:sz w:val="20"/>
          <w:szCs w:val="20"/>
        </w:rPr>
        <w:t>6</w:t>
      </w:r>
      <w:r w:rsidR="00931CB3" w:rsidRPr="00C30ED3">
        <w:rPr>
          <w:rFonts w:ascii="Arial" w:hAnsi="Arial" w:cs="Arial"/>
          <w:sz w:val="20"/>
          <w:szCs w:val="20"/>
        </w:rPr>
        <w:t> </w:t>
      </w:r>
      <w:r w:rsidR="00734576" w:rsidRPr="00C30ED3">
        <w:rPr>
          <w:rFonts w:ascii="Arial" w:hAnsi="Arial" w:cs="Arial"/>
          <w:sz w:val="20"/>
          <w:szCs w:val="20"/>
        </w:rPr>
        <w:t>331</w:t>
      </w:r>
      <w:r w:rsidRPr="00C30ED3">
        <w:rPr>
          <w:rFonts w:ascii="Arial" w:hAnsi="Arial" w:cs="Arial"/>
          <w:sz w:val="20"/>
          <w:szCs w:val="20"/>
        </w:rPr>
        <w:t xml:space="preserve"> RSD.</w:t>
      </w:r>
    </w:p>
    <w:p w:rsidR="00F60680" w:rsidRPr="00C30ED3" w:rsidRDefault="00F6068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30ED3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734576" w:rsidRPr="00C30ED3">
        <w:rPr>
          <w:rFonts w:ascii="Arial" w:hAnsi="Arial" w:cs="Arial"/>
          <w:sz w:val="20"/>
          <w:szCs w:val="20"/>
        </w:rPr>
        <w:t>Novem</w:t>
      </w:r>
      <w:r w:rsidR="00783D6C" w:rsidRPr="00C30ED3">
        <w:rPr>
          <w:rFonts w:ascii="Arial" w:hAnsi="Arial" w:cs="Arial"/>
          <w:sz w:val="20"/>
          <w:szCs w:val="20"/>
        </w:rPr>
        <w:t>ber</w:t>
      </w:r>
      <w:r w:rsidRPr="00C30ED3">
        <w:rPr>
          <w:rFonts w:ascii="Arial" w:hAnsi="Arial" w:cs="Arial"/>
          <w:sz w:val="20"/>
          <w:szCs w:val="20"/>
        </w:rPr>
        <w:t xml:space="preserve"> 2019, relative to the same period last year, amounted to </w:t>
      </w:r>
      <w:r w:rsidR="00783D6C" w:rsidRPr="00C30ED3">
        <w:rPr>
          <w:rFonts w:ascii="Arial" w:hAnsi="Arial" w:cs="Arial"/>
          <w:sz w:val="20"/>
          <w:szCs w:val="20"/>
        </w:rPr>
        <w:t>10</w:t>
      </w:r>
      <w:r w:rsidRPr="00C30ED3">
        <w:rPr>
          <w:rFonts w:ascii="Arial" w:hAnsi="Arial" w:cs="Arial"/>
          <w:sz w:val="20"/>
          <w:szCs w:val="20"/>
        </w:rPr>
        <w:t>.</w:t>
      </w:r>
      <w:r w:rsidR="00734576" w:rsidRPr="00C30ED3">
        <w:rPr>
          <w:rFonts w:ascii="Arial" w:hAnsi="Arial" w:cs="Arial"/>
          <w:sz w:val="20"/>
          <w:szCs w:val="20"/>
        </w:rPr>
        <w:t>1</w:t>
      </w:r>
      <w:r w:rsidRPr="00C30ED3">
        <w:rPr>
          <w:rFonts w:ascii="Arial" w:hAnsi="Arial" w:cs="Arial"/>
          <w:sz w:val="20"/>
          <w:szCs w:val="20"/>
        </w:rPr>
        <w:t xml:space="preserve">% in nominal terms, i.e. </w:t>
      </w:r>
      <w:r w:rsidR="00734576" w:rsidRPr="00C30ED3">
        <w:rPr>
          <w:rFonts w:ascii="Arial" w:hAnsi="Arial" w:cs="Arial"/>
          <w:sz w:val="20"/>
          <w:szCs w:val="20"/>
        </w:rPr>
        <w:t>8</w:t>
      </w:r>
      <w:r w:rsidRPr="00C30ED3">
        <w:rPr>
          <w:rFonts w:ascii="Arial" w:hAnsi="Arial" w:cs="Arial"/>
          <w:sz w:val="20"/>
          <w:szCs w:val="20"/>
        </w:rPr>
        <w:t>.</w:t>
      </w:r>
      <w:r w:rsidR="00734576" w:rsidRPr="00C30ED3">
        <w:rPr>
          <w:rFonts w:ascii="Arial" w:hAnsi="Arial" w:cs="Arial"/>
          <w:sz w:val="20"/>
          <w:szCs w:val="20"/>
        </w:rPr>
        <w:t>0</w:t>
      </w:r>
      <w:r w:rsidRPr="00C30ED3">
        <w:rPr>
          <w:rFonts w:ascii="Arial" w:hAnsi="Arial" w:cs="Arial"/>
          <w:sz w:val="20"/>
          <w:szCs w:val="20"/>
        </w:rPr>
        <w:t xml:space="preserve">% in real terms. Simultaneously, net salaries and wages increased by </w:t>
      </w:r>
      <w:r w:rsidR="00783D6C" w:rsidRPr="00C30ED3">
        <w:rPr>
          <w:rFonts w:ascii="Arial" w:hAnsi="Arial" w:cs="Arial"/>
          <w:sz w:val="20"/>
          <w:szCs w:val="20"/>
        </w:rPr>
        <w:t>10</w:t>
      </w:r>
      <w:r w:rsidRPr="00C30ED3">
        <w:rPr>
          <w:rFonts w:ascii="Arial" w:hAnsi="Arial" w:cs="Arial"/>
          <w:sz w:val="20"/>
          <w:szCs w:val="20"/>
        </w:rPr>
        <w:t>.</w:t>
      </w:r>
      <w:r w:rsidR="00734576" w:rsidRPr="00C30ED3">
        <w:rPr>
          <w:rFonts w:ascii="Arial" w:hAnsi="Arial" w:cs="Arial"/>
          <w:sz w:val="20"/>
          <w:szCs w:val="20"/>
        </w:rPr>
        <w:t>3</w:t>
      </w:r>
      <w:r w:rsidRPr="00C30ED3">
        <w:rPr>
          <w:rFonts w:ascii="Arial" w:hAnsi="Arial" w:cs="Arial"/>
          <w:sz w:val="20"/>
          <w:szCs w:val="20"/>
        </w:rPr>
        <w:t xml:space="preserve">% in nominal terms and by </w:t>
      </w:r>
      <w:r w:rsidR="00783D6C" w:rsidRPr="00C30ED3">
        <w:rPr>
          <w:rFonts w:ascii="Arial" w:hAnsi="Arial" w:cs="Arial"/>
          <w:sz w:val="20"/>
          <w:szCs w:val="20"/>
        </w:rPr>
        <w:t>8</w:t>
      </w:r>
      <w:r w:rsidR="0021474B" w:rsidRPr="00C30ED3">
        <w:rPr>
          <w:rFonts w:ascii="Arial" w:hAnsi="Arial" w:cs="Arial"/>
          <w:sz w:val="20"/>
          <w:szCs w:val="20"/>
        </w:rPr>
        <w:t>.</w:t>
      </w:r>
      <w:r w:rsidR="00734576" w:rsidRPr="00C30ED3">
        <w:rPr>
          <w:rFonts w:ascii="Arial" w:hAnsi="Arial" w:cs="Arial"/>
          <w:sz w:val="20"/>
          <w:szCs w:val="20"/>
        </w:rPr>
        <w:t>2</w:t>
      </w:r>
      <w:r w:rsidRPr="00C30ED3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C30ED3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30ED3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C30ED3">
        <w:rPr>
          <w:rFonts w:ascii="Arial" w:hAnsi="Arial" w:cs="Arial"/>
          <w:sz w:val="20"/>
          <w:szCs w:val="20"/>
        </w:rPr>
        <w:t xml:space="preserve">for </w:t>
      </w:r>
      <w:r w:rsidR="00734576" w:rsidRPr="00C30ED3">
        <w:rPr>
          <w:rFonts w:ascii="Arial" w:hAnsi="Arial" w:cs="Arial"/>
          <w:sz w:val="20"/>
          <w:szCs w:val="20"/>
        </w:rPr>
        <w:t>Novem</w:t>
      </w:r>
      <w:r w:rsidR="00783D6C" w:rsidRPr="00C30ED3">
        <w:rPr>
          <w:rFonts w:ascii="Arial" w:hAnsi="Arial" w:cs="Arial"/>
          <w:sz w:val="20"/>
          <w:szCs w:val="20"/>
        </w:rPr>
        <w:t>ber</w:t>
      </w:r>
      <w:r w:rsidR="00605962" w:rsidRPr="00C30ED3">
        <w:rPr>
          <w:rFonts w:ascii="Arial" w:hAnsi="Arial" w:cs="Arial"/>
          <w:sz w:val="20"/>
          <w:szCs w:val="20"/>
        </w:rPr>
        <w:t xml:space="preserve"> 201</w:t>
      </w:r>
      <w:r w:rsidR="006D1D4C" w:rsidRPr="00C30ED3">
        <w:rPr>
          <w:rFonts w:ascii="Arial" w:hAnsi="Arial" w:cs="Arial"/>
          <w:sz w:val="20"/>
          <w:szCs w:val="20"/>
        </w:rPr>
        <w:t>9</w:t>
      </w:r>
      <w:r w:rsidR="004B6311" w:rsidRPr="00C30ED3">
        <w:rPr>
          <w:rFonts w:ascii="Arial" w:hAnsi="Arial" w:cs="Arial"/>
          <w:sz w:val="20"/>
          <w:szCs w:val="20"/>
        </w:rPr>
        <w:t xml:space="preserve"> </w:t>
      </w:r>
      <w:r w:rsidRPr="00C30ED3">
        <w:rPr>
          <w:rFonts w:ascii="Arial" w:hAnsi="Arial" w:cs="Arial"/>
          <w:sz w:val="20"/>
          <w:szCs w:val="20"/>
        </w:rPr>
        <w:t xml:space="preserve">increased by </w:t>
      </w:r>
      <w:r w:rsidR="00783D6C" w:rsidRPr="00C30ED3">
        <w:rPr>
          <w:rFonts w:ascii="Arial" w:hAnsi="Arial" w:cs="Arial"/>
          <w:sz w:val="20"/>
          <w:szCs w:val="20"/>
        </w:rPr>
        <w:t>1</w:t>
      </w:r>
      <w:r w:rsidR="00734576" w:rsidRPr="00C30ED3">
        <w:rPr>
          <w:rFonts w:ascii="Arial" w:hAnsi="Arial" w:cs="Arial"/>
          <w:sz w:val="20"/>
          <w:szCs w:val="20"/>
        </w:rPr>
        <w:t>1</w:t>
      </w:r>
      <w:r w:rsidR="0021474B" w:rsidRPr="00C30ED3">
        <w:rPr>
          <w:rFonts w:ascii="Arial" w:hAnsi="Arial" w:cs="Arial"/>
          <w:sz w:val="20"/>
          <w:szCs w:val="20"/>
        </w:rPr>
        <w:t>.</w:t>
      </w:r>
      <w:r w:rsidR="00783D6C" w:rsidRPr="00C30ED3">
        <w:rPr>
          <w:rFonts w:ascii="Arial" w:hAnsi="Arial" w:cs="Arial"/>
          <w:sz w:val="20"/>
          <w:szCs w:val="20"/>
        </w:rPr>
        <w:t>3</w:t>
      </w:r>
      <w:r w:rsidRPr="00C30ED3">
        <w:rPr>
          <w:rFonts w:ascii="Arial" w:hAnsi="Arial" w:cs="Arial"/>
          <w:sz w:val="20"/>
          <w:szCs w:val="20"/>
        </w:rPr>
        <w:t xml:space="preserve">% in nominal terms and by </w:t>
      </w:r>
      <w:r w:rsidR="00783D6C" w:rsidRPr="00C30ED3">
        <w:rPr>
          <w:rFonts w:ascii="Arial" w:hAnsi="Arial" w:cs="Arial"/>
          <w:sz w:val="20"/>
          <w:szCs w:val="20"/>
        </w:rPr>
        <w:t>9</w:t>
      </w:r>
      <w:r w:rsidR="0021474B" w:rsidRPr="00C30ED3">
        <w:rPr>
          <w:rFonts w:ascii="Arial" w:hAnsi="Arial" w:cs="Arial"/>
          <w:sz w:val="20"/>
          <w:szCs w:val="20"/>
        </w:rPr>
        <w:t>.</w:t>
      </w:r>
      <w:r w:rsidR="00734576" w:rsidRPr="00C30ED3">
        <w:rPr>
          <w:rFonts w:ascii="Arial" w:hAnsi="Arial" w:cs="Arial"/>
          <w:sz w:val="20"/>
          <w:szCs w:val="20"/>
        </w:rPr>
        <w:t>7</w:t>
      </w:r>
      <w:r w:rsidR="00783D6C" w:rsidRPr="00C30ED3">
        <w:rPr>
          <w:rFonts w:ascii="Arial" w:hAnsi="Arial" w:cs="Arial"/>
          <w:sz w:val="20"/>
          <w:szCs w:val="20"/>
        </w:rPr>
        <w:t>% in real terms</w:t>
      </w:r>
      <w:r w:rsidR="00734576" w:rsidRPr="00C30ED3">
        <w:rPr>
          <w:rFonts w:ascii="Arial" w:hAnsi="Arial" w:cs="Arial"/>
          <w:sz w:val="20"/>
          <w:szCs w:val="20"/>
        </w:rPr>
        <w:t xml:space="preserve">, while average net salaries and wages increased by 11.4% in nominal terms and by 9.8% in real terms. </w:t>
      </w:r>
    </w:p>
    <w:p w:rsidR="00B365B7" w:rsidRPr="00C30ED3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C30ED3">
        <w:rPr>
          <w:sz w:val="20"/>
          <w:szCs w:val="20"/>
          <w:lang w:val="en-GB"/>
        </w:rPr>
        <w:t xml:space="preserve">Median </w:t>
      </w:r>
      <w:r w:rsidR="00AE162A" w:rsidRPr="00C30ED3">
        <w:rPr>
          <w:sz w:val="20"/>
          <w:szCs w:val="20"/>
          <w:lang w:val="en-GB"/>
        </w:rPr>
        <w:t>net</w:t>
      </w:r>
      <w:r w:rsidRPr="00C30ED3">
        <w:rPr>
          <w:sz w:val="20"/>
          <w:szCs w:val="20"/>
          <w:lang w:val="en-GB"/>
        </w:rPr>
        <w:t xml:space="preserve"> salaries and wages </w:t>
      </w:r>
      <w:r w:rsidR="004B6311" w:rsidRPr="00C30ED3">
        <w:rPr>
          <w:sz w:val="20"/>
          <w:szCs w:val="20"/>
          <w:lang w:val="en-GB"/>
        </w:rPr>
        <w:t xml:space="preserve">for </w:t>
      </w:r>
      <w:r w:rsidR="00734576" w:rsidRPr="00C30ED3">
        <w:rPr>
          <w:sz w:val="20"/>
          <w:szCs w:val="20"/>
          <w:lang w:val="en-GB"/>
        </w:rPr>
        <w:t>Novem</w:t>
      </w:r>
      <w:r w:rsidR="00783D6C" w:rsidRPr="00C30ED3">
        <w:rPr>
          <w:sz w:val="20"/>
          <w:szCs w:val="20"/>
          <w:lang w:val="en-GB"/>
        </w:rPr>
        <w:t xml:space="preserve">ber </w:t>
      </w:r>
      <w:r w:rsidR="0021474B" w:rsidRPr="00C30ED3">
        <w:rPr>
          <w:sz w:val="20"/>
          <w:szCs w:val="20"/>
          <w:lang w:val="en-GB"/>
        </w:rPr>
        <w:t>2019</w:t>
      </w:r>
      <w:r w:rsidR="006D1D4C" w:rsidRPr="00C30ED3">
        <w:rPr>
          <w:sz w:val="20"/>
          <w:szCs w:val="20"/>
          <w:lang w:val="en-GB"/>
        </w:rPr>
        <w:t xml:space="preserve"> </w:t>
      </w:r>
      <w:r w:rsidRPr="00C30ED3">
        <w:rPr>
          <w:sz w:val="20"/>
          <w:szCs w:val="20"/>
          <w:lang w:val="en-GB"/>
        </w:rPr>
        <w:t xml:space="preserve">amounted to </w:t>
      </w:r>
      <w:r w:rsidR="0021474B" w:rsidRPr="00C30ED3">
        <w:rPr>
          <w:sz w:val="20"/>
          <w:szCs w:val="20"/>
          <w:lang w:val="en-GB"/>
        </w:rPr>
        <w:t>4</w:t>
      </w:r>
      <w:r w:rsidR="00734576" w:rsidRPr="00C30ED3">
        <w:rPr>
          <w:sz w:val="20"/>
          <w:szCs w:val="20"/>
          <w:lang w:val="en-GB"/>
        </w:rPr>
        <w:t>3</w:t>
      </w:r>
      <w:r w:rsidR="00CC2637" w:rsidRPr="00C30ED3">
        <w:rPr>
          <w:sz w:val="20"/>
          <w:szCs w:val="20"/>
          <w:lang w:val="en-GB"/>
        </w:rPr>
        <w:t> </w:t>
      </w:r>
      <w:r w:rsidR="00734576" w:rsidRPr="00C30ED3">
        <w:rPr>
          <w:sz w:val="20"/>
          <w:szCs w:val="20"/>
          <w:lang w:val="en-GB"/>
        </w:rPr>
        <w:t>511</w:t>
      </w:r>
      <w:r w:rsidR="00CC2637" w:rsidRPr="00C30ED3">
        <w:rPr>
          <w:sz w:val="20"/>
          <w:szCs w:val="20"/>
          <w:lang w:val="en-GB"/>
        </w:rPr>
        <w:t> </w:t>
      </w:r>
      <w:r w:rsidRPr="00C30ED3">
        <w:rPr>
          <w:sz w:val="20"/>
          <w:szCs w:val="20"/>
          <w:lang w:val="en-GB"/>
        </w:rPr>
        <w:t>RSD</w:t>
      </w:r>
      <w:r w:rsidR="001F0E62" w:rsidRPr="00C30ED3">
        <w:rPr>
          <w:sz w:val="20"/>
          <w:szCs w:val="20"/>
          <w:lang w:val="en-GB"/>
        </w:rPr>
        <w:t>,</w:t>
      </w:r>
      <w:r w:rsidRPr="00C30ED3">
        <w:rPr>
          <w:sz w:val="20"/>
          <w:szCs w:val="20"/>
          <w:lang w:val="en-GB"/>
        </w:rPr>
        <w:t xml:space="preserve"> </w:t>
      </w:r>
      <w:r w:rsidR="00AE162A" w:rsidRPr="00C30ED3">
        <w:rPr>
          <w:sz w:val="20"/>
          <w:szCs w:val="20"/>
          <w:lang w:val="en-GB"/>
        </w:rPr>
        <w:t>meaning that 50% of employees realised wages and salaries u</w:t>
      </w:r>
      <w:r w:rsidR="005E547B" w:rsidRPr="00C30ED3">
        <w:rPr>
          <w:sz w:val="20"/>
          <w:szCs w:val="20"/>
          <w:lang w:val="en-GB"/>
        </w:rPr>
        <w:t>p</w:t>
      </w:r>
      <w:r w:rsidR="00AE162A" w:rsidRPr="00C30ED3">
        <w:rPr>
          <w:sz w:val="20"/>
          <w:szCs w:val="20"/>
          <w:lang w:val="en-GB"/>
        </w:rPr>
        <w:t xml:space="preserve"> to the mentioned amount</w:t>
      </w:r>
      <w:r w:rsidR="00746A7C" w:rsidRPr="00C30ED3">
        <w:rPr>
          <w:sz w:val="20"/>
          <w:szCs w:val="20"/>
          <w:lang w:val="en-GB"/>
        </w:rPr>
        <w:t>.</w:t>
      </w:r>
    </w:p>
    <w:p w:rsidR="00305A7B" w:rsidRPr="00A56EEA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305A7B" w:rsidRPr="00A56EEA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color w:val="FF0000"/>
          <w:sz w:val="20"/>
          <w:szCs w:val="20"/>
          <w:lang w:val="en-GB"/>
        </w:rPr>
      </w:pPr>
    </w:p>
    <w:p w:rsidR="00A844DC" w:rsidRPr="00A56EEA" w:rsidRDefault="00A132C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 xml:space="preserve">1. </w:t>
      </w:r>
      <w:r w:rsidR="001711E9" w:rsidRPr="00A56EEA">
        <w:rPr>
          <w:b/>
          <w:sz w:val="20"/>
          <w:szCs w:val="20"/>
          <w:lang w:val="en-GB"/>
        </w:rPr>
        <w:t xml:space="preserve">Average </w:t>
      </w:r>
      <w:r w:rsidR="0073129C" w:rsidRPr="00A56EEA">
        <w:rPr>
          <w:b/>
          <w:sz w:val="20"/>
          <w:szCs w:val="20"/>
          <w:lang w:val="en-GB"/>
        </w:rPr>
        <w:t>salaries and wages</w:t>
      </w:r>
      <w:r w:rsidR="001711E9" w:rsidRPr="00A56EEA">
        <w:rPr>
          <w:b/>
          <w:sz w:val="20"/>
          <w:szCs w:val="20"/>
          <w:lang w:val="en-GB"/>
        </w:rPr>
        <w:t xml:space="preserve">, </w:t>
      </w:r>
      <w:r w:rsidR="00606CA2" w:rsidRPr="00A56EEA">
        <w:rPr>
          <w:b/>
          <w:sz w:val="20"/>
          <w:szCs w:val="20"/>
          <w:lang w:val="en-GB"/>
        </w:rPr>
        <w:t>November</w:t>
      </w:r>
      <w:r w:rsidR="001D0875" w:rsidRPr="00A56EEA">
        <w:rPr>
          <w:b/>
          <w:sz w:val="20"/>
          <w:szCs w:val="20"/>
          <w:lang w:val="en-GB"/>
        </w:rPr>
        <w:t xml:space="preserve"> 201</w:t>
      </w:r>
      <w:r w:rsidR="00350963" w:rsidRPr="00A56EEA">
        <w:rPr>
          <w:b/>
          <w:sz w:val="20"/>
          <w:szCs w:val="20"/>
          <w:lang w:val="en-GB"/>
        </w:rPr>
        <w:t>9</w:t>
      </w:r>
    </w:p>
    <w:p w:rsidR="003C021C" w:rsidRPr="00A56EEA" w:rsidRDefault="00350963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  <w:r w:rsidRPr="00A56EEA">
        <w:rPr>
          <w:sz w:val="18"/>
          <w:szCs w:val="18"/>
          <w:lang w:val="en-GB"/>
        </w:rPr>
        <w:t xml:space="preserve">                                                                                                           </w:t>
      </w:r>
      <w:r w:rsidR="00D105EB" w:rsidRPr="00A56EEA">
        <w:rPr>
          <w:sz w:val="18"/>
          <w:szCs w:val="18"/>
          <w:lang w:val="en-GB"/>
        </w:rPr>
        <w:t xml:space="preserve">                                                    </w:t>
      </w:r>
      <w:r w:rsidR="00FC05B0" w:rsidRPr="00A56EEA">
        <w:rPr>
          <w:sz w:val="18"/>
          <w:szCs w:val="18"/>
          <w:lang w:val="en-GB"/>
        </w:rPr>
        <w:t xml:space="preserve">       </w:t>
      </w:r>
      <w:r w:rsidR="00D105EB" w:rsidRPr="00A56EEA">
        <w:rPr>
          <w:sz w:val="18"/>
          <w:szCs w:val="18"/>
          <w:lang w:val="en-GB"/>
        </w:rPr>
        <w:t xml:space="preserve">  </w:t>
      </w:r>
      <w:r w:rsidR="003C021C" w:rsidRPr="00A56EEA">
        <w:rPr>
          <w:sz w:val="18"/>
          <w:szCs w:val="18"/>
          <w:lang w:val="en-GB"/>
        </w:rPr>
        <w:t>RSD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AE64B5" w:rsidRPr="00A56EEA" w:rsidTr="00A001C0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4B5" w:rsidRPr="00A56EEA" w:rsidRDefault="00AE64B5" w:rsidP="00AE64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Net</w:t>
            </w:r>
          </w:p>
        </w:tc>
      </w:tr>
      <w:tr w:rsidR="00883213" w:rsidRPr="00A56EEA" w:rsidTr="00A001C0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XI 2019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I–XI 2019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XI 2019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I–XI 2019</w:t>
            </w:r>
          </w:p>
        </w:tc>
      </w:tr>
      <w:tr w:rsidR="00883213" w:rsidRPr="00A56EEA" w:rsidTr="00A001C0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A56EEA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b/>
                <w:sz w:val="16"/>
                <w:szCs w:val="16"/>
              </w:rPr>
              <w:t>77 879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b/>
                <w:sz w:val="16"/>
                <w:szCs w:val="16"/>
              </w:rPr>
              <w:t>75 218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b/>
                <w:sz w:val="16"/>
                <w:szCs w:val="16"/>
              </w:rPr>
              <w:t>56 331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b/>
                <w:sz w:val="16"/>
                <w:szCs w:val="16"/>
              </w:rPr>
              <w:t>54 471</w:t>
            </w: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78 364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75 671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56 702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54 820</w:t>
            </w:r>
          </w:p>
        </w:tc>
      </w:tr>
      <w:tr w:rsidR="00883213" w:rsidRPr="00A56EEA" w:rsidTr="007C1B32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50 334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50 270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35 284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35 236</w:t>
            </w: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82 969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79 927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60 078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57 953</w:t>
            </w: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40 347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40 455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28 699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 xml:space="preserve">28 764 </w:t>
            </w:r>
          </w:p>
        </w:tc>
      </w:tr>
      <w:tr w:rsidR="00883213" w:rsidRPr="00A56EEA" w:rsidTr="007C1B32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89 941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84 775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64 598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60 975</w:t>
            </w:r>
          </w:p>
        </w:tc>
      </w:tr>
      <w:tr w:rsidR="00883213" w:rsidRPr="00A56EEA" w:rsidTr="007C1B32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72 386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70 776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52 567</w:t>
            </w:r>
          </w:p>
        </w:tc>
        <w:tc>
          <w:tcPr>
            <w:tcW w:w="1153" w:type="dxa"/>
            <w:vAlign w:val="bottom"/>
          </w:tcPr>
          <w:p w:rsidR="00883213" w:rsidRPr="00A56EEA" w:rsidRDefault="00883213" w:rsidP="00883213">
            <w:pPr>
              <w:ind w:right="227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51 448</w:t>
            </w:r>
          </w:p>
        </w:tc>
      </w:tr>
    </w:tbl>
    <w:p w:rsidR="00FC05B0" w:rsidRPr="00A56EEA" w:rsidRDefault="00FC05B0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FC05B0" w:rsidRPr="00A56EEA" w:rsidRDefault="00FC05B0" w:rsidP="00350963">
      <w:pPr>
        <w:pStyle w:val="BodyTextIndent2"/>
        <w:spacing w:after="60"/>
        <w:ind w:left="720" w:firstLine="0"/>
        <w:jc w:val="center"/>
        <w:rPr>
          <w:sz w:val="18"/>
          <w:szCs w:val="18"/>
          <w:lang w:val="en-GB"/>
        </w:rPr>
      </w:pPr>
    </w:p>
    <w:p w:rsidR="006A6402" w:rsidRPr="00A56EEA" w:rsidRDefault="006A6402" w:rsidP="006A6402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A56EEA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AE64B5" w:rsidRPr="00A56EEA" w:rsidTr="00196D62">
        <w:trPr>
          <w:trHeight w:val="495"/>
          <w:jc w:val="center"/>
        </w:trPr>
        <w:tc>
          <w:tcPr>
            <w:tcW w:w="2041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4B5" w:rsidRPr="00A56EEA" w:rsidRDefault="00AE64B5" w:rsidP="00AE6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E64B5" w:rsidRPr="00A56EEA" w:rsidRDefault="00AE64B5" w:rsidP="00AE64B5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Net</w:t>
            </w:r>
          </w:p>
        </w:tc>
      </w:tr>
      <w:tr w:rsidR="00883213" w:rsidRPr="00A56EEA" w:rsidTr="00196D62">
        <w:trPr>
          <w:trHeight w:val="495"/>
          <w:jc w:val="center"/>
        </w:trPr>
        <w:tc>
          <w:tcPr>
            <w:tcW w:w="2041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XI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                         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XI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XI </w:t>
            </w:r>
            <w:r w:rsidRPr="00A56EEA">
              <w:rPr>
                <w:rFonts w:ascii="Arial" w:hAnsi="Arial" w:cs="Arial"/>
                <w:color w:val="000000"/>
                <w:sz w:val="4"/>
                <w:szCs w:val="16"/>
                <w:u w:val="single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XI 2018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I–XI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I–XI 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 XI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  <w:u w:val="single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X </w:t>
            </w:r>
            <w:r w:rsidRPr="00A56EEA">
              <w:rPr>
                <w:rFonts w:ascii="Arial" w:hAnsi="Arial" w:cs="Arial"/>
                <w:color w:val="000000"/>
                <w:sz w:val="2"/>
                <w:szCs w:val="16"/>
              </w:rPr>
              <w:t xml:space="preserve"> 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XI 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2018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XI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XI 2018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I–XI 2019</w:t>
            </w:r>
          </w:p>
          <w:p w:rsidR="00883213" w:rsidRPr="00A56EEA" w:rsidRDefault="00883213" w:rsidP="00883213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56EEA">
              <w:rPr>
                <w:rFonts w:ascii="Arial" w:hAnsi="Arial" w:cs="Arial"/>
                <w:color w:val="000000"/>
                <w:sz w:val="16"/>
                <w:szCs w:val="16"/>
              </w:rPr>
              <w:t>I–XI 2018</w:t>
            </w:r>
          </w:p>
        </w:tc>
      </w:tr>
      <w:tr w:rsidR="00883213" w:rsidRPr="00A56EEA" w:rsidTr="00196D62">
        <w:trPr>
          <w:trHeight w:val="234"/>
          <w:jc w:val="center"/>
        </w:trPr>
        <w:tc>
          <w:tcPr>
            <w:tcW w:w="204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883213" w:rsidRPr="00A56EEA" w:rsidRDefault="00883213" w:rsidP="008832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213" w:rsidRPr="00A56EEA" w:rsidTr="00196D62">
        <w:trPr>
          <w:trHeight w:val="234"/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113,5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111,3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113,5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889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</w:tr>
      <w:tr w:rsidR="00883213" w:rsidRPr="00A56EEA" w:rsidTr="00196D62">
        <w:trPr>
          <w:trHeight w:val="234"/>
          <w:jc w:val="center"/>
        </w:trPr>
        <w:tc>
          <w:tcPr>
            <w:tcW w:w="2041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A56EEA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  <w:tc>
          <w:tcPr>
            <w:tcW w:w="933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889" w:type="dxa"/>
            <w:vAlign w:val="center"/>
          </w:tcPr>
          <w:p w:rsidR="00883213" w:rsidRPr="00A56EEA" w:rsidRDefault="00883213" w:rsidP="00883213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EEA">
              <w:rPr>
                <w:rFonts w:ascii="Arial" w:hAnsi="Arial" w:cs="Arial"/>
                <w:sz w:val="16"/>
                <w:szCs w:val="16"/>
              </w:rPr>
              <w:t>108,2</w:t>
            </w:r>
          </w:p>
        </w:tc>
      </w:tr>
    </w:tbl>
    <w:p w:rsidR="00800B7F" w:rsidRPr="00A56EEA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A56EEA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A56EEA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A56EEA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A56EEA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A56EEA">
        <w:rPr>
          <w:rFonts w:ascii="Arial" w:hAnsi="Arial" w:cs="Arial"/>
          <w:sz w:val="20"/>
          <w:szCs w:val="20"/>
        </w:rPr>
        <w:t>(form PPP-PD).</w:t>
      </w:r>
      <w:r w:rsidRPr="00A56EEA">
        <w:rPr>
          <w:rFonts w:ascii="Arial" w:hAnsi="Arial" w:cs="Arial"/>
          <w:sz w:val="20"/>
          <w:szCs w:val="20"/>
        </w:rPr>
        <w:t xml:space="preserve"> Average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A56EEA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Coverage</w:t>
      </w:r>
    </w:p>
    <w:p w:rsidR="009171F0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A56EEA">
        <w:rPr>
          <w:rFonts w:ascii="Arial" w:hAnsi="Arial" w:cs="Arial"/>
          <w:sz w:val="20"/>
          <w:szCs w:val="20"/>
        </w:rPr>
        <w:t>o</w:t>
      </w:r>
      <w:r w:rsidR="008067B8" w:rsidRPr="00A56EEA">
        <w:rPr>
          <w:rFonts w:ascii="Arial" w:hAnsi="Arial" w:cs="Arial"/>
          <w:sz w:val="20"/>
          <w:szCs w:val="20"/>
        </w:rPr>
        <w:t>n</w:t>
      </w:r>
      <w:r w:rsidR="00746BC8" w:rsidRPr="00A56EEA">
        <w:rPr>
          <w:rFonts w:ascii="Arial" w:hAnsi="Arial" w:cs="Arial"/>
          <w:sz w:val="20"/>
          <w:szCs w:val="20"/>
        </w:rPr>
        <w:t xml:space="preserve"> tax report PPP-PD</w:t>
      </w:r>
      <w:r w:rsidRPr="00A56EEA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A56EEA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A56EEA">
        <w:rPr>
          <w:rFonts w:ascii="Arial" w:hAnsi="Arial" w:cs="Arial"/>
          <w:sz w:val="20"/>
          <w:szCs w:val="20"/>
        </w:rPr>
        <w:t>for which employers</w:t>
      </w:r>
      <w:r w:rsidRPr="00A56EEA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A56EEA">
        <w:rPr>
          <w:rFonts w:ascii="Arial" w:hAnsi="Arial" w:cs="Arial"/>
          <w:sz w:val="20"/>
          <w:szCs w:val="20"/>
        </w:rPr>
        <w:t xml:space="preserve">to the Tax Administration </w:t>
      </w:r>
      <w:r w:rsidRPr="00A56EEA">
        <w:rPr>
          <w:rFonts w:ascii="Arial" w:hAnsi="Arial" w:cs="Arial"/>
          <w:sz w:val="20"/>
          <w:szCs w:val="20"/>
        </w:rPr>
        <w:t xml:space="preserve">the completed </w:t>
      </w:r>
      <w:r w:rsidR="00746BC8" w:rsidRPr="00A56EEA">
        <w:rPr>
          <w:rFonts w:ascii="Arial" w:hAnsi="Arial" w:cs="Arial"/>
          <w:sz w:val="20"/>
          <w:szCs w:val="20"/>
        </w:rPr>
        <w:t xml:space="preserve">electronic </w:t>
      </w:r>
      <w:r w:rsidRPr="00A56EEA">
        <w:rPr>
          <w:rFonts w:ascii="Arial" w:hAnsi="Arial" w:cs="Arial"/>
          <w:sz w:val="20"/>
          <w:szCs w:val="20"/>
        </w:rPr>
        <w:t xml:space="preserve">form </w:t>
      </w:r>
      <w:r w:rsidR="00746BC8" w:rsidRPr="00A56EEA">
        <w:rPr>
          <w:rFonts w:ascii="Arial" w:hAnsi="Arial" w:cs="Arial"/>
          <w:sz w:val="20"/>
          <w:szCs w:val="20"/>
        </w:rPr>
        <w:t>on tax report PPP-PD</w:t>
      </w:r>
      <w:r w:rsidR="008067B8" w:rsidRPr="00A56EEA">
        <w:rPr>
          <w:rFonts w:ascii="Arial" w:hAnsi="Arial" w:cs="Arial"/>
          <w:sz w:val="20"/>
          <w:szCs w:val="20"/>
        </w:rPr>
        <w:t>, with calculated salaries and wages</w:t>
      </w:r>
      <w:r w:rsidRPr="00A56EEA">
        <w:rPr>
          <w:rFonts w:ascii="Arial" w:hAnsi="Arial" w:cs="Arial"/>
          <w:sz w:val="20"/>
          <w:szCs w:val="20"/>
        </w:rPr>
        <w:t>.</w:t>
      </w:r>
      <w:r w:rsidR="009171F0" w:rsidRPr="00A56EEA">
        <w:rPr>
          <w:rFonts w:ascii="Arial" w:hAnsi="Arial" w:cs="Arial"/>
          <w:sz w:val="20"/>
          <w:szCs w:val="20"/>
        </w:rPr>
        <w:t xml:space="preserve"> </w:t>
      </w:r>
    </w:p>
    <w:p w:rsidR="00CF11F2" w:rsidRPr="00A56EEA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b/>
          <w:sz w:val="20"/>
          <w:szCs w:val="20"/>
        </w:rPr>
        <w:t>Definition</w:t>
      </w:r>
      <w:r w:rsidR="00051EB7" w:rsidRPr="00A56EEA">
        <w:rPr>
          <w:rFonts w:ascii="Arial" w:hAnsi="Arial" w:cs="Arial"/>
          <w:b/>
          <w:sz w:val="20"/>
          <w:szCs w:val="20"/>
        </w:rPr>
        <w:t xml:space="preserve"> of</w:t>
      </w:r>
      <w:r w:rsidRPr="00A56EEA">
        <w:rPr>
          <w:rFonts w:ascii="Arial" w:hAnsi="Arial" w:cs="Arial"/>
          <w:b/>
          <w:sz w:val="20"/>
          <w:szCs w:val="20"/>
        </w:rPr>
        <w:t xml:space="preserve"> </w:t>
      </w:r>
      <w:r w:rsidR="00794BF5" w:rsidRPr="00A56EEA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A56EEA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In accordance with the Labo</w:t>
      </w:r>
      <w:r w:rsidR="003C023D" w:rsidRPr="00A56EEA">
        <w:rPr>
          <w:rFonts w:ascii="Arial" w:hAnsi="Arial" w:cs="Arial"/>
          <w:sz w:val="20"/>
          <w:szCs w:val="20"/>
        </w:rPr>
        <w:t>u</w:t>
      </w:r>
      <w:r w:rsidRPr="00A56EEA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A56EEA">
        <w:rPr>
          <w:rFonts w:ascii="Arial" w:hAnsi="Arial" w:cs="Arial"/>
          <w:sz w:val="20"/>
          <w:szCs w:val="20"/>
        </w:rPr>
        <w:t>salaries and wages</w:t>
      </w:r>
      <w:r w:rsidRPr="00A56EEA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A56EEA">
        <w:rPr>
          <w:rFonts w:ascii="Arial" w:hAnsi="Arial" w:cs="Arial"/>
          <w:sz w:val="20"/>
          <w:szCs w:val="20"/>
        </w:rPr>
        <w:t xml:space="preserve"> and</w:t>
      </w:r>
      <w:r w:rsidRPr="00A56EEA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A56EEA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 and wages</w:t>
      </w:r>
      <w:r w:rsidR="00BB7F70" w:rsidRPr="00A56EEA">
        <w:rPr>
          <w:rFonts w:ascii="Arial" w:hAnsi="Arial" w:cs="Arial"/>
          <w:sz w:val="20"/>
          <w:szCs w:val="20"/>
        </w:rPr>
        <w:t xml:space="preserve"> comprise</w:t>
      </w:r>
      <w:r w:rsidR="00B01339" w:rsidRPr="00A56EEA">
        <w:rPr>
          <w:rFonts w:ascii="Arial" w:hAnsi="Arial" w:cs="Arial"/>
          <w:sz w:val="20"/>
          <w:szCs w:val="20"/>
        </w:rPr>
        <w:t>:</w:t>
      </w:r>
    </w:p>
    <w:p w:rsidR="001E218C" w:rsidRPr="00A56EEA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Salaries</w:t>
      </w:r>
      <w:r w:rsidR="0073129C" w:rsidRPr="00A56EEA">
        <w:rPr>
          <w:rFonts w:ascii="Arial" w:hAnsi="Arial" w:cs="Arial"/>
          <w:sz w:val="20"/>
          <w:szCs w:val="20"/>
        </w:rPr>
        <w:t xml:space="preserve"> and wages</w:t>
      </w:r>
      <w:r w:rsidRPr="00A56EEA">
        <w:rPr>
          <w:rFonts w:ascii="Arial" w:hAnsi="Arial" w:cs="Arial"/>
          <w:sz w:val="20"/>
          <w:szCs w:val="20"/>
        </w:rPr>
        <w:t xml:space="preserve"> of employees </w:t>
      </w:r>
      <w:r w:rsidR="00760B2A" w:rsidRPr="00A56EEA">
        <w:rPr>
          <w:rFonts w:ascii="Arial" w:hAnsi="Arial" w:cs="Arial"/>
          <w:sz w:val="20"/>
          <w:szCs w:val="20"/>
        </w:rPr>
        <w:t>with indefinite or fixed-term employment contract</w:t>
      </w:r>
      <w:r w:rsidRPr="00A56EEA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A56EEA">
        <w:rPr>
          <w:rFonts w:ascii="Arial" w:hAnsi="Arial" w:cs="Arial"/>
          <w:sz w:val="20"/>
          <w:szCs w:val="20"/>
        </w:rPr>
        <w:t>vacation</w:t>
      </w:r>
      <w:r w:rsidRPr="00A56EEA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A56EEA">
        <w:rPr>
          <w:rFonts w:ascii="Arial" w:hAnsi="Arial" w:cs="Arial"/>
          <w:sz w:val="20"/>
          <w:szCs w:val="20"/>
        </w:rPr>
        <w:t>,</w:t>
      </w:r>
      <w:r w:rsidRPr="00A56EEA">
        <w:rPr>
          <w:rFonts w:ascii="Arial" w:hAnsi="Arial" w:cs="Arial"/>
          <w:sz w:val="20"/>
          <w:szCs w:val="20"/>
        </w:rPr>
        <w:t xml:space="preserve"> holiday re</w:t>
      </w:r>
      <w:r w:rsidR="00A968B7" w:rsidRPr="00A56EEA">
        <w:rPr>
          <w:rFonts w:ascii="Arial" w:hAnsi="Arial" w:cs="Arial"/>
          <w:sz w:val="20"/>
          <w:szCs w:val="20"/>
        </w:rPr>
        <w:t>fund</w:t>
      </w:r>
      <w:r w:rsidRPr="00A56EEA">
        <w:rPr>
          <w:rFonts w:ascii="Arial" w:hAnsi="Arial" w:cs="Arial"/>
          <w:sz w:val="20"/>
          <w:szCs w:val="20"/>
        </w:rPr>
        <w:t xml:space="preserve">, </w:t>
      </w:r>
      <w:r w:rsidR="00A968B7" w:rsidRPr="00A56EEA">
        <w:rPr>
          <w:rFonts w:ascii="Arial" w:hAnsi="Arial" w:cs="Arial"/>
          <w:sz w:val="20"/>
          <w:szCs w:val="20"/>
        </w:rPr>
        <w:t>awards, bonuses etc.</w:t>
      </w:r>
      <w:r w:rsidRPr="00A56EEA">
        <w:rPr>
          <w:rFonts w:ascii="Arial" w:hAnsi="Arial" w:cs="Arial"/>
          <w:sz w:val="20"/>
          <w:szCs w:val="20"/>
        </w:rPr>
        <w:t>;</w:t>
      </w:r>
    </w:p>
    <w:p w:rsidR="001E218C" w:rsidRPr="00A56EEA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A56EEA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A56EEA">
        <w:rPr>
          <w:rFonts w:ascii="Arial" w:hAnsi="Arial" w:cs="Arial"/>
          <w:sz w:val="20"/>
          <w:szCs w:val="20"/>
        </w:rPr>
        <w:t>(based on</w:t>
      </w:r>
      <w:r w:rsidRPr="00A56EEA">
        <w:rPr>
          <w:rFonts w:ascii="Arial" w:hAnsi="Arial" w:cs="Arial"/>
          <w:sz w:val="20"/>
          <w:szCs w:val="20"/>
        </w:rPr>
        <w:t xml:space="preserve"> contract </w:t>
      </w:r>
      <w:r w:rsidR="00DC3117" w:rsidRPr="00A56EEA">
        <w:rPr>
          <w:rFonts w:ascii="Arial" w:hAnsi="Arial" w:cs="Arial"/>
          <w:sz w:val="20"/>
          <w:szCs w:val="20"/>
        </w:rPr>
        <w:t>f</w:t>
      </w:r>
      <w:r w:rsidR="00867CD9" w:rsidRPr="00A56EEA">
        <w:rPr>
          <w:rFonts w:ascii="Arial" w:hAnsi="Arial" w:cs="Arial"/>
          <w:sz w:val="20"/>
          <w:szCs w:val="20"/>
        </w:rPr>
        <w:t>or</w:t>
      </w:r>
      <w:r w:rsidRPr="00A56EEA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A56EEA">
        <w:rPr>
          <w:rFonts w:ascii="Arial" w:hAnsi="Arial" w:cs="Arial"/>
          <w:sz w:val="20"/>
          <w:szCs w:val="20"/>
        </w:rPr>
        <w:t xml:space="preserve"> </w:t>
      </w:r>
    </w:p>
    <w:p w:rsidR="001E218C" w:rsidRPr="00A56EEA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 xml:space="preserve">Salaries </w:t>
      </w:r>
      <w:r w:rsidR="0073129C" w:rsidRPr="00A56EEA">
        <w:rPr>
          <w:rFonts w:ascii="Arial" w:hAnsi="Arial" w:cs="Arial"/>
          <w:sz w:val="20"/>
          <w:szCs w:val="20"/>
        </w:rPr>
        <w:t xml:space="preserve">and wages </w:t>
      </w:r>
      <w:r w:rsidRPr="00A56EEA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A56EEA">
        <w:rPr>
          <w:rFonts w:ascii="Arial" w:hAnsi="Arial" w:cs="Arial"/>
          <w:sz w:val="20"/>
          <w:szCs w:val="20"/>
        </w:rPr>
        <w:t xml:space="preserve">payments </w:t>
      </w:r>
      <w:r w:rsidRPr="00A56EEA">
        <w:rPr>
          <w:rFonts w:ascii="Arial" w:hAnsi="Arial" w:cs="Arial"/>
          <w:sz w:val="20"/>
          <w:szCs w:val="20"/>
        </w:rPr>
        <w:t>under the</w:t>
      </w:r>
      <w:r w:rsidR="00846A6C" w:rsidRPr="00A56EEA">
        <w:rPr>
          <w:rFonts w:ascii="Arial" w:hAnsi="Arial" w:cs="Arial"/>
          <w:sz w:val="20"/>
          <w:szCs w:val="20"/>
        </w:rPr>
        <w:t xml:space="preserve"> service</w:t>
      </w:r>
      <w:r w:rsidRPr="00A56EEA">
        <w:rPr>
          <w:rFonts w:ascii="Arial" w:hAnsi="Arial" w:cs="Arial"/>
          <w:sz w:val="20"/>
          <w:szCs w:val="20"/>
        </w:rPr>
        <w:t xml:space="preserve"> contract, sick</w:t>
      </w:r>
      <w:r w:rsidR="00975AC5" w:rsidRPr="00A56EEA">
        <w:rPr>
          <w:rFonts w:ascii="Arial" w:hAnsi="Arial" w:cs="Arial"/>
          <w:sz w:val="20"/>
          <w:szCs w:val="20"/>
        </w:rPr>
        <w:t>-</w:t>
      </w:r>
      <w:r w:rsidRPr="00A56EEA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A56EEA">
        <w:rPr>
          <w:rFonts w:ascii="Arial" w:hAnsi="Arial" w:cs="Arial"/>
          <w:sz w:val="20"/>
          <w:szCs w:val="20"/>
        </w:rPr>
        <w:t xml:space="preserve">public transport </w:t>
      </w:r>
      <w:r w:rsidRPr="00A56EEA">
        <w:rPr>
          <w:rFonts w:ascii="Arial" w:hAnsi="Arial" w:cs="Arial"/>
          <w:sz w:val="20"/>
          <w:szCs w:val="20"/>
        </w:rPr>
        <w:t>costs for com</w:t>
      </w:r>
      <w:r w:rsidR="00975AC5" w:rsidRPr="00A56EEA">
        <w:rPr>
          <w:rFonts w:ascii="Arial" w:hAnsi="Arial" w:cs="Arial"/>
          <w:sz w:val="20"/>
          <w:szCs w:val="20"/>
        </w:rPr>
        <w:t>muting</w:t>
      </w:r>
      <w:r w:rsidRPr="00A56EEA">
        <w:rPr>
          <w:rFonts w:ascii="Arial" w:hAnsi="Arial" w:cs="Arial"/>
          <w:sz w:val="20"/>
          <w:szCs w:val="20"/>
        </w:rPr>
        <w:t xml:space="preserve"> to </w:t>
      </w:r>
      <w:r w:rsidR="00975AC5" w:rsidRPr="00A56EEA">
        <w:rPr>
          <w:rFonts w:ascii="Arial" w:hAnsi="Arial" w:cs="Arial"/>
          <w:sz w:val="20"/>
          <w:szCs w:val="20"/>
        </w:rPr>
        <w:t xml:space="preserve">and from </w:t>
      </w:r>
      <w:r w:rsidRPr="00A56EEA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A56EEA">
        <w:rPr>
          <w:rFonts w:ascii="Arial" w:hAnsi="Arial" w:cs="Arial"/>
          <w:sz w:val="20"/>
          <w:szCs w:val="20"/>
        </w:rPr>
        <w:t>gratuity</w:t>
      </w:r>
      <w:r w:rsidRPr="00A56EEA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A56EEA">
        <w:rPr>
          <w:rFonts w:ascii="Arial" w:hAnsi="Arial" w:cs="Arial"/>
          <w:sz w:val="20"/>
          <w:szCs w:val="20"/>
        </w:rPr>
        <w:t xml:space="preserve">was </w:t>
      </w:r>
      <w:r w:rsidRPr="00A56EEA">
        <w:rPr>
          <w:rFonts w:ascii="Arial" w:hAnsi="Arial" w:cs="Arial"/>
          <w:sz w:val="20"/>
          <w:szCs w:val="20"/>
        </w:rPr>
        <w:t xml:space="preserve">terminated, </w:t>
      </w:r>
      <w:r w:rsidR="00975AC5" w:rsidRPr="00A56EEA">
        <w:rPr>
          <w:rFonts w:ascii="Arial" w:hAnsi="Arial" w:cs="Arial"/>
          <w:sz w:val="20"/>
          <w:szCs w:val="20"/>
        </w:rPr>
        <w:t>one-time</w:t>
      </w:r>
      <w:r w:rsidRPr="00A56EEA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A56EEA">
        <w:rPr>
          <w:rFonts w:ascii="Arial" w:hAnsi="Arial" w:cs="Arial"/>
          <w:sz w:val="20"/>
          <w:szCs w:val="20"/>
        </w:rPr>
        <w:t>of</w:t>
      </w:r>
      <w:r w:rsidRPr="00A56EEA">
        <w:rPr>
          <w:rFonts w:ascii="Arial" w:hAnsi="Arial" w:cs="Arial"/>
          <w:sz w:val="20"/>
          <w:szCs w:val="20"/>
        </w:rPr>
        <w:t xml:space="preserve"> funeral </w:t>
      </w:r>
      <w:r w:rsidR="00975AC5" w:rsidRPr="00A56EEA">
        <w:rPr>
          <w:rFonts w:ascii="Arial" w:hAnsi="Arial" w:cs="Arial"/>
          <w:sz w:val="20"/>
          <w:szCs w:val="20"/>
        </w:rPr>
        <w:t>expenses</w:t>
      </w:r>
      <w:r w:rsidRPr="00A56EEA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A56EEA">
        <w:rPr>
          <w:rFonts w:ascii="Arial" w:hAnsi="Arial" w:cs="Arial"/>
          <w:sz w:val="20"/>
          <w:szCs w:val="20"/>
        </w:rPr>
        <w:t>occupational disease or</w:t>
      </w:r>
      <w:r w:rsidRPr="00A56EEA">
        <w:rPr>
          <w:rFonts w:ascii="Arial" w:hAnsi="Arial" w:cs="Arial"/>
          <w:sz w:val="20"/>
          <w:szCs w:val="20"/>
        </w:rPr>
        <w:t xml:space="preserve"> injury, jubilee </w:t>
      </w:r>
      <w:r w:rsidR="00975AC5" w:rsidRPr="00A56EEA">
        <w:rPr>
          <w:rFonts w:ascii="Arial" w:hAnsi="Arial" w:cs="Arial"/>
          <w:sz w:val="20"/>
          <w:szCs w:val="20"/>
        </w:rPr>
        <w:t>prizes</w:t>
      </w:r>
      <w:r w:rsidRPr="00A56EEA">
        <w:rPr>
          <w:rFonts w:ascii="Arial" w:hAnsi="Arial" w:cs="Arial"/>
          <w:sz w:val="20"/>
          <w:szCs w:val="20"/>
        </w:rPr>
        <w:t xml:space="preserve">, solidarity </w:t>
      </w:r>
      <w:r w:rsidR="00975AC5" w:rsidRPr="00A56EEA">
        <w:rPr>
          <w:rFonts w:ascii="Arial" w:hAnsi="Arial" w:cs="Arial"/>
          <w:sz w:val="20"/>
          <w:szCs w:val="20"/>
        </w:rPr>
        <w:t>aid</w:t>
      </w:r>
      <w:r w:rsidRPr="00A56EEA">
        <w:rPr>
          <w:rFonts w:ascii="Arial" w:hAnsi="Arial" w:cs="Arial"/>
          <w:sz w:val="20"/>
          <w:szCs w:val="20"/>
        </w:rPr>
        <w:t xml:space="preserve">, as well as other </w:t>
      </w:r>
      <w:r w:rsidR="00CD56D1" w:rsidRPr="00A56EEA">
        <w:rPr>
          <w:rFonts w:ascii="Arial" w:hAnsi="Arial" w:cs="Arial"/>
          <w:sz w:val="20"/>
          <w:szCs w:val="20"/>
        </w:rPr>
        <w:t xml:space="preserve">revenues </w:t>
      </w:r>
      <w:r w:rsidRPr="00A56EEA">
        <w:rPr>
          <w:rFonts w:ascii="Arial" w:hAnsi="Arial" w:cs="Arial"/>
          <w:sz w:val="20"/>
          <w:szCs w:val="20"/>
        </w:rPr>
        <w:t>not subject to tax</w:t>
      </w:r>
      <w:r w:rsidR="00CD56D1" w:rsidRPr="00A56EEA">
        <w:rPr>
          <w:rFonts w:ascii="Arial" w:hAnsi="Arial" w:cs="Arial"/>
          <w:sz w:val="20"/>
          <w:szCs w:val="20"/>
        </w:rPr>
        <w:t>es</w:t>
      </w:r>
      <w:r w:rsidRPr="00A56EEA">
        <w:rPr>
          <w:rFonts w:ascii="Arial" w:hAnsi="Arial" w:cs="Arial"/>
          <w:sz w:val="20"/>
          <w:szCs w:val="20"/>
        </w:rPr>
        <w:t xml:space="preserve"> and contributions </w:t>
      </w:r>
      <w:r w:rsidR="00CD56D1" w:rsidRPr="00A56EEA">
        <w:rPr>
          <w:rFonts w:ascii="Arial" w:hAnsi="Arial" w:cs="Arial"/>
          <w:sz w:val="20"/>
          <w:szCs w:val="20"/>
        </w:rPr>
        <w:t>payment</w:t>
      </w:r>
      <w:r w:rsidRPr="00A56EEA">
        <w:rPr>
          <w:rFonts w:ascii="Arial" w:hAnsi="Arial" w:cs="Arial"/>
          <w:sz w:val="20"/>
          <w:szCs w:val="20"/>
        </w:rPr>
        <w:t>.</w:t>
      </w:r>
    </w:p>
    <w:p w:rsidR="00535679" w:rsidRPr="00A56EEA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A56EEA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A56EEA">
        <w:rPr>
          <w:rFonts w:ascii="Arial" w:hAnsi="Arial" w:cs="Arial"/>
          <w:sz w:val="20"/>
          <w:szCs w:val="20"/>
        </w:rPr>
        <w:t>j</w:t>
      </w:r>
      <w:r w:rsidRPr="00A56EEA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A56EEA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A56EEA">
        <w:rPr>
          <w:rFonts w:ascii="Arial" w:hAnsi="Arial" w:cs="Arial"/>
          <w:sz w:val="20"/>
          <w:szCs w:val="20"/>
        </w:rPr>
        <w:cr/>
      </w:r>
    </w:p>
    <w:p w:rsidR="009171F0" w:rsidRPr="00A56EEA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A56EEA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A56EEA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A56EEA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A56EE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C30ED3" w:rsidRDefault="00C30ED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C30ED3" w:rsidRDefault="00C30ED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C30ED3" w:rsidRDefault="00C30ED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C30ED3" w:rsidRPr="00A56EEA" w:rsidRDefault="00C30ED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  <w:bookmarkStart w:id="0" w:name="_GoBack"/>
      <w:bookmarkEnd w:id="0"/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A56EEA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A56EEA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A56EE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A56EE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A56EEA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A56EEA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A56EEA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A56EEA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A56EEA">
        <w:rPr>
          <w:rFonts w:ascii="Arial" w:hAnsi="Arial" w:cs="Arial"/>
          <w:sz w:val="18"/>
          <w:szCs w:val="18"/>
        </w:rPr>
        <w:t>376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A56EEA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Pr="00A56EEA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A56EEA">
        <w:rPr>
          <w:rFonts w:ascii="Arial" w:hAnsi="Arial" w:cs="Arial"/>
          <w:sz w:val="18"/>
          <w:szCs w:val="18"/>
        </w:rPr>
        <w:t>•</w:t>
      </w:r>
      <w:r w:rsidR="00760B2A" w:rsidRPr="00A56EEA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A56EEA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A56EEA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A56EEA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A56EEA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A56EEA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FF" w:rsidRDefault="000065FF">
      <w:r>
        <w:separator/>
      </w:r>
    </w:p>
  </w:endnote>
  <w:endnote w:type="continuationSeparator" w:id="0">
    <w:p w:rsidR="000065FF" w:rsidRDefault="0000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C30ED3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50107F">
      <w:rPr>
        <w:rFonts w:ascii="Arial" w:hAnsi="Arial" w:cs="Arial"/>
        <w:sz w:val="16"/>
        <w:szCs w:val="16"/>
        <w:lang w:val="en-US"/>
      </w:rPr>
      <w:t>012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50107F">
      <w:rPr>
        <w:rFonts w:ascii="Arial" w:hAnsi="Arial" w:cs="Arial"/>
        <w:sz w:val="16"/>
        <w:szCs w:val="16"/>
        <w:lang w:val="sr-Latn-RS"/>
      </w:rPr>
      <w:t>240120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34576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FF" w:rsidRPr="00A926A8" w:rsidRDefault="000065FF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0065FF" w:rsidRDefault="000065FF">
      <w:r>
        <w:continuationSeparator/>
      </w:r>
    </w:p>
  </w:footnote>
  <w:footnote w:type="continuationNotice" w:id="1">
    <w:p w:rsidR="000065FF" w:rsidRDefault="00006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7B"/>
    <w:rsid w:val="00305AA3"/>
    <w:rsid w:val="00305CDA"/>
    <w:rsid w:val="003074BA"/>
    <w:rsid w:val="00307E53"/>
    <w:rsid w:val="00313923"/>
    <w:rsid w:val="00313E43"/>
    <w:rsid w:val="003173CE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704"/>
    <w:rsid w:val="00463C14"/>
    <w:rsid w:val="00464A6E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1F6"/>
    <w:rsid w:val="00B4468A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17E53"/>
    <w:rsid w:val="00C2041A"/>
    <w:rsid w:val="00C219F4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05EB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C1367"/>
  <w15:docId w15:val="{22213CC2-96B6-4CA1-987B-08A59593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A46-4A97-4468-801C-B2678CE2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5207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121</cp:revision>
  <cp:lastPrinted>2019-08-26T05:52:00Z</cp:lastPrinted>
  <dcterms:created xsi:type="dcterms:W3CDTF">2018-07-23T09:26:00Z</dcterms:created>
  <dcterms:modified xsi:type="dcterms:W3CDTF">2020-01-17T10:52:00Z</dcterms:modified>
</cp:coreProperties>
</file>