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27"/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5222"/>
        <w:gridCol w:w="3324"/>
      </w:tblGrid>
      <w:tr w:rsidR="008F1FDB" w:rsidRPr="005B0B7E" w:rsidTr="006A1222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8F1FDB" w:rsidRPr="005B0B7E" w:rsidRDefault="008F1FDB" w:rsidP="006A1222">
            <w:pPr>
              <w:jc w:val="center"/>
              <w:rPr>
                <w:rFonts w:cs="Arial"/>
                <w:b/>
                <w:bCs/>
                <w:lang w:val="sr-Cyrl-CS"/>
              </w:rPr>
            </w:pPr>
            <w:r w:rsidRPr="005B0B7E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6D6AC16" wp14:editId="5494A580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4" name="Picture 1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B7E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59E13B6" wp14:editId="7C6722C0">
                      <wp:extent cx="903605" cy="223520"/>
                      <wp:effectExtent l="0" t="0" r="0" b="5080"/>
                      <wp:docPr id="13" name="Rectangl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360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2D4893" id="Rectangle 13" o:spid="_x0000_s1026" style="width:71.1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8F1FDB" w:rsidRPr="005B0B7E" w:rsidRDefault="008F1FDB" w:rsidP="006A1222">
            <w:pPr>
              <w:rPr>
                <w:rFonts w:cs="Arial"/>
                <w:lang w:val="sr-Cyrl-CS"/>
              </w:rPr>
            </w:pPr>
            <w:r w:rsidRPr="005B0B7E">
              <w:rPr>
                <w:rFonts w:cs="Arial"/>
                <w:lang w:val="sr-Cyrl-CS"/>
              </w:rPr>
              <w:t>Република Србија</w:t>
            </w:r>
          </w:p>
          <w:p w:rsidR="008F1FDB" w:rsidRPr="005B0B7E" w:rsidRDefault="008F1FDB" w:rsidP="006A1222">
            <w:pPr>
              <w:rPr>
                <w:rFonts w:cs="Arial"/>
                <w:lang w:val="sr-Cyrl-CS"/>
              </w:rPr>
            </w:pPr>
            <w:r w:rsidRPr="005B0B7E">
              <w:rPr>
                <w:rFonts w:cs="Arial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808080"/>
                <w:lang w:val="en-US"/>
              </w:rPr>
            </w:pPr>
            <w:r w:rsidRPr="005B0B7E">
              <w:rPr>
                <w:rFonts w:cs="Arial"/>
                <w:lang w:val="sr-Cyrl-CS"/>
              </w:rPr>
              <w:t>ISSN 0353-9555</w:t>
            </w:r>
          </w:p>
        </w:tc>
      </w:tr>
      <w:tr w:rsidR="008F1FDB" w:rsidRPr="005B0B7E" w:rsidTr="006A1222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F1FDB" w:rsidRPr="005B0B7E" w:rsidRDefault="008F1FDB" w:rsidP="006A1222">
            <w:pPr>
              <w:rPr>
                <w:rFonts w:cs="Arial"/>
                <w:color w:val="808080"/>
                <w:lang w:val="sr-Cyrl-CS"/>
              </w:rPr>
            </w:pPr>
            <w:r w:rsidRPr="005B0B7E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808080"/>
                <w:sz w:val="12"/>
                <w:szCs w:val="24"/>
              </w:rPr>
            </w:pPr>
            <w:r w:rsidRPr="005B0B7E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РС10</w:t>
            </w:r>
          </w:p>
        </w:tc>
      </w:tr>
      <w:tr w:rsidR="008F1FDB" w:rsidRPr="005B0B7E" w:rsidTr="006A1222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DB" w:rsidRPr="005B0B7E" w:rsidRDefault="008F1FDB" w:rsidP="00785336">
            <w:pPr>
              <w:rPr>
                <w:rFonts w:cs="Arial"/>
                <w:lang w:val="en-US"/>
              </w:rPr>
            </w:pPr>
            <w:r w:rsidRPr="005B0B7E">
              <w:rPr>
                <w:rFonts w:cs="Arial"/>
                <w:lang w:val="ru-RU"/>
              </w:rPr>
              <w:t xml:space="preserve">број </w:t>
            </w:r>
            <w:r w:rsidR="00785336">
              <w:rPr>
                <w:rFonts w:cs="Arial"/>
                <w:lang w:val="en-US"/>
              </w:rPr>
              <w:t>237</w:t>
            </w:r>
            <w:r w:rsidRPr="005B0B7E">
              <w:rPr>
                <w:rFonts w:cs="Arial"/>
                <w:lang w:val="ru-RU"/>
              </w:rPr>
              <w:t xml:space="preserve"> - год. </w:t>
            </w:r>
            <w:r w:rsidRPr="005B0B7E">
              <w:rPr>
                <w:rFonts w:cs="Arial"/>
                <w:lang w:val="en-US"/>
              </w:rPr>
              <w:t>LX</w:t>
            </w:r>
            <w:r w:rsidR="004E5A57">
              <w:rPr>
                <w:rFonts w:cs="Arial"/>
                <w:lang w:val="en-US"/>
              </w:rPr>
              <w:t>X</w:t>
            </w:r>
            <w:r w:rsidRPr="005B0B7E">
              <w:rPr>
                <w:rFonts w:cs="Arial"/>
                <w:lang w:val="sr-Cyrl-CS"/>
              </w:rPr>
              <w:t>,</w:t>
            </w:r>
            <w:r w:rsidRPr="005B0B7E">
              <w:rPr>
                <w:rFonts w:cs="Arial"/>
                <w:lang w:val="en-US"/>
              </w:rPr>
              <w:t xml:space="preserve"> </w:t>
            </w:r>
            <w:r w:rsidR="00835A07">
              <w:rPr>
                <w:rFonts w:cs="Arial"/>
                <w:lang w:val="en-US"/>
              </w:rPr>
              <w:t>31</w:t>
            </w:r>
            <w:r w:rsidRPr="005B0B7E">
              <w:rPr>
                <w:rFonts w:cs="Arial"/>
              </w:rPr>
              <w:t>.</w:t>
            </w:r>
            <w:r w:rsidR="00386B7E">
              <w:rPr>
                <w:rFonts w:cs="Arial"/>
                <w:lang w:val="en-US"/>
              </w:rPr>
              <w:t>0</w:t>
            </w:r>
            <w:r w:rsidR="00835A07">
              <w:rPr>
                <w:rFonts w:cs="Arial"/>
                <w:lang w:val="en-US"/>
              </w:rPr>
              <w:t>8</w:t>
            </w:r>
            <w:r w:rsidRPr="005B0B7E">
              <w:rPr>
                <w:rFonts w:cs="Arial"/>
                <w:lang w:val="en-US"/>
              </w:rPr>
              <w:t>.</w:t>
            </w:r>
            <w:r w:rsidRPr="005B0B7E">
              <w:rPr>
                <w:rFonts w:cs="Arial"/>
                <w:lang w:val="sr-Cyrl-CS"/>
              </w:rPr>
              <w:t>20</w:t>
            </w:r>
            <w:r w:rsidR="00C30A92">
              <w:rPr>
                <w:rFonts w:cs="Arial"/>
                <w:lang w:val="en-US"/>
              </w:rPr>
              <w:t>20</w:t>
            </w:r>
            <w:r w:rsidRPr="005B0B7E">
              <w:rPr>
                <w:rFonts w:cs="Arial"/>
                <w:lang w:val="en-U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FF0000"/>
                <w:sz w:val="48"/>
                <w:szCs w:val="48"/>
                <w:lang w:val="en-US"/>
              </w:rPr>
            </w:pPr>
          </w:p>
        </w:tc>
      </w:tr>
      <w:tr w:rsidR="008F1FDB" w:rsidRPr="005B0B7E" w:rsidTr="006A1222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8F1FDB" w:rsidRPr="005B0B7E" w:rsidRDefault="008F1FDB" w:rsidP="0027672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B0B7E">
              <w:rPr>
                <w:rFonts w:cs="Arial"/>
                <w:b/>
                <w:bCs/>
                <w:noProof/>
                <w:sz w:val="24"/>
                <w:szCs w:val="24"/>
                <w:lang w:val="ru-RU"/>
              </w:rPr>
              <w:t>Анкета о радној снази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8F1FDB" w:rsidRPr="005B0B7E" w:rsidRDefault="008F1FDB" w:rsidP="00785336">
            <w:pPr>
              <w:jc w:val="right"/>
              <w:rPr>
                <w:rFonts w:cs="Arial"/>
                <w:b/>
                <w:lang w:val="en-US"/>
              </w:rPr>
            </w:pPr>
            <w:r w:rsidRPr="005B0B7E">
              <w:rPr>
                <w:rFonts w:cs="Arial"/>
                <w:lang w:val="sr-Cyrl-CS"/>
              </w:rPr>
              <w:t>СРБ</w:t>
            </w:r>
            <w:r w:rsidR="00785336">
              <w:rPr>
                <w:rFonts w:cs="Arial"/>
                <w:lang w:val="en-US"/>
              </w:rPr>
              <w:t>237</w:t>
            </w:r>
            <w:r w:rsidRPr="005B0B7E">
              <w:rPr>
                <w:rFonts w:cs="Arial"/>
                <w:lang w:val="sr-Cyrl-CS"/>
              </w:rPr>
              <w:t xml:space="preserve"> РС10 </w:t>
            </w:r>
            <w:r w:rsidR="00835A07">
              <w:rPr>
                <w:rFonts w:cs="Arial"/>
                <w:lang w:val="en-US"/>
              </w:rPr>
              <w:t>31</w:t>
            </w:r>
            <w:r w:rsidR="00386B7E">
              <w:rPr>
                <w:rFonts w:cs="Arial"/>
                <w:lang w:val="en-US"/>
              </w:rPr>
              <w:t>0</w:t>
            </w:r>
            <w:r w:rsidR="00835A07">
              <w:rPr>
                <w:rFonts w:cs="Arial"/>
                <w:lang w:val="en-US"/>
              </w:rPr>
              <w:t>8</w:t>
            </w:r>
            <w:r w:rsidR="00C30A92">
              <w:rPr>
                <w:rFonts w:cs="Arial"/>
                <w:lang w:val="en-US"/>
              </w:rPr>
              <w:t>20</w:t>
            </w:r>
          </w:p>
        </w:tc>
      </w:tr>
    </w:tbl>
    <w:p w:rsidR="00630B46" w:rsidRDefault="00630B46" w:rsidP="00785336">
      <w:pPr>
        <w:spacing w:before="480" w:after="360"/>
        <w:jc w:val="center"/>
        <w:rPr>
          <w:rFonts w:cs="Arial"/>
          <w:b/>
          <w:bCs/>
          <w:sz w:val="24"/>
          <w:szCs w:val="24"/>
        </w:rPr>
      </w:pPr>
      <w:r w:rsidRPr="005B0B7E">
        <w:rPr>
          <w:rFonts w:cs="Arial"/>
          <w:b/>
          <w:bCs/>
          <w:sz w:val="24"/>
          <w:szCs w:val="24"/>
          <w:lang w:val="sr-Cyrl-CS"/>
        </w:rPr>
        <w:t xml:space="preserve">Анкета о радној снази, </w:t>
      </w:r>
      <w:r w:rsidR="00835A07">
        <w:rPr>
          <w:rFonts w:cs="Arial"/>
          <w:b/>
          <w:bCs/>
          <w:sz w:val="24"/>
          <w:szCs w:val="24"/>
          <w:lang w:val="sr-Cyrl-CS"/>
        </w:rPr>
        <w:t>II</w:t>
      </w:r>
      <w:r>
        <w:rPr>
          <w:rFonts w:cs="Arial"/>
          <w:b/>
          <w:bCs/>
          <w:sz w:val="24"/>
          <w:szCs w:val="24"/>
          <w:lang w:val="sr-Cyrl-CS"/>
        </w:rPr>
        <w:t xml:space="preserve"> квартал 20</w:t>
      </w:r>
      <w:r w:rsidR="00386B7E" w:rsidRPr="00BD6B86">
        <w:rPr>
          <w:rFonts w:cs="Arial"/>
          <w:b/>
          <w:bCs/>
          <w:sz w:val="24"/>
          <w:szCs w:val="24"/>
        </w:rPr>
        <w:t>20</w:t>
      </w:r>
      <w:r w:rsidRPr="005B0B7E">
        <w:rPr>
          <w:rFonts w:cs="Arial"/>
          <w:b/>
          <w:bCs/>
          <w:sz w:val="24"/>
          <w:szCs w:val="24"/>
        </w:rPr>
        <w:t>.</w:t>
      </w:r>
    </w:p>
    <w:p w:rsidR="00590895" w:rsidRPr="0037158A" w:rsidRDefault="001D2996" w:rsidP="0037158A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A825E6">
        <w:rPr>
          <w:rFonts w:ascii="Arial" w:eastAsia="Times New Roman" w:hAnsi="Arial" w:cs="Arial"/>
          <w:lang w:val="sr-Cyrl-RS"/>
        </w:rPr>
        <w:t xml:space="preserve">У </w:t>
      </w:r>
      <w:r w:rsidR="00A825E6" w:rsidRPr="00A825E6">
        <w:rPr>
          <w:rFonts w:ascii="Arial" w:eastAsia="Times New Roman" w:hAnsi="Arial" w:cs="Arial"/>
          <w:lang w:val="sr-Cyrl-RS"/>
        </w:rPr>
        <w:t>другом кварталу 2020</w:t>
      </w:r>
      <w:r w:rsidRPr="00A825E6">
        <w:rPr>
          <w:rFonts w:ascii="Arial" w:eastAsia="Times New Roman" w:hAnsi="Arial" w:cs="Arial"/>
          <w:lang w:val="sr-Cyrl-RS"/>
        </w:rPr>
        <w:t>. године број запослених износио је 2 </w:t>
      </w:r>
      <w:r w:rsidR="00A825E6" w:rsidRPr="00A825E6">
        <w:rPr>
          <w:rFonts w:ascii="Arial" w:eastAsia="Times New Roman" w:hAnsi="Arial" w:cs="Arial"/>
          <w:lang w:val="sr-Cyrl-RS"/>
        </w:rPr>
        <w:t>844</w:t>
      </w:r>
      <w:r w:rsidRPr="00A825E6">
        <w:rPr>
          <w:rFonts w:ascii="Arial" w:eastAsia="Times New Roman" w:hAnsi="Arial" w:cs="Arial"/>
          <w:lang w:val="sr-Cyrl-RS"/>
        </w:rPr>
        <w:t xml:space="preserve"> 200, а број незапослених </w:t>
      </w:r>
      <w:r w:rsidR="00A825E6" w:rsidRPr="00A825E6">
        <w:rPr>
          <w:rFonts w:ascii="Arial" w:eastAsia="Times New Roman" w:hAnsi="Arial" w:cs="Arial"/>
          <w:lang w:val="sr-Cyrl-RS"/>
        </w:rPr>
        <w:t>222 9</w:t>
      </w:r>
      <w:r w:rsidRPr="00A825E6">
        <w:rPr>
          <w:rFonts w:ascii="Arial" w:eastAsia="Times New Roman" w:hAnsi="Arial" w:cs="Arial"/>
          <w:lang w:val="sr-Cyrl-RS"/>
        </w:rPr>
        <w:t>00. Стопа запос</w:t>
      </w:r>
      <w:r w:rsidR="00A825E6" w:rsidRPr="00A825E6">
        <w:rPr>
          <w:rFonts w:ascii="Arial" w:eastAsia="Times New Roman" w:hAnsi="Arial" w:cs="Arial"/>
          <w:lang w:val="sr-Cyrl-RS"/>
        </w:rPr>
        <w:t xml:space="preserve">лености за </w:t>
      </w:r>
      <w:r w:rsidR="005054C1">
        <w:rPr>
          <w:rFonts w:ascii="Arial" w:eastAsia="Times New Roman" w:hAnsi="Arial" w:cs="Arial"/>
          <w:lang w:val="sr-Cyrl-RS"/>
        </w:rPr>
        <w:t>тај</w:t>
      </w:r>
      <w:r w:rsidR="00A825E6" w:rsidRPr="00A825E6">
        <w:rPr>
          <w:rFonts w:ascii="Arial" w:eastAsia="Times New Roman" w:hAnsi="Arial" w:cs="Arial"/>
          <w:lang w:val="sr-Cyrl-RS"/>
        </w:rPr>
        <w:t xml:space="preserve"> период износи 48,2%</w:t>
      </w:r>
      <w:r w:rsidR="0063698D">
        <w:rPr>
          <w:rFonts w:ascii="Arial" w:eastAsia="Times New Roman" w:hAnsi="Arial" w:cs="Arial"/>
          <w:lang w:val="sr-Cyrl-RS"/>
        </w:rPr>
        <w:t>,</w:t>
      </w:r>
      <w:r w:rsidR="00A825E6" w:rsidRPr="00A825E6">
        <w:rPr>
          <w:rFonts w:ascii="Arial" w:eastAsia="Times New Roman" w:hAnsi="Arial" w:cs="Arial"/>
          <w:lang w:val="sr-Cyrl-RS"/>
        </w:rPr>
        <w:t xml:space="preserve"> а стопа незапослености 7,3</w:t>
      </w:r>
      <w:r w:rsidRPr="00A825E6">
        <w:rPr>
          <w:rFonts w:ascii="Arial" w:eastAsia="Times New Roman" w:hAnsi="Arial" w:cs="Arial"/>
          <w:lang w:val="sr-Cyrl-RS"/>
        </w:rPr>
        <w:t>%.</w:t>
      </w:r>
    </w:p>
    <w:p w:rsidR="00E263C3" w:rsidRPr="0037158A" w:rsidRDefault="00E263C3" w:rsidP="00785336">
      <w:pPr>
        <w:pStyle w:val="NormalWeb"/>
        <w:spacing w:beforeLines="0" w:before="480" w:afterLines="0" w:after="120" w:line="288" w:lineRule="auto"/>
        <w:ind w:firstLine="403"/>
        <w:rPr>
          <w:rFonts w:ascii="Arial" w:eastAsia="Times New Roman" w:hAnsi="Arial" w:cs="Arial"/>
          <w:lang w:val="sr-Cyrl-RS"/>
        </w:rPr>
      </w:pPr>
      <w:r w:rsidRPr="0037158A">
        <w:rPr>
          <w:rFonts w:ascii="Arial" w:eastAsia="Times New Roman" w:hAnsi="Arial" w:cs="Arial"/>
          <w:lang w:val="sr-Cyrl-RS"/>
        </w:rPr>
        <w:t xml:space="preserve">Граф. 1. </w:t>
      </w:r>
      <w:r w:rsidR="000E1310" w:rsidRPr="0037158A">
        <w:rPr>
          <w:rFonts w:ascii="Arial" w:eastAsia="Times New Roman" w:hAnsi="Arial" w:cs="Arial"/>
          <w:lang w:val="sr-Cyrl-RS"/>
        </w:rPr>
        <w:t>С</w:t>
      </w:r>
      <w:r w:rsidRPr="0037158A">
        <w:rPr>
          <w:rFonts w:ascii="Arial" w:eastAsia="Times New Roman" w:hAnsi="Arial" w:cs="Arial"/>
          <w:lang w:val="sr-Cyrl-RS"/>
        </w:rPr>
        <w:t xml:space="preserve">топе </w:t>
      </w:r>
      <w:r w:rsidR="000E1310" w:rsidRPr="0037158A">
        <w:rPr>
          <w:rFonts w:ascii="Arial" w:eastAsia="Times New Roman" w:hAnsi="Arial" w:cs="Arial"/>
          <w:lang w:val="sr-Cyrl-RS"/>
        </w:rPr>
        <w:t>запослености/незапослености, популација узраста 15 и више година</w:t>
      </w:r>
      <w:r w:rsidRPr="0037158A">
        <w:rPr>
          <w:rFonts w:ascii="Arial" w:eastAsia="Times New Roman" w:hAnsi="Arial" w:cs="Arial"/>
          <w:lang w:val="sr-Cyrl-RS"/>
        </w:rPr>
        <w:t>,</w:t>
      </w:r>
      <w:r w:rsidR="000E1310" w:rsidRPr="0037158A">
        <w:rPr>
          <w:rFonts w:ascii="Arial" w:eastAsia="Times New Roman" w:hAnsi="Arial" w:cs="Arial"/>
          <w:lang w:val="sr-Cyrl-RS"/>
        </w:rPr>
        <w:t xml:space="preserve"> </w:t>
      </w:r>
      <w:r w:rsidRPr="0037158A">
        <w:rPr>
          <w:rFonts w:ascii="Arial" w:eastAsia="Times New Roman" w:hAnsi="Arial" w:cs="Arial"/>
          <w:lang w:val="sr-Cyrl-RS"/>
        </w:rPr>
        <w:t>201</w:t>
      </w:r>
      <w:r w:rsidR="00386B7E" w:rsidRPr="00BD6B86">
        <w:rPr>
          <w:rFonts w:ascii="Arial" w:eastAsia="Times New Roman" w:hAnsi="Arial" w:cs="Arial"/>
          <w:lang w:val="sr-Cyrl-RS"/>
        </w:rPr>
        <w:t>5</w:t>
      </w:r>
      <w:r w:rsidRPr="0037158A">
        <w:rPr>
          <w:rFonts w:ascii="Arial" w:eastAsia="Times New Roman" w:hAnsi="Arial" w:cs="Arial"/>
          <w:lang w:val="sr-Cyrl-RS"/>
        </w:rPr>
        <w:t>‒20</w:t>
      </w:r>
      <w:r w:rsidR="00386B7E" w:rsidRPr="00BD6B86">
        <w:rPr>
          <w:rFonts w:ascii="Arial" w:eastAsia="Times New Roman" w:hAnsi="Arial" w:cs="Arial"/>
          <w:lang w:val="sr-Cyrl-RS"/>
        </w:rPr>
        <w:t>20</w:t>
      </w:r>
      <w:r w:rsidRPr="0037158A">
        <w:rPr>
          <w:rFonts w:ascii="Arial" w:eastAsia="Times New Roman" w:hAnsi="Arial" w:cs="Arial"/>
          <w:lang w:val="sr-Cyrl-RS"/>
        </w:rPr>
        <w:t xml:space="preserve">. </w:t>
      </w:r>
      <w:r w:rsidR="000E1310" w:rsidRPr="0037158A">
        <w:rPr>
          <w:rFonts w:ascii="Arial" w:eastAsia="Times New Roman" w:hAnsi="Arial" w:cs="Arial"/>
          <w:lang w:val="sr-Cyrl-RS"/>
        </w:rPr>
        <w:t>(</w:t>
      </w:r>
      <w:r w:rsidRPr="0037158A">
        <w:rPr>
          <w:rFonts w:ascii="Arial" w:eastAsia="Times New Roman" w:hAnsi="Arial" w:cs="Arial"/>
          <w:lang w:val="sr-Cyrl-RS"/>
        </w:rPr>
        <w:t>%)</w:t>
      </w:r>
    </w:p>
    <w:p w:rsidR="00E263C3" w:rsidRPr="0037158A" w:rsidRDefault="00835A07" w:rsidP="00C30A92">
      <w:pPr>
        <w:pStyle w:val="NormalWeb"/>
        <w:spacing w:beforeLines="0" w:before="120" w:afterLines="0" w:after="120" w:line="288" w:lineRule="auto"/>
        <w:jc w:val="center"/>
        <w:rPr>
          <w:rFonts w:ascii="Arial" w:eastAsia="Times New Roman" w:hAnsi="Arial" w:cs="Arial"/>
          <w:lang w:val="sr-Cyrl-RS"/>
        </w:rPr>
      </w:pPr>
      <w:r w:rsidRPr="00835A07">
        <w:rPr>
          <w:rFonts w:ascii="Arial" w:eastAsia="Times New Roman" w:hAnsi="Arial" w:cs="Arial"/>
          <w:noProof/>
        </w:rPr>
        <w:drawing>
          <wp:inline distT="0" distB="0" distL="0" distR="0">
            <wp:extent cx="6478978" cy="2879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8"/>
                    <a:stretch/>
                  </pic:blipFill>
                  <pic:spPr bwMode="auto">
                    <a:xfrm>
                      <a:off x="0" y="0"/>
                      <a:ext cx="6479540" cy="28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FBF" w:rsidRPr="00F316DF" w:rsidRDefault="00877245" w:rsidP="00D95615">
      <w:pPr>
        <w:spacing w:before="480" w:after="120" w:line="264" w:lineRule="auto"/>
        <w:ind w:firstLine="397"/>
        <w:jc w:val="both"/>
        <w:rPr>
          <w:rFonts w:cs="Arial"/>
          <w:iCs/>
          <w:color w:val="2E74B5" w:themeColor="accent1" w:themeShade="BF"/>
          <w:sz w:val="22"/>
          <w:szCs w:val="22"/>
        </w:rPr>
      </w:pPr>
      <w:r w:rsidRPr="00F316DF">
        <w:rPr>
          <w:rStyle w:val="IntenseEmphasis"/>
          <w:rFonts w:cs="Arial"/>
          <w:i w:val="0"/>
          <w:color w:val="2E74B5" w:themeColor="accent1" w:themeShade="BF"/>
          <w:sz w:val="22"/>
          <w:szCs w:val="22"/>
        </w:rPr>
        <w:t>Поређење са претходним кварталом</w:t>
      </w:r>
      <w:r w:rsidR="007969ED" w:rsidRPr="00F316DF">
        <w:rPr>
          <w:rStyle w:val="IntenseEmphasis"/>
          <w:rFonts w:cs="Arial"/>
          <w:i w:val="0"/>
          <w:color w:val="2E74B5" w:themeColor="accent1" w:themeShade="BF"/>
          <w:sz w:val="22"/>
          <w:szCs w:val="22"/>
        </w:rPr>
        <w:t xml:space="preserve">, основни индикатори </w:t>
      </w:r>
    </w:p>
    <w:p w:rsidR="00077B4E" w:rsidRDefault="00880BF1" w:rsidP="00785336">
      <w:pPr>
        <w:pStyle w:val="ListParagraph"/>
        <w:spacing w:before="120" w:after="240" w:line="264" w:lineRule="auto"/>
        <w:ind w:left="0" w:firstLine="403"/>
        <w:contextualSpacing w:val="0"/>
        <w:jc w:val="both"/>
        <w:rPr>
          <w:rFonts w:ascii="Arial" w:eastAsia="Times New Roman" w:hAnsi="Arial"/>
          <w:iCs/>
          <w:sz w:val="20"/>
          <w:szCs w:val="20"/>
          <w:lang w:val="sr-Cyrl-RS"/>
        </w:rPr>
      </w:pPr>
      <w:r w:rsidRPr="00077B4E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696595</wp:posOffset>
                </wp:positionV>
                <wp:extent cx="6448425" cy="12649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2649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3399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B4E" w:rsidRDefault="00077B4E" w:rsidP="00077B4E">
                            <w:pPr>
                              <w:pStyle w:val="ListParagraph"/>
                              <w:spacing w:before="120" w:after="120" w:line="264" w:lineRule="auto"/>
                              <w:ind w:left="0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3033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r-Cyrl-RS"/>
                              </w:rPr>
                              <w:t xml:space="preserve">Према дефиницији Међународне организације рада, </w:t>
                            </w:r>
                            <w:r w:rsidR="00F316DF" w:rsidRPr="00E658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r-Cyrl-RS"/>
                              </w:rPr>
                              <w:t>која се у Анкети користи од 200</w:t>
                            </w:r>
                            <w:r w:rsidR="00F316DF" w:rsidRPr="00E658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r-Latn-RS"/>
                              </w:rPr>
                              <w:t>4</w:t>
                            </w:r>
                            <w:r w:rsidR="00F316DF" w:rsidRPr="00E658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r-Cyrl-RS"/>
                              </w:rPr>
                              <w:t>. године</w:t>
                            </w:r>
                            <w:r w:rsidR="00F316DF" w:rsidRPr="00E658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r-Latn-RS"/>
                              </w:rPr>
                              <w:t>,</w:t>
                            </w:r>
                            <w:r w:rsidR="00F316DF" w:rsidRPr="00F316D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  <w:r w:rsidRPr="003033D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незапосленима</w:t>
                            </w:r>
                            <w:r w:rsidRPr="003033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r-Cyrl-RS"/>
                              </w:rPr>
                              <w:t xml:space="preserve"> се сматрају</w:t>
                            </w:r>
                            <w:r w:rsidRPr="003033D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  <w:r w:rsidRPr="003033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r-Cyrl-RS"/>
                              </w:rPr>
                              <w:t xml:space="preserve">лица која нису обављала ниједан плаћени посао у посматраној седмици, активно су тражила посао током четири седмице које су претходиле посматраној седмици и у могућности су да почну да раде у року од две седмице након истека посматране седмице. </w:t>
                            </w:r>
                          </w:p>
                          <w:p w:rsidR="00597728" w:rsidRPr="003033D5" w:rsidRDefault="00597728" w:rsidP="00077B4E">
                            <w:pPr>
                              <w:pStyle w:val="ListParagraph"/>
                              <w:spacing w:before="120" w:after="120" w:line="264" w:lineRule="auto"/>
                              <w:ind w:left="0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5977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r-Cyrl-RS"/>
                              </w:rPr>
                              <w:t>Дакле, неко ко није активно тражио посао не сматра се незапосленим већ неактивним.</w:t>
                            </w:r>
                          </w:p>
                          <w:p w:rsidR="00077B4E" w:rsidRPr="00BD6B86" w:rsidRDefault="00077B4E" w:rsidP="00077B4E">
                            <w:pPr>
                              <w:pStyle w:val="ListParagraph"/>
                              <w:spacing w:before="120" w:after="120" w:line="264" w:lineRule="auto"/>
                              <w:ind w:left="0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BD6B86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val="sr-Cyrl-RS"/>
                              </w:rPr>
                              <w:t>Дакле, неко ко није активно тражио посао не сматра се незапосленим већ неактивним.</w:t>
                            </w:r>
                          </w:p>
                          <w:p w:rsidR="00077B4E" w:rsidRPr="00BD6B86" w:rsidRDefault="00077B4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1.85pt;margin-top:54.85pt;width:507.75pt;height:99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" fillcolor="#f2f2f2 [3052]" strokecolor="#039" strokeweight=".5pt">
                <v:stroke joinstyle="miter"/>
                <v:textbox>
                  <w:txbxContent>
                    <w:p w:rsidR="00077B4E" w:rsidRDefault="00077B4E" w:rsidP="00077B4E">
                      <w:pPr>
                        <w:pStyle w:val="ListParagraph"/>
                        <w:spacing w:before="120" w:after="120" w:line="264" w:lineRule="auto"/>
                        <w:ind w:left="0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sr-Cyrl-RS"/>
                        </w:rPr>
                      </w:pPr>
                      <w:r w:rsidRPr="003033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sr-Cyrl-RS"/>
                        </w:rPr>
                        <w:t xml:space="preserve">Према дефиницији Међународне организације рада, </w:t>
                      </w:r>
                      <w:r w:rsidR="00F316DF" w:rsidRPr="00E6589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sr-Cyrl-RS"/>
                        </w:rPr>
                        <w:t>која се у Анкети користи од 200</w:t>
                      </w:r>
                      <w:r w:rsidR="00F316DF" w:rsidRPr="00E6589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sr-Latn-RS"/>
                        </w:rPr>
                        <w:t>4</w:t>
                      </w:r>
                      <w:r w:rsidR="00F316DF" w:rsidRPr="00E6589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sr-Cyrl-RS"/>
                        </w:rPr>
                        <w:t>. године</w:t>
                      </w:r>
                      <w:r w:rsidR="00F316DF" w:rsidRPr="00E6589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sr-Latn-RS"/>
                        </w:rPr>
                        <w:t>,</w:t>
                      </w:r>
                      <w:r w:rsidR="00F316DF" w:rsidRPr="00F316DF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  <w:r w:rsidRPr="003033D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sr-Cyrl-RS"/>
                        </w:rPr>
                        <w:t>незапосленима</w:t>
                      </w:r>
                      <w:r w:rsidRPr="003033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sr-Cyrl-RS"/>
                        </w:rPr>
                        <w:t xml:space="preserve"> се сматрају</w:t>
                      </w:r>
                      <w:r w:rsidRPr="003033D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  <w:r w:rsidRPr="003033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sr-Cyrl-RS"/>
                        </w:rPr>
                        <w:t xml:space="preserve">лица која нису обављала ниједан плаћени посао у посматраној седмици, активно су тражила посао током четири седмице које су претходиле посматраној седмици и у могућности су да почну да раде у року од две седмице након истека посматране седмице. </w:t>
                      </w:r>
                    </w:p>
                    <w:p w:rsidR="00597728" w:rsidRPr="003033D5" w:rsidRDefault="00597728" w:rsidP="00077B4E">
                      <w:pPr>
                        <w:pStyle w:val="ListParagraph"/>
                        <w:spacing w:before="120" w:after="120" w:line="264" w:lineRule="auto"/>
                        <w:ind w:left="0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sr-Cyrl-RS"/>
                        </w:rPr>
                      </w:pPr>
                      <w:r w:rsidRPr="0059772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sr-Cyrl-RS"/>
                        </w:rPr>
                        <w:t>Дакле, неко ко није активно тражио посао не сматра се незапосленим већ неактивним.</w:t>
                      </w:r>
                    </w:p>
                    <w:p w:rsidR="00077B4E" w:rsidRPr="00BD6B86" w:rsidRDefault="00077B4E" w:rsidP="00077B4E">
                      <w:pPr>
                        <w:pStyle w:val="ListParagraph"/>
                        <w:spacing w:before="120" w:after="120" w:line="264" w:lineRule="auto"/>
                        <w:ind w:left="0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val="sr-Cyrl-RS"/>
                        </w:rPr>
                      </w:pPr>
                      <w:r w:rsidRPr="00BD6B86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val="sr-Cyrl-RS"/>
                        </w:rPr>
                        <w:t>Дакле, неко ко није активно тражио посао не сматра се незапосленим већ неактивним.</w:t>
                      </w:r>
                    </w:p>
                    <w:p w:rsidR="00077B4E" w:rsidRPr="00BD6B86" w:rsidRDefault="00077B4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77B4E">
        <w:rPr>
          <w:rFonts w:ascii="Arial" w:eastAsia="Times New Roman" w:hAnsi="Arial"/>
          <w:iCs/>
          <w:sz w:val="20"/>
          <w:szCs w:val="20"/>
          <w:lang w:val="sr-Cyrl-RS"/>
        </w:rPr>
        <w:t xml:space="preserve">Према подацима Анкете о радној снази за други квартал 2020. године, </w:t>
      </w:r>
      <w:r w:rsidR="005054C1">
        <w:rPr>
          <w:rFonts w:ascii="Arial" w:eastAsia="Times New Roman" w:hAnsi="Arial"/>
          <w:iCs/>
          <w:sz w:val="20"/>
          <w:szCs w:val="20"/>
          <w:lang w:val="sr-Cyrl-RS"/>
        </w:rPr>
        <w:t xml:space="preserve">код становништва старог 15 и више година </w:t>
      </w:r>
      <w:r w:rsidR="00077B4E">
        <w:rPr>
          <w:rFonts w:ascii="Arial" w:eastAsia="Times New Roman" w:hAnsi="Arial"/>
          <w:iCs/>
          <w:sz w:val="20"/>
          <w:szCs w:val="20"/>
          <w:lang w:val="sr-Cyrl-RS"/>
        </w:rPr>
        <w:t xml:space="preserve">дошло је до смањења запослености (-33 200) и незапослености (-87 400) на рачун </w:t>
      </w:r>
      <w:r w:rsidR="006C0364">
        <w:rPr>
          <w:rFonts w:ascii="Arial" w:eastAsia="Times New Roman" w:hAnsi="Arial"/>
          <w:iCs/>
          <w:sz w:val="20"/>
          <w:szCs w:val="20"/>
          <w:lang w:val="sr-Cyrl-RS"/>
        </w:rPr>
        <w:t>повећања</w:t>
      </w:r>
      <w:r w:rsidR="00220AE6">
        <w:rPr>
          <w:rFonts w:ascii="Arial" w:eastAsia="Times New Roman" w:hAnsi="Arial"/>
          <w:iCs/>
          <w:sz w:val="20"/>
          <w:szCs w:val="20"/>
          <w:lang w:val="sr-Cyrl-RS"/>
        </w:rPr>
        <w:t xml:space="preserve"> </w:t>
      </w:r>
      <w:r w:rsidR="00077B4E">
        <w:rPr>
          <w:rFonts w:ascii="Arial" w:eastAsia="Times New Roman" w:hAnsi="Arial"/>
          <w:iCs/>
          <w:sz w:val="20"/>
          <w:szCs w:val="20"/>
          <w:lang w:val="sr-Cyrl-RS"/>
        </w:rPr>
        <w:t>неактивности (+113 100) у поређењу са првим кварталом</w:t>
      </w:r>
      <w:r w:rsidR="005054C1">
        <w:rPr>
          <w:rFonts w:ascii="Arial" w:eastAsia="Times New Roman" w:hAnsi="Arial"/>
          <w:iCs/>
          <w:sz w:val="20"/>
          <w:szCs w:val="20"/>
          <w:lang w:val="sr-Cyrl-RS"/>
        </w:rPr>
        <w:t xml:space="preserve"> 2020</w:t>
      </w:r>
      <w:r w:rsidR="00077B4E">
        <w:rPr>
          <w:rFonts w:ascii="Arial" w:eastAsia="Times New Roman" w:hAnsi="Arial"/>
          <w:iCs/>
          <w:sz w:val="20"/>
          <w:szCs w:val="20"/>
          <w:lang w:val="sr-Cyrl-RS"/>
        </w:rPr>
        <w:t>.</w:t>
      </w:r>
    </w:p>
    <w:p w:rsidR="00785336" w:rsidRDefault="00785336" w:rsidP="00785336">
      <w:pPr>
        <w:pStyle w:val="ListParagraph"/>
        <w:spacing w:before="240" w:after="120" w:line="264" w:lineRule="auto"/>
        <w:ind w:left="0" w:firstLine="403"/>
        <w:contextualSpacing w:val="0"/>
        <w:jc w:val="both"/>
        <w:rPr>
          <w:rFonts w:ascii="Arial" w:eastAsia="Times New Roman" w:hAnsi="Arial"/>
          <w:iCs/>
          <w:sz w:val="20"/>
          <w:szCs w:val="20"/>
          <w:lang w:val="sr-Cyrl-RS"/>
        </w:rPr>
      </w:pPr>
    </w:p>
    <w:p w:rsidR="00880BF1" w:rsidRPr="00343625" w:rsidRDefault="00077B4E" w:rsidP="00785336">
      <w:pPr>
        <w:pStyle w:val="ListParagraph"/>
        <w:spacing w:before="240" w:after="120" w:line="264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/>
          <w:iCs/>
          <w:sz w:val="20"/>
          <w:szCs w:val="20"/>
          <w:lang w:val="sr-Cyrl-RS"/>
        </w:rPr>
        <w:t xml:space="preserve">До смањења запослености </w:t>
      </w:r>
      <w:r w:rsidRPr="00343625">
        <w:rPr>
          <w:rFonts w:ascii="Arial" w:eastAsia="Times New Roman" w:hAnsi="Arial"/>
          <w:iCs/>
          <w:sz w:val="20"/>
          <w:szCs w:val="20"/>
          <w:lang w:val="sr-Cyrl-RS"/>
        </w:rPr>
        <w:t>дошло</w:t>
      </w:r>
      <w:r w:rsidR="00DB3B36" w:rsidRPr="00343625">
        <w:rPr>
          <w:rFonts w:ascii="Arial" w:eastAsia="Times New Roman" w:hAnsi="Arial"/>
          <w:iCs/>
          <w:sz w:val="20"/>
          <w:szCs w:val="20"/>
          <w:lang w:val="sr-Latn-RS"/>
        </w:rPr>
        <w:t xml:space="preserve"> je</w:t>
      </w:r>
      <w:r w:rsidRPr="00343625">
        <w:rPr>
          <w:rFonts w:ascii="Arial" w:eastAsia="Times New Roman" w:hAnsi="Arial"/>
          <w:iCs/>
          <w:sz w:val="20"/>
          <w:szCs w:val="20"/>
          <w:lang w:val="sr-Cyrl-RS"/>
        </w:rPr>
        <w:t xml:space="preserve"> у неформалном сектору (</w:t>
      </w:r>
      <w:r w:rsidR="006445F1" w:rsidRPr="00343625">
        <w:rPr>
          <w:rFonts w:ascii="Arial" w:eastAsia="Times New Roman" w:hAnsi="Arial"/>
          <w:iCs/>
          <w:sz w:val="20"/>
          <w:szCs w:val="20"/>
          <w:lang w:val="sr-Latn-RS"/>
        </w:rPr>
        <w:t>-</w:t>
      </w:r>
      <w:r w:rsidR="0063698D">
        <w:rPr>
          <w:rFonts w:ascii="Arial" w:eastAsia="Times New Roman" w:hAnsi="Arial"/>
          <w:iCs/>
          <w:sz w:val="20"/>
          <w:szCs w:val="20"/>
          <w:lang w:val="sr-Cyrl-RS"/>
        </w:rPr>
        <w:t>35 400).</w:t>
      </w:r>
      <w:r w:rsidRPr="00343625">
        <w:rPr>
          <w:rFonts w:ascii="Arial" w:eastAsia="Times New Roman" w:hAnsi="Arial"/>
          <w:iCs/>
          <w:sz w:val="20"/>
          <w:szCs w:val="20"/>
          <w:lang w:val="sr-Cyrl-RS"/>
        </w:rPr>
        <w:t xml:space="preserve"> У формалном сектору је забележен незнат</w:t>
      </w:r>
      <w:r w:rsidR="00880BF1" w:rsidRPr="00343625">
        <w:rPr>
          <w:rFonts w:ascii="Arial" w:eastAsia="Times New Roman" w:hAnsi="Arial"/>
          <w:iCs/>
          <w:sz w:val="20"/>
          <w:szCs w:val="20"/>
          <w:lang w:val="sr-Cyrl-RS"/>
        </w:rPr>
        <w:t>н</w:t>
      </w:r>
      <w:r w:rsidR="006445F1" w:rsidRPr="00343625">
        <w:rPr>
          <w:rFonts w:ascii="Arial" w:eastAsia="Times New Roman" w:hAnsi="Arial"/>
          <w:iCs/>
          <w:sz w:val="20"/>
          <w:szCs w:val="20"/>
          <w:lang w:val="sr-Cyrl-RS"/>
        </w:rPr>
        <w:t>и раст запослености (+2 200).</w:t>
      </w:r>
    </w:p>
    <w:p w:rsidR="001179C3" w:rsidRPr="00343625" w:rsidRDefault="005054C1" w:rsidP="005054C1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/>
          <w:iCs/>
          <w:sz w:val="20"/>
          <w:szCs w:val="20"/>
          <w:lang w:val="sr-Cyrl-RS"/>
        </w:rPr>
      </w:pPr>
      <w:r w:rsidRPr="00343625">
        <w:rPr>
          <w:rFonts w:ascii="Arial" w:eastAsia="Times New Roman" w:hAnsi="Arial"/>
          <w:iCs/>
          <w:sz w:val="20"/>
          <w:szCs w:val="20"/>
          <w:lang w:val="sr-Cyrl-RS"/>
        </w:rPr>
        <w:t>Стопа запослености мања је за 0,5 процентних поена (п.</w:t>
      </w:r>
      <w:r w:rsidR="00DB3B36" w:rsidRPr="00343625">
        <w:rPr>
          <w:rFonts w:ascii="Arial" w:eastAsia="Times New Roman" w:hAnsi="Arial"/>
          <w:iCs/>
          <w:sz w:val="20"/>
          <w:szCs w:val="20"/>
          <w:lang w:val="sr-Latn-RS"/>
        </w:rPr>
        <w:t xml:space="preserve"> </w:t>
      </w:r>
      <w:r w:rsidRPr="00343625">
        <w:rPr>
          <w:rFonts w:ascii="Arial" w:eastAsia="Times New Roman" w:hAnsi="Arial"/>
          <w:iCs/>
          <w:sz w:val="20"/>
          <w:szCs w:val="20"/>
          <w:lang w:val="sr-Cyrl-RS"/>
        </w:rPr>
        <w:t xml:space="preserve">п.) и износи 48,2%, док је </w:t>
      </w:r>
      <w:r w:rsidR="0041775D" w:rsidRPr="00343625">
        <w:rPr>
          <w:rFonts w:ascii="Arial" w:eastAsia="Times New Roman" w:hAnsi="Arial"/>
          <w:iCs/>
          <w:sz w:val="20"/>
          <w:szCs w:val="20"/>
          <w:lang w:val="sr-Cyrl-RS"/>
        </w:rPr>
        <w:t xml:space="preserve">стопа незапослености смањена </w:t>
      </w:r>
      <w:r w:rsidR="00DB3B36" w:rsidRPr="00343625">
        <w:rPr>
          <w:rFonts w:ascii="Arial" w:eastAsia="Times New Roman" w:hAnsi="Arial"/>
          <w:iCs/>
          <w:sz w:val="20"/>
          <w:szCs w:val="20"/>
          <w:lang w:val="sr-Latn-RS"/>
        </w:rPr>
        <w:t>за</w:t>
      </w:r>
      <w:r w:rsidR="0041775D" w:rsidRPr="00343625">
        <w:rPr>
          <w:rFonts w:ascii="Arial" w:eastAsia="Times New Roman" w:hAnsi="Arial"/>
          <w:iCs/>
          <w:sz w:val="20"/>
          <w:szCs w:val="20"/>
          <w:lang w:val="sr-Cyrl-RS"/>
        </w:rPr>
        <w:t xml:space="preserve"> 2,5 п. п.</w:t>
      </w:r>
      <w:r w:rsidRPr="00343625">
        <w:rPr>
          <w:rFonts w:ascii="Arial" w:eastAsia="Times New Roman" w:hAnsi="Arial"/>
          <w:iCs/>
          <w:sz w:val="20"/>
          <w:szCs w:val="20"/>
          <w:lang w:val="sr-Cyrl-RS"/>
        </w:rPr>
        <w:t xml:space="preserve"> и </w:t>
      </w:r>
      <w:r w:rsidR="00D36A48" w:rsidRPr="00343625">
        <w:rPr>
          <w:rFonts w:ascii="Arial" w:eastAsia="Times New Roman" w:hAnsi="Arial"/>
          <w:iCs/>
          <w:sz w:val="20"/>
          <w:szCs w:val="20"/>
          <w:lang w:val="sr-Cyrl-RS"/>
        </w:rPr>
        <w:t>износи 7,3%.</w:t>
      </w:r>
      <w:r w:rsidR="000174DA" w:rsidRPr="00343625">
        <w:rPr>
          <w:rFonts w:ascii="Arial" w:eastAsia="Times New Roman" w:hAnsi="Arial"/>
          <w:iCs/>
          <w:sz w:val="20"/>
          <w:szCs w:val="20"/>
          <w:lang w:val="sr-Cyrl-RS"/>
        </w:rPr>
        <w:t xml:space="preserve"> </w:t>
      </w:r>
      <w:r w:rsidRPr="00343625">
        <w:rPr>
          <w:rFonts w:ascii="Arial" w:eastAsia="Times New Roman" w:hAnsi="Arial"/>
          <w:iCs/>
          <w:sz w:val="20"/>
          <w:szCs w:val="20"/>
          <w:lang w:val="sr-Cyrl-RS"/>
        </w:rPr>
        <w:t>Стопа неактивности је порасла за 2 п.</w:t>
      </w:r>
      <w:r w:rsidR="00DB3B36" w:rsidRPr="00343625">
        <w:rPr>
          <w:rFonts w:ascii="Arial" w:eastAsia="Times New Roman" w:hAnsi="Arial"/>
          <w:iCs/>
          <w:sz w:val="20"/>
          <w:szCs w:val="20"/>
          <w:lang w:val="sr-Cyrl-RS"/>
        </w:rPr>
        <w:t xml:space="preserve"> </w:t>
      </w:r>
      <w:r w:rsidRPr="00343625">
        <w:rPr>
          <w:rFonts w:ascii="Arial" w:eastAsia="Times New Roman" w:hAnsi="Arial"/>
          <w:iCs/>
          <w:sz w:val="20"/>
          <w:szCs w:val="20"/>
          <w:lang w:val="sr-Cyrl-RS"/>
        </w:rPr>
        <w:t>п. и достигла ниво од 48%.</w:t>
      </w:r>
    </w:p>
    <w:p w:rsidR="001179C3" w:rsidRDefault="001179C3" w:rsidP="0041775D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343625">
        <w:rPr>
          <w:rFonts w:ascii="Arial" w:eastAsia="Times New Roman" w:hAnsi="Arial" w:cs="Arial"/>
          <w:sz w:val="20"/>
          <w:szCs w:val="20"/>
          <w:lang w:val="sr-Cyrl-RS"/>
        </w:rPr>
        <w:lastRenderedPageBreak/>
        <w:t xml:space="preserve">Неактивност је највише порасла </w:t>
      </w:r>
      <w:r w:rsidR="005054C1" w:rsidRPr="00343625">
        <w:rPr>
          <w:rFonts w:ascii="Arial" w:eastAsia="Times New Roman" w:hAnsi="Arial" w:cs="Arial"/>
          <w:sz w:val="20"/>
          <w:szCs w:val="20"/>
          <w:lang w:val="sr-Cyrl-RS"/>
        </w:rPr>
        <w:t>код становништва са средњим нивоом образовања (+</w:t>
      </w:r>
      <w:r w:rsidR="00253BD6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147 </w:t>
      </w:r>
      <w:r w:rsidR="002F747D" w:rsidRPr="00BD6B86">
        <w:rPr>
          <w:rFonts w:ascii="Arial" w:eastAsia="Times New Roman" w:hAnsi="Arial" w:cs="Arial"/>
          <w:sz w:val="20"/>
          <w:szCs w:val="20"/>
          <w:lang w:val="sr-Cyrl-RS"/>
        </w:rPr>
        <w:t>300</w:t>
      </w:r>
      <w:r w:rsidR="00253BD6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лица)</w:t>
      </w:r>
      <w:r w:rsidR="005054C1" w:rsidRPr="00343625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="00253BD6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53BD6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као и у </w:t>
      </w:r>
      <w:r w:rsidR="00CA0376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старосној групи </w:t>
      </w:r>
      <w:r w:rsidR="0063698D">
        <w:rPr>
          <w:rFonts w:ascii="Arial" w:eastAsia="Times New Roman" w:hAnsi="Arial" w:cs="Arial"/>
          <w:sz w:val="20"/>
          <w:szCs w:val="20"/>
          <w:lang w:val="sr-Cyrl-RS"/>
        </w:rPr>
        <w:t>25–</w:t>
      </w:r>
      <w:r w:rsidRPr="00343625">
        <w:rPr>
          <w:rFonts w:ascii="Arial" w:eastAsia="Times New Roman" w:hAnsi="Arial" w:cs="Arial"/>
          <w:sz w:val="20"/>
          <w:szCs w:val="20"/>
          <w:lang w:val="sr-Cyrl-RS"/>
        </w:rPr>
        <w:t>34 године (</w:t>
      </w:r>
      <w:r w:rsidR="005054C1" w:rsidRPr="00343625">
        <w:rPr>
          <w:rFonts w:ascii="Arial" w:eastAsia="Times New Roman" w:hAnsi="Arial" w:cs="Arial"/>
          <w:sz w:val="20"/>
          <w:szCs w:val="20"/>
          <w:lang w:val="sr-Cyrl-RS"/>
        </w:rPr>
        <w:t>+</w:t>
      </w:r>
      <w:r w:rsidR="00784EC1" w:rsidRPr="00BD6B86">
        <w:rPr>
          <w:rFonts w:ascii="Arial" w:eastAsia="Times New Roman" w:hAnsi="Arial" w:cs="Arial"/>
          <w:sz w:val="20"/>
          <w:szCs w:val="20"/>
          <w:lang w:val="sr-Cyrl-RS"/>
        </w:rPr>
        <w:t>50</w:t>
      </w:r>
      <w:r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784EC1" w:rsidRPr="00BD6B86">
        <w:rPr>
          <w:rFonts w:ascii="Arial" w:eastAsia="Times New Roman" w:hAnsi="Arial" w:cs="Arial"/>
          <w:sz w:val="20"/>
          <w:szCs w:val="20"/>
          <w:lang w:val="sr-Cyrl-RS"/>
        </w:rPr>
        <w:t>000</w:t>
      </w:r>
      <w:r w:rsidR="00E13DA9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лица</w:t>
      </w:r>
      <w:r w:rsidRPr="00343625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="005054C1" w:rsidRPr="00343625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="00253BD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:rsidR="001659C0" w:rsidRPr="00343625" w:rsidRDefault="002858BC" w:rsidP="002858BC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Регион Јужне и Источне Србије </w:t>
      </w:r>
      <w:r w:rsidR="000174DA" w:rsidRPr="00343625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једини регион</w:t>
      </w:r>
      <w:r w:rsidR="00D36A48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у Републици Србији</w:t>
      </w:r>
      <w:r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који бележи повећање запослености у другом кварталу у односу н</w:t>
      </w:r>
      <w:r w:rsidR="005054C1" w:rsidRPr="00343625">
        <w:rPr>
          <w:rFonts w:ascii="Arial" w:eastAsia="Times New Roman" w:hAnsi="Arial" w:cs="Arial"/>
          <w:sz w:val="20"/>
          <w:szCs w:val="20"/>
          <w:lang w:val="sr-Cyrl-RS"/>
        </w:rPr>
        <w:t>а први квартал 2020. године (+22 500</w:t>
      </w:r>
      <w:r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), што је уједно довело до тога </w:t>
      </w:r>
      <w:r w:rsidR="001659C0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да то буде једини регион у којем је неактивност незнатно смањена (-1,4%). </w:t>
      </w:r>
    </w:p>
    <w:p w:rsidR="005054C1" w:rsidRPr="00343625" w:rsidRDefault="005054C1" w:rsidP="002858BC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Док је смањење незапослености равномерно распоређено код оба пола, до пада запослености је дошло искључиво код жена (-34 700). </w:t>
      </w:r>
    </w:p>
    <w:p w:rsidR="00EE6F38" w:rsidRPr="00F316DF" w:rsidRDefault="00EE6F38" w:rsidP="00EE6F38">
      <w:pPr>
        <w:spacing w:before="480" w:after="120" w:line="264" w:lineRule="auto"/>
        <w:ind w:firstLine="403"/>
        <w:jc w:val="both"/>
        <w:rPr>
          <w:rFonts w:cs="Arial"/>
          <w:color w:val="2E74B5" w:themeColor="accent1" w:themeShade="BF"/>
        </w:rPr>
      </w:pPr>
      <w:r w:rsidRPr="00F316DF">
        <w:rPr>
          <w:rStyle w:val="IntenseEmphasis"/>
          <w:rFonts w:cs="Arial"/>
          <w:i w:val="0"/>
          <w:color w:val="2E74B5" w:themeColor="accent1" w:themeShade="BF"/>
          <w:sz w:val="22"/>
          <w:szCs w:val="22"/>
        </w:rPr>
        <w:t>Поређење</w:t>
      </w:r>
      <w:r w:rsidRPr="00F316DF">
        <w:rPr>
          <w:rStyle w:val="IntenseEmphasis"/>
          <w:rFonts w:cs="Arial"/>
          <w:i w:val="0"/>
          <w:color w:val="2E74B5" w:themeColor="accent1" w:themeShade="BF"/>
          <w:sz w:val="22"/>
          <w:szCs w:val="22"/>
          <w:lang w:val="sr-Latn-RS"/>
        </w:rPr>
        <w:t xml:space="preserve"> </w:t>
      </w:r>
      <w:r w:rsidRPr="00F316DF">
        <w:rPr>
          <w:rStyle w:val="IntenseEmphasis"/>
          <w:rFonts w:cs="Arial"/>
          <w:i w:val="0"/>
          <w:color w:val="2E74B5" w:themeColor="accent1" w:themeShade="BF"/>
          <w:sz w:val="22"/>
          <w:szCs w:val="22"/>
        </w:rPr>
        <w:t xml:space="preserve"> са истим кварталом претходне године</w:t>
      </w:r>
      <w:r w:rsidRPr="00F316DF">
        <w:rPr>
          <w:rFonts w:cs="Arial"/>
          <w:color w:val="2E74B5" w:themeColor="accent1" w:themeShade="BF"/>
        </w:rPr>
        <w:t xml:space="preserve">, </w:t>
      </w:r>
      <w:r w:rsidRPr="00F316DF">
        <w:rPr>
          <w:rStyle w:val="IntenseEmphasis"/>
          <w:rFonts w:cs="Arial"/>
          <w:i w:val="0"/>
          <w:color w:val="2E74B5" w:themeColor="accent1" w:themeShade="BF"/>
          <w:sz w:val="22"/>
          <w:szCs w:val="22"/>
        </w:rPr>
        <w:t>основни индикатори</w:t>
      </w:r>
    </w:p>
    <w:p w:rsidR="00EE6F38" w:rsidRPr="00343625" w:rsidRDefault="00EE6F38" w:rsidP="00EE6F38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/>
          <w:iCs/>
          <w:sz w:val="20"/>
          <w:szCs w:val="20"/>
          <w:lang w:val="sr-Cyrl-RS"/>
        </w:rPr>
      </w:pPr>
      <w:r>
        <w:rPr>
          <w:rFonts w:ascii="Arial" w:eastAsia="Times New Roman" w:hAnsi="Arial"/>
          <w:iCs/>
          <w:sz w:val="20"/>
          <w:szCs w:val="20"/>
          <w:lang w:val="sr-Cyrl-RS"/>
        </w:rPr>
        <w:t xml:space="preserve">Према подацима Анкете о радној снази за други квартал 2020. године, код становништва старог 15 и </w:t>
      </w:r>
      <w:r w:rsidRPr="00343625">
        <w:rPr>
          <w:rFonts w:ascii="Arial" w:eastAsia="Times New Roman" w:hAnsi="Arial"/>
          <w:iCs/>
          <w:sz w:val="20"/>
          <w:szCs w:val="20"/>
          <w:lang w:val="sr-Cyrl-RS"/>
        </w:rPr>
        <w:t>више година дошло је до смањења запослености (-72 300) и незапослености (-111 100) на рачун повећања неактивности (+153 800) у поређењу са другим кварталом 2019.</w:t>
      </w:r>
    </w:p>
    <w:p w:rsidR="00EE6F38" w:rsidRPr="00343625" w:rsidRDefault="00EE6F38" w:rsidP="00EE6F38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343625">
        <w:rPr>
          <w:rFonts w:ascii="Arial" w:eastAsia="Times New Roman" w:hAnsi="Arial" w:cs="Arial"/>
          <w:lang w:val="sr-Cyrl-RS"/>
        </w:rPr>
        <w:t>Највећи пад укупне запослености забележен је у сектору делатности Пољопривреда, шумарство и рибарство (-44 000), а посматрано према образовној структури, у категорији лица са највише завршеном основном школом (-33 100). Број запослених је највише опао у Београдском региону (-31 500)</w:t>
      </w:r>
      <w:r>
        <w:rPr>
          <w:rFonts w:ascii="Arial" w:eastAsia="Times New Roman" w:hAnsi="Arial" w:cs="Arial"/>
          <w:lang w:val="sr-Cyrl-RS"/>
        </w:rPr>
        <w:t>,</w:t>
      </w:r>
      <w:r w:rsidRPr="00343625">
        <w:rPr>
          <w:rFonts w:ascii="Arial" w:eastAsia="Times New Roman" w:hAnsi="Arial" w:cs="Arial"/>
          <w:lang w:val="sr-Cyrl-RS"/>
        </w:rPr>
        <w:t xml:space="preserve"> а најмање у Региону Јужне и Источне Србије (-9 300). </w:t>
      </w:r>
    </w:p>
    <w:p w:rsidR="00EE6F38" w:rsidRPr="00343625" w:rsidRDefault="00EE6F38" w:rsidP="00EE6F38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343625">
        <w:rPr>
          <w:rFonts w:ascii="Arial" w:eastAsia="Times New Roman" w:hAnsi="Arial" w:cs="Arial"/>
          <w:lang w:val="sr-Cyrl-RS"/>
        </w:rPr>
        <w:t xml:space="preserve">У оквиру укупне запослености дошло је до смањења неформалне запослености (-132 400) и повећања формалне запослености (+60 100). Највећи међугодишњи раст формалне запослености забележен је у сектору делатности Грађевинарство (+16 600). </w:t>
      </w:r>
    </w:p>
    <w:p w:rsidR="00EE6F38" w:rsidRPr="00343625" w:rsidRDefault="00EE6F38" w:rsidP="00EE6F38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343625">
        <w:rPr>
          <w:rFonts w:ascii="Arial" w:eastAsia="Times New Roman" w:hAnsi="Arial" w:cs="Arial"/>
          <w:lang w:val="sr-Cyrl-RS"/>
        </w:rPr>
        <w:t xml:space="preserve">Стопа неформалне запослености износила је 15,2%, што је за 4,2 п. п. мање у односу на исти период претходне године. </w:t>
      </w:r>
    </w:p>
    <w:p w:rsidR="00EE6F38" w:rsidRPr="00343625" w:rsidRDefault="00EE6F38" w:rsidP="00EE6F38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343625">
        <w:rPr>
          <w:rFonts w:ascii="Arial" w:eastAsia="Times New Roman" w:hAnsi="Arial" w:cs="Arial"/>
          <w:lang w:val="sr-Cyrl-RS"/>
        </w:rPr>
        <w:t>Стопа дугорочне незапослености износила је 4,1%, што је за 2,0 п. п. мање у односу на други квартал 2019. године.</w:t>
      </w:r>
    </w:p>
    <w:p w:rsidR="00EE6F38" w:rsidRDefault="00EE6F38" w:rsidP="00EE6F38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343625">
        <w:rPr>
          <w:rFonts w:ascii="Arial" w:eastAsia="Times New Roman" w:hAnsi="Arial" w:cs="Arial"/>
          <w:lang w:val="sr-Cyrl-RS"/>
        </w:rPr>
        <w:t>У популацији младих,</w:t>
      </w:r>
      <w:r>
        <w:rPr>
          <w:rFonts w:ascii="Arial" w:eastAsia="Times New Roman" w:hAnsi="Arial" w:cs="Arial"/>
          <w:lang w:val="sr-Cyrl-RS"/>
        </w:rPr>
        <w:t xml:space="preserve"> 15–</w:t>
      </w:r>
      <w:r w:rsidRPr="00343625">
        <w:rPr>
          <w:rFonts w:ascii="Arial" w:eastAsia="Times New Roman" w:hAnsi="Arial" w:cs="Arial"/>
          <w:lang w:val="sr-Cyrl-RS"/>
        </w:rPr>
        <w:t xml:space="preserve">24 година старости, дошло је до међугодишњег смањења активности (-41 400 лица) и повећања неактивности (+30 600 лица). Број запослених старости </w:t>
      </w:r>
      <w:r>
        <w:rPr>
          <w:rFonts w:ascii="Arial" w:eastAsia="Times New Roman" w:hAnsi="Arial" w:cs="Arial"/>
          <w:lang w:val="sr-Cyrl-RS"/>
        </w:rPr>
        <w:t xml:space="preserve">од </w:t>
      </w:r>
      <w:r w:rsidRPr="00343625">
        <w:rPr>
          <w:rFonts w:ascii="Arial" w:eastAsia="Times New Roman" w:hAnsi="Arial" w:cs="Arial"/>
          <w:lang w:val="sr-Cyrl-RS"/>
        </w:rPr>
        <w:t>15 до 24 године смањен је за 25  200, док је број незапослених у тој  старосној доби мањи за 16 200 у односу на исти период прошле</w:t>
      </w:r>
      <w:r w:rsidRPr="009B5F52">
        <w:rPr>
          <w:rFonts w:ascii="Arial" w:eastAsia="Times New Roman" w:hAnsi="Arial" w:cs="Arial"/>
          <w:lang w:val="sr-Cyrl-RS"/>
        </w:rPr>
        <w:t xml:space="preserve"> године. </w:t>
      </w:r>
    </w:p>
    <w:p w:rsidR="00EE6F38" w:rsidRPr="00D24008" w:rsidRDefault="00F316DF" w:rsidP="00EE6F38">
      <w:pPr>
        <w:pStyle w:val="NormalWeb"/>
        <w:spacing w:beforeLines="0" w:before="120" w:afterLines="0" w:after="120" w:line="288" w:lineRule="auto"/>
        <w:ind w:firstLine="403"/>
        <w:jc w:val="both"/>
        <w:rPr>
          <w:rStyle w:val="IntenseEmphasis"/>
          <w:i w:val="0"/>
          <w:iCs w:val="0"/>
          <w:color w:val="auto"/>
          <w:lang w:val="sr-Cyrl-RS"/>
        </w:rPr>
      </w:pPr>
      <w:r w:rsidRPr="00E65899">
        <w:rPr>
          <w:rFonts w:ascii="Arial" w:eastAsia="Times New Roman" w:hAnsi="Arial" w:cs="Arial"/>
          <w:lang w:val="sr-Cyrl-RS"/>
        </w:rPr>
        <w:t>NEET(“</w:t>
      </w:r>
      <w:r w:rsidRPr="00E65899">
        <w:rPr>
          <w:rStyle w:val="Emphasis"/>
          <w:rFonts w:ascii="Arial" w:hAnsi="Arial" w:cs="Arial"/>
        </w:rPr>
        <w:t>Not</w:t>
      </w:r>
      <w:r w:rsidRPr="00E65899">
        <w:rPr>
          <w:rStyle w:val="Emphasis"/>
          <w:rFonts w:ascii="Arial" w:hAnsi="Arial" w:cs="Arial"/>
          <w:lang w:val="sr-Cyrl-RS"/>
        </w:rPr>
        <w:t xml:space="preserve"> </w:t>
      </w:r>
      <w:r w:rsidRPr="00E65899">
        <w:rPr>
          <w:rStyle w:val="Emphasis"/>
          <w:rFonts w:ascii="Arial" w:hAnsi="Arial" w:cs="Arial"/>
        </w:rPr>
        <w:t>in</w:t>
      </w:r>
      <w:r w:rsidRPr="00E65899">
        <w:rPr>
          <w:rStyle w:val="Emphasis"/>
          <w:rFonts w:ascii="Arial" w:hAnsi="Arial" w:cs="Arial"/>
          <w:lang w:val="sr-Cyrl-RS"/>
        </w:rPr>
        <w:t xml:space="preserve"> </w:t>
      </w:r>
      <w:r w:rsidRPr="00E65899">
        <w:rPr>
          <w:rStyle w:val="Emphasis"/>
          <w:rFonts w:ascii="Arial" w:hAnsi="Arial" w:cs="Arial"/>
        </w:rPr>
        <w:t>Education</w:t>
      </w:r>
      <w:r w:rsidRPr="00E65899">
        <w:rPr>
          <w:rStyle w:val="Emphasis"/>
          <w:rFonts w:ascii="Arial" w:hAnsi="Arial" w:cs="Arial"/>
          <w:lang w:val="sr-Cyrl-RS"/>
        </w:rPr>
        <w:t xml:space="preserve">, </w:t>
      </w:r>
      <w:r w:rsidRPr="00E65899">
        <w:rPr>
          <w:rStyle w:val="Emphasis"/>
          <w:rFonts w:ascii="Arial" w:hAnsi="Arial" w:cs="Arial"/>
        </w:rPr>
        <w:t>Employment</w:t>
      </w:r>
      <w:r w:rsidRPr="00E65899">
        <w:rPr>
          <w:rStyle w:val="Emphasis"/>
          <w:rFonts w:ascii="Arial" w:hAnsi="Arial" w:cs="Arial"/>
          <w:lang w:val="sr-Cyrl-RS"/>
        </w:rPr>
        <w:t xml:space="preserve">, </w:t>
      </w:r>
      <w:r w:rsidRPr="00E65899">
        <w:rPr>
          <w:rStyle w:val="Emphasis"/>
          <w:rFonts w:ascii="Arial" w:hAnsi="Arial" w:cs="Arial"/>
        </w:rPr>
        <w:t>or</w:t>
      </w:r>
      <w:r w:rsidRPr="00E65899">
        <w:rPr>
          <w:rStyle w:val="Emphasis"/>
          <w:rFonts w:ascii="Arial" w:hAnsi="Arial" w:cs="Arial"/>
          <w:lang w:val="sr-Cyrl-RS"/>
        </w:rPr>
        <w:t xml:space="preserve"> </w:t>
      </w:r>
      <w:r w:rsidRPr="00E65899">
        <w:rPr>
          <w:rStyle w:val="Emphasis"/>
          <w:rFonts w:ascii="Arial" w:hAnsi="Arial" w:cs="Arial"/>
        </w:rPr>
        <w:t>Training</w:t>
      </w:r>
      <w:r w:rsidRPr="00E65899">
        <w:rPr>
          <w:rStyle w:val="Emphasis"/>
          <w:rFonts w:ascii="Arial" w:hAnsi="Arial" w:cs="Arial"/>
          <w:lang w:val="sr-Cyrl-RS"/>
        </w:rPr>
        <w:t>”</w:t>
      </w:r>
      <w:r w:rsidRPr="00E65899">
        <w:rPr>
          <w:rFonts w:ascii="Arial" w:eastAsia="Times New Roman" w:hAnsi="Arial" w:cs="Arial"/>
          <w:lang w:val="sr-Cyrl-RS"/>
        </w:rPr>
        <w:t xml:space="preserve">) </w:t>
      </w:r>
      <w:r w:rsidR="00EE6F38" w:rsidRPr="00E65899">
        <w:rPr>
          <w:rFonts w:ascii="Arial" w:eastAsia="Times New Roman" w:hAnsi="Arial" w:cs="Arial"/>
          <w:lang w:val="sr-Cyrl-RS"/>
        </w:rPr>
        <w:t>стопа, која</w:t>
      </w:r>
      <w:r w:rsidR="00EE6F38">
        <w:rPr>
          <w:rFonts w:ascii="Arial" w:eastAsia="Times New Roman" w:hAnsi="Arial" w:cs="Arial"/>
          <w:lang w:val="sr-Cyrl-RS"/>
        </w:rPr>
        <w:t xml:space="preserve"> представља удео младих узраста од 15 до 24 године</w:t>
      </w:r>
      <w:r w:rsidR="00EE6F38" w:rsidRPr="001E3B83">
        <w:rPr>
          <w:rFonts w:ascii="Arial" w:eastAsia="Times New Roman" w:hAnsi="Arial" w:cs="Arial"/>
          <w:lang w:val="sr-Cyrl-RS"/>
        </w:rPr>
        <w:t xml:space="preserve"> који нити раде нити су у процесу образовања у укупној популацији младих, износила  је 15,9% и</w:t>
      </w:r>
      <w:r w:rsidR="00EE6F38">
        <w:rPr>
          <w:rFonts w:ascii="Arial" w:eastAsia="Times New Roman" w:hAnsi="Arial" w:cs="Arial"/>
          <w:lang w:val="sr-Cyrl-RS"/>
        </w:rPr>
        <w:t>,</w:t>
      </w:r>
      <w:r w:rsidR="00EE6F38" w:rsidRPr="001E3B83">
        <w:rPr>
          <w:rFonts w:ascii="Arial" w:eastAsia="Times New Roman" w:hAnsi="Arial" w:cs="Arial"/>
          <w:lang w:val="sr-Cyrl-RS"/>
        </w:rPr>
        <w:t xml:space="preserve"> </w:t>
      </w:r>
      <w:r w:rsidR="00EE6F38">
        <w:rPr>
          <w:rFonts w:ascii="Arial" w:eastAsia="Times New Roman" w:hAnsi="Arial" w:cs="Arial"/>
          <w:lang w:val="sr-Cyrl-RS"/>
        </w:rPr>
        <w:t xml:space="preserve">у </w:t>
      </w:r>
      <w:r w:rsidR="00EE6F38" w:rsidRPr="001E3B83">
        <w:rPr>
          <w:rFonts w:ascii="Arial" w:eastAsia="Times New Roman" w:hAnsi="Arial" w:cs="Arial"/>
          <w:lang w:val="sr-Cyrl-RS"/>
        </w:rPr>
        <w:t>односу на исти период прошле године</w:t>
      </w:r>
      <w:r w:rsidR="00EE6F38">
        <w:rPr>
          <w:rFonts w:ascii="Arial" w:eastAsia="Times New Roman" w:hAnsi="Arial" w:cs="Arial"/>
          <w:lang w:val="sr-Cyrl-RS"/>
        </w:rPr>
        <w:t>,</w:t>
      </w:r>
      <w:r w:rsidR="00EE6F38" w:rsidRPr="001E3B83">
        <w:rPr>
          <w:rFonts w:ascii="Arial" w:eastAsia="Times New Roman" w:hAnsi="Arial" w:cs="Arial"/>
          <w:lang w:val="sr-Cyrl-RS"/>
        </w:rPr>
        <w:t xml:space="preserve">  већа је за 1</w:t>
      </w:r>
      <w:r w:rsidR="00EE6F38">
        <w:rPr>
          <w:rFonts w:ascii="Arial" w:eastAsia="Times New Roman" w:hAnsi="Arial" w:cs="Arial"/>
          <w:lang w:val="sr-Cyrl-RS"/>
        </w:rPr>
        <w:t>,</w:t>
      </w:r>
      <w:r w:rsidR="00EE6F38" w:rsidRPr="001E3B83">
        <w:rPr>
          <w:rFonts w:ascii="Arial" w:eastAsia="Times New Roman" w:hAnsi="Arial" w:cs="Arial"/>
          <w:lang w:val="sr-Cyrl-RS"/>
        </w:rPr>
        <w:t>8 п. п.  Код популације узраста од 15 до 29 година, NEET стопа повећана је за 2,5 п. п. и у другом кварталу 2020. износи</w:t>
      </w:r>
      <w:r w:rsidR="00EE6F38">
        <w:rPr>
          <w:rFonts w:ascii="Arial" w:eastAsia="Times New Roman" w:hAnsi="Arial" w:cs="Arial"/>
          <w:lang w:val="sr-Cyrl-RS"/>
        </w:rPr>
        <w:t>ла је</w:t>
      </w:r>
      <w:r w:rsidR="00EE6F38" w:rsidRPr="001E3B83">
        <w:rPr>
          <w:rFonts w:ascii="Arial" w:eastAsia="Times New Roman" w:hAnsi="Arial" w:cs="Arial"/>
          <w:lang w:val="sr-Cyrl-RS"/>
        </w:rPr>
        <w:t xml:space="preserve"> 20,1%.</w:t>
      </w:r>
    </w:p>
    <w:p w:rsidR="00F85FBF" w:rsidRPr="00F316DF" w:rsidRDefault="0063698D" w:rsidP="00D95615">
      <w:pPr>
        <w:spacing w:before="480" w:after="120" w:line="264" w:lineRule="auto"/>
        <w:ind w:firstLine="397"/>
        <w:jc w:val="both"/>
        <w:rPr>
          <w:rStyle w:val="IntenseEmphasis"/>
          <w:i w:val="0"/>
          <w:color w:val="2E74B5" w:themeColor="accent1" w:themeShade="BF"/>
          <w:sz w:val="22"/>
          <w:szCs w:val="22"/>
        </w:rPr>
      </w:pPr>
      <w:r w:rsidRPr="00F316DF">
        <w:rPr>
          <w:rStyle w:val="IntenseEmphasis"/>
          <w:i w:val="0"/>
          <w:color w:val="2E74B5" w:themeColor="accent1" w:themeShade="BF"/>
          <w:sz w:val="22"/>
          <w:szCs w:val="22"/>
        </w:rPr>
        <w:t>COVID-</w:t>
      </w:r>
      <w:r w:rsidR="007969ED" w:rsidRPr="00F316DF">
        <w:rPr>
          <w:rStyle w:val="IntenseEmphasis"/>
          <w:i w:val="0"/>
          <w:color w:val="2E74B5" w:themeColor="accent1" w:themeShade="BF"/>
          <w:sz w:val="22"/>
          <w:szCs w:val="22"/>
        </w:rPr>
        <w:t>19 и додатни индикатори о кретању на тржишту рада</w:t>
      </w:r>
    </w:p>
    <w:p w:rsidR="005F5824" w:rsidRPr="00E65899" w:rsidRDefault="005F5824" w:rsidP="00334777">
      <w:pPr>
        <w:pStyle w:val="ListParagraph"/>
        <w:spacing w:before="120" w:after="120" w:line="264" w:lineRule="auto"/>
        <w:ind w:left="0" w:firstLine="403"/>
        <w:jc w:val="both"/>
        <w:rPr>
          <w:rFonts w:ascii="Arial" w:hAnsi="Arial" w:cs="Arial"/>
          <w:sz w:val="20"/>
          <w:szCs w:val="20"/>
          <w:lang w:val="sr-Cyrl-RS"/>
        </w:rPr>
      </w:pPr>
      <w:r w:rsidRPr="00FD27CF">
        <w:rPr>
          <w:rFonts w:ascii="Arial" w:hAnsi="Arial" w:cs="Arial"/>
          <w:sz w:val="20"/>
          <w:szCs w:val="20"/>
          <w:lang w:val="sr-Cyrl-RS"/>
        </w:rPr>
        <w:t>У другом кварталу 2020. године промене на тржишту рада су биле под већим утицајем</w:t>
      </w:r>
      <w:r w:rsidRPr="00FD27CF">
        <w:rPr>
          <w:rFonts w:ascii="Arial" w:hAnsi="Arial" w:cs="Arial"/>
          <w:color w:val="1F497D"/>
          <w:sz w:val="20"/>
          <w:szCs w:val="20"/>
          <w:lang w:val="sr-Cyrl-RS"/>
        </w:rPr>
        <w:t xml:space="preserve"> </w:t>
      </w:r>
      <w:r w:rsidRPr="00FD27CF">
        <w:rPr>
          <w:rFonts w:ascii="Arial" w:hAnsi="Arial" w:cs="Arial"/>
          <w:sz w:val="20"/>
          <w:szCs w:val="20"/>
          <w:lang w:val="sr-Latn-RS"/>
        </w:rPr>
        <w:t>пандемије</w:t>
      </w:r>
      <w:r w:rsidRPr="00FD27CF">
        <w:rPr>
          <w:rFonts w:ascii="Arial" w:hAnsi="Arial" w:cs="Arial"/>
          <w:sz w:val="20"/>
          <w:szCs w:val="20"/>
          <w:lang w:val="sr-Cyrl-RS"/>
        </w:rPr>
        <w:t xml:space="preserve"> COVID-19  и мера Владе </w:t>
      </w:r>
      <w:r w:rsidRPr="00FD27CF">
        <w:rPr>
          <w:rFonts w:ascii="Arial" w:hAnsi="Arial" w:cs="Arial"/>
          <w:sz w:val="20"/>
          <w:szCs w:val="20"/>
          <w:lang w:val="sr-Latn-RS"/>
        </w:rPr>
        <w:t>уведених</w:t>
      </w:r>
      <w:r w:rsidRPr="00FD27CF">
        <w:rPr>
          <w:rFonts w:ascii="Arial" w:hAnsi="Arial" w:cs="Arial"/>
          <w:sz w:val="20"/>
          <w:szCs w:val="20"/>
          <w:lang w:val="sr-Cyrl-RS"/>
        </w:rPr>
        <w:t xml:space="preserve"> у првом кварталу 2020. године ради одржања економске стабилности. У таквој ситуацији класичне дефиниције запослености и незапослености (према дефиницији Међународне организације рада – МОР) нису довољне да опишу све промене које су се десиле на тржишту рада. У </w:t>
      </w:r>
      <w:r w:rsidRPr="00FD27CF">
        <w:rPr>
          <w:rFonts w:ascii="Arial" w:hAnsi="Arial" w:cs="Arial"/>
          <w:sz w:val="20"/>
          <w:szCs w:val="20"/>
          <w:lang w:val="sr-Latn-RS"/>
        </w:rPr>
        <w:t>почетку</w:t>
      </w:r>
      <w:r w:rsidRPr="00FD27CF">
        <w:rPr>
          <w:rFonts w:ascii="Arial" w:hAnsi="Arial" w:cs="Arial"/>
          <w:sz w:val="20"/>
          <w:szCs w:val="20"/>
          <w:lang w:val="sr-Cyrl-RS"/>
        </w:rPr>
        <w:t xml:space="preserve">, мере Владе за ублажавање последица изазваних пандемијом спречиле су гашење радних места. Повећан је проценат запослених који су одсуствовали с посла или радили од куће. </w:t>
      </w:r>
      <w:r w:rsidR="00F90F56" w:rsidRPr="00FD27CF">
        <w:rPr>
          <w:rFonts w:ascii="Arial" w:hAnsi="Arial" w:cs="Arial"/>
          <w:sz w:val="20"/>
          <w:szCs w:val="20"/>
          <w:lang w:val="sr-Cyrl-RS"/>
        </w:rPr>
        <w:t>Новонастала е</w:t>
      </w:r>
      <w:r w:rsidRPr="00FD27CF">
        <w:rPr>
          <w:rFonts w:ascii="Arial" w:hAnsi="Arial" w:cs="Arial"/>
          <w:sz w:val="20"/>
          <w:szCs w:val="20"/>
          <w:lang w:val="sr-Cyrl-RS"/>
        </w:rPr>
        <w:t>кономска криза довела је и до смањења незапослености јер се појединци који нису могли да траже посао или нису били у могућности да почну да раде због мера спречавања ширења вируса не сматрају незапосленима (према концепту МОР-а) већ неактивнима.</w:t>
      </w:r>
    </w:p>
    <w:p w:rsidR="00334777" w:rsidRPr="00E65899" w:rsidRDefault="006445F1" w:rsidP="00334777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E65899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50CA7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111210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складу са препорукама Европске статистичке организације – Евростата, у </w:t>
      </w:r>
      <w:r w:rsidR="0063698D" w:rsidRPr="00E65899">
        <w:rPr>
          <w:rFonts w:ascii="Arial" w:eastAsia="Times New Roman" w:hAnsi="Arial" w:cs="Arial"/>
          <w:sz w:val="20"/>
          <w:szCs w:val="20"/>
          <w:lang w:val="sr-Cyrl-RS"/>
        </w:rPr>
        <w:t>овом с</w:t>
      </w:r>
      <w:r w:rsidR="00111210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аопштењу </w:t>
      </w:r>
      <w:r w:rsidR="0063698D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r w:rsidR="00111210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посебна пажња посвећена додатним индикаторима </w:t>
      </w:r>
      <w:r w:rsidR="0063698D" w:rsidRPr="00E65899">
        <w:rPr>
          <w:rFonts w:ascii="Arial" w:eastAsia="Times New Roman" w:hAnsi="Arial" w:cs="Arial"/>
          <w:sz w:val="20"/>
          <w:szCs w:val="20"/>
          <w:lang w:val="sr-Cyrl-RS"/>
        </w:rPr>
        <w:t>с</w:t>
      </w:r>
      <w:r w:rsidR="00334777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циљем да се подробније </w:t>
      </w:r>
      <w:r w:rsidR="00DA2243" w:rsidRPr="00E65899">
        <w:rPr>
          <w:rFonts w:ascii="Arial" w:eastAsia="Times New Roman" w:hAnsi="Arial" w:cs="Arial"/>
          <w:sz w:val="20"/>
          <w:szCs w:val="20"/>
          <w:lang w:val="sr-Cyrl-RS"/>
        </w:rPr>
        <w:t>прикажу</w:t>
      </w:r>
      <w:r w:rsidR="00334777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најновија кретања на тржишту рада. Ти додатни индикатори </w:t>
      </w:r>
      <w:r w:rsidR="000E7DEA" w:rsidRPr="00E65899">
        <w:rPr>
          <w:rFonts w:ascii="Arial" w:eastAsia="Times New Roman" w:hAnsi="Arial" w:cs="Arial"/>
          <w:sz w:val="20"/>
          <w:szCs w:val="20"/>
          <w:lang w:val="sr-Cyrl-RS"/>
        </w:rPr>
        <w:t>односе се на</w:t>
      </w:r>
      <w:r w:rsidR="00334777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3698D" w:rsidRPr="00E65899">
        <w:rPr>
          <w:rFonts w:ascii="Arial" w:eastAsia="Times New Roman" w:hAnsi="Arial" w:cs="Arial"/>
          <w:sz w:val="20"/>
          <w:szCs w:val="20"/>
          <w:lang w:val="sr-Cyrl-RS"/>
        </w:rPr>
        <w:t>укупан застој на тржишту рада (</w:t>
      </w:r>
      <w:r w:rsidR="00334777" w:rsidRPr="00E65899">
        <w:rPr>
          <w:rFonts w:ascii="Arial" w:eastAsia="Times New Roman" w:hAnsi="Arial" w:cs="Arial"/>
          <w:i/>
          <w:sz w:val="20"/>
          <w:szCs w:val="20"/>
          <w:lang w:val="sr-Cyrl-RS"/>
        </w:rPr>
        <w:t>total labour market slack</w:t>
      </w:r>
      <w:r w:rsidR="00214895" w:rsidRPr="00E65899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="00A0228F" w:rsidRPr="00E65899">
        <w:rPr>
          <w:rFonts w:ascii="Arial" w:eastAsia="Times New Roman" w:hAnsi="Arial" w:cs="Arial"/>
          <w:sz w:val="20"/>
          <w:szCs w:val="20"/>
          <w:lang w:val="sr-Cyrl-RS"/>
        </w:rPr>
        <w:t>, одсу</w:t>
      </w:r>
      <w:r w:rsidR="000E7DEA" w:rsidRPr="00E65899">
        <w:rPr>
          <w:rFonts w:ascii="Arial" w:eastAsia="Times New Roman" w:hAnsi="Arial" w:cs="Arial"/>
          <w:sz w:val="20"/>
          <w:szCs w:val="20"/>
          <w:lang w:val="sr-Cyrl-RS"/>
        </w:rPr>
        <w:t>ство</w:t>
      </w:r>
      <w:r w:rsidR="00B114ED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с посл</w:t>
      </w:r>
      <w:r w:rsidR="00A825E6" w:rsidRPr="00E6589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="000E7DEA" w:rsidRPr="00E65899">
        <w:rPr>
          <w:rFonts w:ascii="Arial" w:eastAsia="Times New Roman" w:hAnsi="Arial" w:cs="Arial"/>
          <w:sz w:val="20"/>
          <w:szCs w:val="20"/>
          <w:lang w:val="sr-Cyrl-RS"/>
        </w:rPr>
        <w:t>, рад од куће и</w:t>
      </w:r>
      <w:r w:rsidR="00DA2243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извршен</w:t>
      </w:r>
      <w:r w:rsidR="000E7DEA" w:rsidRPr="00E65899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="00DA2243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часов</w:t>
      </w:r>
      <w:r w:rsidR="000E7DEA" w:rsidRPr="00E65899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="00B114ED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рада. </w:t>
      </w:r>
      <w:r w:rsidR="00A0228F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14895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:rsidR="001C2F8C" w:rsidRPr="00E65899" w:rsidRDefault="00111210" w:rsidP="00F316DF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E65899">
        <w:rPr>
          <w:rFonts w:ascii="Arial" w:eastAsia="Times New Roman" w:hAnsi="Arial" w:cs="Arial"/>
          <w:b/>
          <w:sz w:val="20"/>
          <w:szCs w:val="20"/>
          <w:lang w:val="sr-Cyrl-RS"/>
        </w:rPr>
        <w:t>Застој</w:t>
      </w:r>
      <w:r w:rsidR="001C2F8C" w:rsidRPr="00E65899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на тржишту рада </w:t>
      </w:r>
      <w:r w:rsidR="0063698D" w:rsidRPr="00E65899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="0063698D" w:rsidRPr="00E65899">
        <w:rPr>
          <w:rFonts w:ascii="Arial" w:eastAsia="Times New Roman" w:hAnsi="Arial" w:cs="Arial"/>
          <w:i/>
          <w:sz w:val="20"/>
          <w:szCs w:val="20"/>
          <w:lang w:val="sr-Cyrl-RS"/>
        </w:rPr>
        <w:t>labour market slack</w:t>
      </w:r>
      <w:r w:rsidR="001C2F8C" w:rsidRPr="00E65899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="000E7DEA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представља учешће 1) </w:t>
      </w:r>
      <w:r w:rsidR="001C2F8C" w:rsidRPr="00E65899">
        <w:rPr>
          <w:rFonts w:ascii="Arial" w:eastAsia="Times New Roman" w:hAnsi="Arial" w:cs="Arial"/>
          <w:sz w:val="20"/>
          <w:szCs w:val="20"/>
          <w:lang w:val="sr-Cyrl-RS"/>
        </w:rPr>
        <w:t>незапослених</w:t>
      </w:r>
      <w:r w:rsidRPr="00E65899">
        <w:rPr>
          <w:rFonts w:ascii="Arial" w:eastAsia="Times New Roman" w:hAnsi="Arial" w:cs="Arial"/>
          <w:sz w:val="20"/>
          <w:szCs w:val="20"/>
          <w:lang w:val="sr-Cyrl-RS"/>
        </w:rPr>
        <w:t>;</w:t>
      </w:r>
      <w:r w:rsidR="001C2F8C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0E7DEA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2) </w:t>
      </w:r>
      <w:r w:rsidR="001C2F8C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запослених </w:t>
      </w:r>
      <w:r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који раде краће од пуног радног времена а </w:t>
      </w:r>
      <w:r w:rsidR="001C2F8C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желели</w:t>
      </w:r>
      <w:r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би да раде више;</w:t>
      </w:r>
      <w:r w:rsidR="001C2F8C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0E7DEA" w:rsidRPr="00E65899">
        <w:rPr>
          <w:rFonts w:ascii="Arial" w:eastAsia="Times New Roman" w:hAnsi="Arial" w:cs="Arial"/>
          <w:sz w:val="20"/>
          <w:szCs w:val="20"/>
          <w:lang w:val="sr-Cyrl-RS"/>
        </w:rPr>
        <w:t>3) оних</w:t>
      </w:r>
      <w:r w:rsidR="001C2F8C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кој</w:t>
      </w:r>
      <w:r w:rsidR="000E7DEA" w:rsidRPr="00E65899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="001C2F8C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траже посао али не могу да раде и </w:t>
      </w:r>
      <w:r w:rsidR="000E7DEA" w:rsidRPr="00E65899">
        <w:rPr>
          <w:rFonts w:ascii="Arial" w:eastAsia="Times New Roman" w:hAnsi="Arial" w:cs="Arial"/>
          <w:sz w:val="20"/>
          <w:szCs w:val="20"/>
          <w:lang w:val="sr-Cyrl-RS"/>
        </w:rPr>
        <w:t>4) оних који</w:t>
      </w:r>
      <w:r w:rsidR="001C2F8C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могу да раде, али н</w:t>
      </w:r>
      <w:r w:rsidR="000214B0" w:rsidRPr="00E65899">
        <w:rPr>
          <w:rFonts w:ascii="Arial" w:eastAsia="Times New Roman" w:hAnsi="Arial" w:cs="Arial"/>
          <w:sz w:val="20"/>
          <w:szCs w:val="20"/>
          <w:lang w:val="sr-Cyrl-RS"/>
        </w:rPr>
        <w:t>е траже посао</w:t>
      </w:r>
      <w:r w:rsidR="0063698D" w:rsidRPr="00E65899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="000214B0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8674DE" w:rsidRPr="00E65899">
        <w:rPr>
          <w:rFonts w:ascii="Arial" w:eastAsia="Times New Roman" w:hAnsi="Arial" w:cs="Arial"/>
          <w:sz w:val="20"/>
          <w:szCs w:val="20"/>
          <w:lang w:val="sr-Cyrl-RS"/>
        </w:rPr>
        <w:t>у проширено</w:t>
      </w:r>
      <w:r w:rsidR="00CC48A1" w:rsidRPr="00E65899">
        <w:rPr>
          <w:rFonts w:ascii="Arial" w:eastAsia="Times New Roman" w:hAnsi="Arial" w:cs="Arial"/>
          <w:sz w:val="20"/>
          <w:szCs w:val="20"/>
          <w:lang w:val="sr-Cyrl-RS"/>
        </w:rPr>
        <w:t>ј</w:t>
      </w:r>
      <w:r w:rsidR="008674DE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радној сна</w:t>
      </w:r>
      <w:r w:rsidR="000214B0" w:rsidRPr="00E65899">
        <w:rPr>
          <w:rFonts w:ascii="Arial" w:eastAsia="Times New Roman" w:hAnsi="Arial" w:cs="Arial"/>
          <w:sz w:val="20"/>
          <w:szCs w:val="20"/>
          <w:lang w:val="sr-Cyrl-RS"/>
        </w:rPr>
        <w:t>з</w:t>
      </w:r>
      <w:r w:rsidR="008674DE" w:rsidRPr="00E65899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="00F316DF" w:rsidRPr="00E65899">
        <w:rPr>
          <w:rFonts w:ascii="Arial" w:eastAsia="Times New Roman" w:hAnsi="Arial" w:cs="Arial"/>
          <w:sz w:val="20"/>
          <w:szCs w:val="20"/>
          <w:lang w:val="sr-Latn-RS"/>
        </w:rPr>
        <w:t xml:space="preserve">, </w:t>
      </w:r>
      <w:r w:rsidR="00F316DF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при чему се под проширеном </w:t>
      </w:r>
      <w:r w:rsidR="00F316DF" w:rsidRPr="00E65899">
        <w:rPr>
          <w:rFonts w:ascii="Arial" w:eastAsia="Times New Roman" w:hAnsi="Arial" w:cs="Arial"/>
          <w:sz w:val="20"/>
          <w:szCs w:val="20"/>
          <w:lang w:val="sr-Cyrl-RS"/>
        </w:rPr>
        <w:lastRenderedPageBreak/>
        <w:t>радном снагом подразумевају сви запослени, незапослени и потенцијална радна снага</w:t>
      </w:r>
      <w:r w:rsidR="008674DE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F316DF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(они који могу да раде али не траже посао и они који траже посао али не могу одмах да почну да раде). </w:t>
      </w:r>
    </w:p>
    <w:p w:rsidR="00825AC4" w:rsidRDefault="00C91332" w:rsidP="00880BF1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E65899">
        <w:rPr>
          <w:rFonts w:ascii="Arial" w:eastAsia="Times New Roman" w:hAnsi="Arial" w:cs="Arial"/>
          <w:sz w:val="20"/>
          <w:szCs w:val="20"/>
          <w:lang w:val="sr-Cyrl-RS"/>
        </w:rPr>
        <w:t>За</w:t>
      </w:r>
      <w:r w:rsidR="00111210" w:rsidRPr="00E65899">
        <w:rPr>
          <w:rFonts w:ascii="Arial" w:eastAsia="Times New Roman" w:hAnsi="Arial" w:cs="Arial"/>
          <w:sz w:val="20"/>
          <w:szCs w:val="20"/>
          <w:lang w:val="sr-Cyrl-RS"/>
        </w:rPr>
        <w:t>стој</w:t>
      </w:r>
      <w:r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на тржишту рада у другом кварталу 2020. године износи 19,9% и</w:t>
      </w:r>
      <w:r w:rsidR="0063698D" w:rsidRPr="00E65899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у односу на исти пе</w:t>
      </w:r>
      <w:r w:rsidR="00111210" w:rsidRPr="00E65899">
        <w:rPr>
          <w:rFonts w:ascii="Arial" w:eastAsia="Times New Roman" w:hAnsi="Arial" w:cs="Arial"/>
          <w:sz w:val="20"/>
          <w:szCs w:val="20"/>
          <w:lang w:val="sr-Cyrl-RS"/>
        </w:rPr>
        <w:t>риод прошле године</w:t>
      </w:r>
      <w:r w:rsidR="0063698D" w:rsidRPr="00E65899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="00111210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већи</w:t>
      </w:r>
      <w:r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је за 0,4 п.</w:t>
      </w:r>
      <w:r w:rsidR="007A2C8F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E65899">
        <w:rPr>
          <w:rFonts w:ascii="Arial" w:eastAsia="Times New Roman" w:hAnsi="Arial" w:cs="Arial"/>
          <w:sz w:val="20"/>
          <w:szCs w:val="20"/>
          <w:lang w:val="sr-Cyrl-RS"/>
        </w:rPr>
        <w:t>п.</w:t>
      </w:r>
      <w:r w:rsidR="0063698D" w:rsidRPr="00E65899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0E7DEA" w:rsidRPr="00E65899">
        <w:rPr>
          <w:rFonts w:ascii="Arial" w:eastAsia="Times New Roman" w:hAnsi="Arial" w:cs="Arial"/>
          <w:sz w:val="20"/>
          <w:szCs w:val="20"/>
          <w:lang w:val="sr-Cyrl-RS"/>
        </w:rPr>
        <w:t>што сугерише</w:t>
      </w:r>
      <w:r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да је на тржишту рада до</w:t>
      </w:r>
      <w:r w:rsidR="00AB3937" w:rsidRPr="00E65899">
        <w:rPr>
          <w:rFonts w:ascii="Arial" w:eastAsia="Times New Roman" w:hAnsi="Arial" w:cs="Arial"/>
          <w:sz w:val="20"/>
          <w:szCs w:val="20"/>
          <w:lang w:val="sr-Latn-RS"/>
        </w:rPr>
        <w:t>ш</w:t>
      </w:r>
      <w:r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ло до раста </w:t>
      </w:r>
      <w:r w:rsidR="00AB3937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тзв. </w:t>
      </w:r>
      <w:r w:rsidRPr="00E65899">
        <w:rPr>
          <w:rFonts w:ascii="Arial" w:eastAsia="Times New Roman" w:hAnsi="Arial" w:cs="Arial"/>
          <w:sz w:val="20"/>
          <w:szCs w:val="20"/>
          <w:lang w:val="sr-Cyrl-RS"/>
        </w:rPr>
        <w:t>незадовољ</w:t>
      </w:r>
      <w:r w:rsidR="00297362" w:rsidRPr="00E65899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не потребе за запослењем, </w:t>
      </w:r>
      <w:r w:rsidR="00AB3937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без обзира </w:t>
      </w:r>
      <w:r w:rsidR="000E7DEA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на то </w:t>
      </w:r>
      <w:r w:rsidR="00AB3937" w:rsidRPr="00E65899">
        <w:rPr>
          <w:rFonts w:ascii="Arial" w:eastAsia="Times New Roman" w:hAnsi="Arial" w:cs="Arial"/>
          <w:sz w:val="20"/>
          <w:szCs w:val="20"/>
          <w:lang w:val="sr-Cyrl-RS"/>
        </w:rPr>
        <w:t>што је стопа</w:t>
      </w:r>
      <w:r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незапосл</w:t>
      </w:r>
      <w:r w:rsidR="00AB3937" w:rsidRPr="00E65899">
        <w:rPr>
          <w:rFonts w:ascii="Arial" w:eastAsia="Times New Roman" w:hAnsi="Arial" w:cs="Arial"/>
          <w:sz w:val="20"/>
          <w:szCs w:val="20"/>
          <w:lang w:val="sr-Cyrl-RS"/>
        </w:rPr>
        <w:t>ености у поменутом периоду значајно смањена.</w:t>
      </w:r>
      <w:r w:rsidR="00302627" w:rsidRPr="00E65899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bookmarkStart w:id="0" w:name="_Toc48554083"/>
      <w:r w:rsidR="00825AC4" w:rsidRPr="00E65899">
        <w:rPr>
          <w:rFonts w:ascii="Arial" w:eastAsia="Times New Roman" w:hAnsi="Arial" w:cs="Arial"/>
          <w:sz w:val="20"/>
          <w:szCs w:val="20"/>
          <w:lang w:val="sr-Cyrl-RS"/>
        </w:rPr>
        <w:t>Међу наведеним категоријама проширене радне снаге највише је порастао број оних који могу да почну да раде иако не траже посао, на међугодишњем нивоу за 153 100 а на међукварталном</w:t>
      </w:r>
      <w:r w:rsidR="00825AC4" w:rsidRPr="00CC1E3F">
        <w:rPr>
          <w:rFonts w:ascii="Arial" w:eastAsia="Times New Roman" w:hAnsi="Arial" w:cs="Arial"/>
          <w:sz w:val="20"/>
          <w:szCs w:val="20"/>
          <w:lang w:val="sr-Cyrl-RS"/>
        </w:rPr>
        <w:t xml:space="preserve"> нивоу за 84</w:t>
      </w:r>
      <w:r w:rsidR="00825AC4" w:rsidRPr="00CC1E3F">
        <w:rPr>
          <w:rFonts w:ascii="Arial" w:eastAsia="Times New Roman" w:hAnsi="Arial" w:cs="Arial"/>
          <w:sz w:val="20"/>
          <w:szCs w:val="20"/>
          <w:lang w:val="sr-Latn-RS"/>
        </w:rPr>
        <w:t> </w:t>
      </w:r>
      <w:r w:rsidR="00825AC4" w:rsidRPr="00CC1E3F">
        <w:rPr>
          <w:rFonts w:ascii="Arial" w:eastAsia="Times New Roman" w:hAnsi="Arial" w:cs="Arial"/>
          <w:sz w:val="20"/>
          <w:szCs w:val="20"/>
          <w:lang w:val="sr-Cyrl-RS"/>
        </w:rPr>
        <w:t xml:space="preserve"> 500.</w:t>
      </w:r>
    </w:p>
    <w:p w:rsidR="00F85FBF" w:rsidRPr="00343625" w:rsidRDefault="007C7E7F" w:rsidP="00880BF1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C7E7F">
        <w:rPr>
          <w:rFonts w:ascii="Arial" w:eastAsia="Times New Roman" w:hAnsi="Arial" w:cs="Arial"/>
          <w:b/>
          <w:sz w:val="20"/>
          <w:szCs w:val="20"/>
          <w:lang w:val="sr-Cyrl-RS"/>
        </w:rPr>
        <w:t>Одсу</w:t>
      </w:r>
      <w:r w:rsidR="000E7DEA">
        <w:rPr>
          <w:rFonts w:ascii="Arial" w:eastAsia="Times New Roman" w:hAnsi="Arial" w:cs="Arial"/>
          <w:b/>
          <w:sz w:val="20"/>
          <w:szCs w:val="20"/>
          <w:lang w:val="sr-Cyrl-RS"/>
        </w:rPr>
        <w:t>ство</w:t>
      </w:r>
      <w:r w:rsidRPr="007C7E7F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 сa посл</w:t>
      </w:r>
      <w:bookmarkEnd w:id="0"/>
      <w:r w:rsidRPr="007C7E7F">
        <w:rPr>
          <w:rFonts w:ascii="Arial" w:eastAsia="Times New Roman" w:hAnsi="Arial" w:cs="Arial"/>
          <w:b/>
          <w:sz w:val="20"/>
          <w:szCs w:val="20"/>
          <w:lang w:val="sr-Cyrl-RS"/>
        </w:rPr>
        <w:t>а</w:t>
      </w:r>
      <w:r w:rsidRPr="007C7E7F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3698D">
        <w:rPr>
          <w:rFonts w:ascii="Arial" w:eastAsia="Times New Roman" w:hAnsi="Arial" w:cs="Arial"/>
          <w:sz w:val="20"/>
          <w:szCs w:val="20"/>
          <w:lang w:val="sr-Cyrl-RS"/>
        </w:rPr>
        <w:t>мери се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учешће</w:t>
      </w:r>
      <w:r w:rsidR="005E0B45">
        <w:rPr>
          <w:rFonts w:ascii="Arial" w:eastAsia="Times New Roman" w:hAnsi="Arial" w:cs="Arial"/>
          <w:sz w:val="20"/>
          <w:szCs w:val="20"/>
          <w:lang w:val="sr-Cyrl-RS"/>
        </w:rPr>
        <w:t>м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запослених који су одсутни са посла у укупном броју запослених. </w:t>
      </w:r>
      <w:r w:rsidR="005E0B4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A0228F">
        <w:rPr>
          <w:rFonts w:ascii="Arial" w:eastAsia="Times New Roman" w:hAnsi="Arial" w:cs="Arial"/>
          <w:sz w:val="20"/>
          <w:szCs w:val="20"/>
          <w:lang w:val="sr-Cyrl-RS"/>
        </w:rPr>
        <w:t xml:space="preserve"> другом</w:t>
      </w:r>
      <w:r w:rsidR="00A0228F" w:rsidRPr="007C7E7F">
        <w:rPr>
          <w:rFonts w:ascii="Arial" w:eastAsia="Times New Roman" w:hAnsi="Arial" w:cs="Arial"/>
          <w:sz w:val="20"/>
          <w:szCs w:val="20"/>
          <w:lang w:val="sr-Cyrl-RS"/>
        </w:rPr>
        <w:t xml:space="preserve"> кварталу 2020. године</w:t>
      </w:r>
      <w:r w:rsidR="00331A8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5E0B45">
        <w:rPr>
          <w:rFonts w:ascii="Arial" w:eastAsia="Times New Roman" w:hAnsi="Arial" w:cs="Arial"/>
          <w:sz w:val="20"/>
          <w:szCs w:val="20"/>
          <w:lang w:val="sr-Cyrl-RS"/>
        </w:rPr>
        <w:t>с посла је одсуствовало</w:t>
      </w:r>
      <w:r w:rsidR="00331A8B">
        <w:rPr>
          <w:rFonts w:ascii="Arial" w:eastAsia="Times New Roman" w:hAnsi="Arial" w:cs="Arial"/>
          <w:sz w:val="20"/>
          <w:szCs w:val="20"/>
          <w:lang w:val="sr-Cyrl-RS"/>
        </w:rPr>
        <w:t xml:space="preserve"> 11,4</w:t>
      </w:r>
      <w:r w:rsidR="00A0228F">
        <w:rPr>
          <w:rFonts w:ascii="Arial" w:eastAsia="Times New Roman" w:hAnsi="Arial" w:cs="Arial"/>
          <w:sz w:val="20"/>
          <w:szCs w:val="20"/>
          <w:lang w:val="sr-Cyrl-RS"/>
        </w:rPr>
        <w:t xml:space="preserve">% </w:t>
      </w:r>
      <w:r w:rsidR="005E0B45">
        <w:rPr>
          <w:rFonts w:ascii="Arial" w:eastAsia="Times New Roman" w:hAnsi="Arial" w:cs="Arial"/>
          <w:sz w:val="20"/>
          <w:szCs w:val="20"/>
          <w:lang w:val="sr-Cyrl-RS"/>
        </w:rPr>
        <w:t>запослених</w:t>
      </w:r>
      <w:r w:rsidR="00262188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="005E0B45">
        <w:rPr>
          <w:rFonts w:ascii="Arial" w:eastAsia="Times New Roman" w:hAnsi="Arial" w:cs="Arial"/>
          <w:sz w:val="20"/>
          <w:szCs w:val="20"/>
          <w:lang w:val="sr-Cyrl-RS"/>
        </w:rPr>
        <w:t xml:space="preserve"> што је за 2,4 п.</w:t>
      </w:r>
      <w:r w:rsidR="007A2C8F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5E0B45">
        <w:rPr>
          <w:rFonts w:ascii="Arial" w:eastAsia="Times New Roman" w:hAnsi="Arial" w:cs="Arial"/>
          <w:sz w:val="20"/>
          <w:szCs w:val="20"/>
          <w:lang w:val="sr-Cyrl-RS"/>
        </w:rPr>
        <w:t>п. више</w:t>
      </w:r>
      <w:r w:rsidR="00A0228F" w:rsidRPr="007C7E7F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A0228F">
        <w:rPr>
          <w:rFonts w:ascii="Arial" w:eastAsia="Times New Roman" w:hAnsi="Arial" w:cs="Arial"/>
          <w:sz w:val="20"/>
          <w:szCs w:val="20"/>
          <w:lang w:val="sr-Cyrl-RS"/>
        </w:rPr>
        <w:t xml:space="preserve">у односу на први </w:t>
      </w:r>
      <w:r w:rsidR="00A0228F" w:rsidRPr="00343625">
        <w:rPr>
          <w:rFonts w:ascii="Arial" w:eastAsia="Times New Roman" w:hAnsi="Arial" w:cs="Arial"/>
          <w:sz w:val="20"/>
          <w:szCs w:val="20"/>
          <w:lang w:val="sr-Cyrl-RS"/>
        </w:rPr>
        <w:t>квартал 2020. године</w:t>
      </w:r>
      <w:r w:rsidR="00F7444F" w:rsidRPr="00343625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="00A0228F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5E0B45" w:rsidRPr="00343625">
        <w:rPr>
          <w:rFonts w:ascii="Arial" w:eastAsia="Times New Roman" w:hAnsi="Arial" w:cs="Arial"/>
          <w:sz w:val="20"/>
          <w:szCs w:val="20"/>
          <w:lang w:val="sr-Cyrl-RS"/>
        </w:rPr>
        <w:t>а за 6</w:t>
      </w:r>
      <w:r w:rsidR="00D54C1C" w:rsidRPr="00343625">
        <w:rPr>
          <w:rFonts w:ascii="Arial" w:eastAsia="Times New Roman" w:hAnsi="Arial" w:cs="Arial"/>
          <w:sz w:val="20"/>
          <w:szCs w:val="20"/>
          <w:lang w:val="sr-Cyrl-RS"/>
        </w:rPr>
        <w:t>,0</w:t>
      </w:r>
      <w:r w:rsidR="005E0B45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п.</w:t>
      </w:r>
      <w:r w:rsidR="007A2C8F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5E0B45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п. више </w:t>
      </w:r>
      <w:r w:rsidR="00A0228F" w:rsidRPr="00343625">
        <w:rPr>
          <w:rFonts w:ascii="Arial" w:eastAsia="Times New Roman" w:hAnsi="Arial" w:cs="Arial"/>
          <w:sz w:val="20"/>
          <w:szCs w:val="20"/>
          <w:lang w:val="sr-Cyrl-RS"/>
        </w:rPr>
        <w:t>у одно</w:t>
      </w:r>
      <w:bookmarkStart w:id="1" w:name="_Toc49174693"/>
      <w:r w:rsidR="005E0B45" w:rsidRPr="00343625">
        <w:rPr>
          <w:rFonts w:ascii="Arial" w:eastAsia="Times New Roman" w:hAnsi="Arial" w:cs="Arial"/>
          <w:sz w:val="20"/>
          <w:szCs w:val="20"/>
          <w:lang w:val="sr-Cyrl-RS"/>
        </w:rPr>
        <w:t>су на исти период прошле године.</w:t>
      </w:r>
    </w:p>
    <w:p w:rsidR="00F8595E" w:rsidRPr="005D5B38" w:rsidRDefault="00001791" w:rsidP="00785336">
      <w:pPr>
        <w:pStyle w:val="Caption"/>
        <w:spacing w:before="480" w:after="0"/>
        <w:jc w:val="center"/>
        <w:rPr>
          <w:rFonts w:ascii="Arial" w:hAnsi="Arial" w:cs="Arial"/>
          <w:i w:val="0"/>
          <w:color w:val="auto"/>
          <w:sz w:val="20"/>
          <w:szCs w:val="20"/>
          <w:lang w:val="sr-Cyrl-RS"/>
        </w:rPr>
      </w:pPr>
      <w:r w:rsidRPr="00E65899">
        <w:rPr>
          <w:rFonts w:ascii="Arial" w:hAnsi="Arial" w:cs="Arial"/>
          <w:i w:val="0"/>
          <w:color w:val="auto"/>
          <w:sz w:val="20"/>
          <w:szCs w:val="20"/>
          <w:lang w:val="sr-Cyrl-RS"/>
        </w:rPr>
        <w:t>Граф. 2</w:t>
      </w:r>
      <w:r w:rsidR="00F8595E" w:rsidRPr="00E65899">
        <w:rPr>
          <w:rFonts w:ascii="Arial" w:hAnsi="Arial" w:cs="Arial"/>
          <w:i w:val="0"/>
          <w:color w:val="auto"/>
          <w:sz w:val="20"/>
          <w:szCs w:val="20"/>
          <w:lang w:val="sr-Cyrl-RS"/>
        </w:rPr>
        <w:t>. Број</w:t>
      </w:r>
      <w:r w:rsidR="007A2C8F" w:rsidRPr="00E65899">
        <w:rPr>
          <w:rFonts w:ascii="Arial" w:hAnsi="Arial" w:cs="Arial"/>
          <w:i w:val="0"/>
          <w:color w:val="auto"/>
          <w:sz w:val="20"/>
          <w:szCs w:val="20"/>
          <w:lang w:val="sr-Cyrl-RS"/>
        </w:rPr>
        <w:t xml:space="preserve"> </w:t>
      </w:r>
      <w:r w:rsidR="00F8595E" w:rsidRPr="00E65899">
        <w:rPr>
          <w:rFonts w:ascii="Arial" w:hAnsi="Arial" w:cs="Arial"/>
          <w:i w:val="0"/>
          <w:color w:val="auto"/>
          <w:sz w:val="20"/>
          <w:szCs w:val="20"/>
          <w:lang w:val="sr-Cyrl-RS"/>
        </w:rPr>
        <w:t xml:space="preserve">запослених </w:t>
      </w:r>
      <w:r w:rsidR="005D5B38" w:rsidRPr="00E65899">
        <w:rPr>
          <w:rFonts w:ascii="Arial" w:hAnsi="Arial" w:cs="Arial"/>
          <w:i w:val="0"/>
          <w:color w:val="auto"/>
          <w:sz w:val="20"/>
          <w:szCs w:val="20"/>
          <w:lang w:val="sr-Cyrl-RS"/>
        </w:rPr>
        <w:t xml:space="preserve">одсутних с посла </w:t>
      </w:r>
      <w:r w:rsidR="00F8595E" w:rsidRPr="00E65899">
        <w:rPr>
          <w:rFonts w:ascii="Arial" w:hAnsi="Arial" w:cs="Arial"/>
          <w:i w:val="0"/>
          <w:color w:val="auto"/>
          <w:sz w:val="20"/>
          <w:szCs w:val="20"/>
          <w:lang w:val="sr-Cyrl-RS"/>
        </w:rPr>
        <w:t>према разлозима одсуства</w:t>
      </w:r>
      <w:bookmarkEnd w:id="1"/>
    </w:p>
    <w:p w:rsidR="005D5B38" w:rsidRPr="005D5B38" w:rsidRDefault="00184E37" w:rsidP="0037110E">
      <w:pPr>
        <w:jc w:val="center"/>
      </w:pPr>
      <w:r w:rsidRPr="00184E37">
        <w:rPr>
          <w:noProof/>
          <w:lang w:val="en-US"/>
        </w:rPr>
        <w:drawing>
          <wp:inline distT="0" distB="0" distL="0" distR="0">
            <wp:extent cx="5937250" cy="2308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D1" w:rsidRDefault="007068D1" w:rsidP="007068D1"/>
    <w:p w:rsidR="00F8595E" w:rsidRPr="00E31A50" w:rsidRDefault="00220AE6" w:rsidP="00001791">
      <w:pPr>
        <w:ind w:firstLine="403"/>
        <w:jc w:val="both"/>
        <w:rPr>
          <w:rFonts w:cs="Arial"/>
        </w:rPr>
      </w:pPr>
      <w:r>
        <w:rPr>
          <w:rFonts w:cs="Arial"/>
        </w:rPr>
        <w:t xml:space="preserve">Највећи број запослених </w:t>
      </w:r>
      <w:r w:rsidR="005E0B45">
        <w:rPr>
          <w:rFonts w:cs="Arial"/>
        </w:rPr>
        <w:t>који су били одсутни с посла током другог квартала као разлог одсуства наве</w:t>
      </w:r>
      <w:r w:rsidR="00961FFC">
        <w:rPr>
          <w:rFonts w:cs="Arial"/>
        </w:rPr>
        <w:t>о је</w:t>
      </w:r>
      <w:r w:rsidR="005E0B45">
        <w:rPr>
          <w:rFonts w:cs="Arial"/>
        </w:rPr>
        <w:t xml:space="preserve"> смањен обим</w:t>
      </w:r>
      <w:r w:rsidR="00F8595E">
        <w:rPr>
          <w:rFonts w:cs="Arial"/>
        </w:rPr>
        <w:t xml:space="preserve"> посла због техничких или економских разлога</w:t>
      </w:r>
      <w:r w:rsidR="009C261D" w:rsidRPr="009C261D">
        <w:rPr>
          <w:rFonts w:cs="Arial"/>
        </w:rPr>
        <w:t xml:space="preserve"> </w:t>
      </w:r>
      <w:r w:rsidR="009C261D">
        <w:rPr>
          <w:rFonts w:cs="Arial"/>
        </w:rPr>
        <w:t>(204 200)</w:t>
      </w:r>
      <w:r w:rsidR="003615FC">
        <w:rPr>
          <w:rFonts w:cs="Arial"/>
        </w:rPr>
        <w:t>,</w:t>
      </w:r>
      <w:r w:rsidR="009C261D">
        <w:rPr>
          <w:rFonts w:cs="Arial"/>
        </w:rPr>
        <w:t xml:space="preserve"> </w:t>
      </w:r>
      <w:r w:rsidR="005E0B45">
        <w:rPr>
          <w:rFonts w:cs="Arial"/>
        </w:rPr>
        <w:t xml:space="preserve">што представља драстичан скок у </w:t>
      </w:r>
      <w:r w:rsidR="00961FFC">
        <w:rPr>
          <w:rFonts w:cs="Arial"/>
        </w:rPr>
        <w:t>односу на претходни период</w:t>
      </w:r>
      <w:r w:rsidR="00F8595E">
        <w:rPr>
          <w:rFonts w:cs="Arial"/>
        </w:rPr>
        <w:t xml:space="preserve">. </w:t>
      </w:r>
      <w:r w:rsidR="005E0B45">
        <w:rPr>
          <w:rFonts w:cs="Arial"/>
        </w:rPr>
        <w:t>С друге стране, смањен је б</w:t>
      </w:r>
      <w:r w:rsidR="00001791">
        <w:rPr>
          <w:rFonts w:cs="Arial"/>
        </w:rPr>
        <w:t xml:space="preserve">рој запослених који су </w:t>
      </w:r>
      <w:r w:rsidR="005E0B45">
        <w:rPr>
          <w:rFonts w:cs="Arial"/>
        </w:rPr>
        <w:t xml:space="preserve">били </w:t>
      </w:r>
      <w:r w:rsidR="00001791">
        <w:rPr>
          <w:rFonts w:cs="Arial"/>
        </w:rPr>
        <w:t xml:space="preserve">одсутни с посла </w:t>
      </w:r>
      <w:r w:rsidR="00F8595E">
        <w:rPr>
          <w:rFonts w:cs="Arial"/>
        </w:rPr>
        <w:t>због годишњег одмора</w:t>
      </w:r>
      <w:r w:rsidR="005E0B45">
        <w:rPr>
          <w:rFonts w:cs="Arial"/>
        </w:rPr>
        <w:t xml:space="preserve">, државних или верских празника, </w:t>
      </w:r>
      <w:r w:rsidR="00F8595E">
        <w:rPr>
          <w:rFonts w:cs="Arial"/>
        </w:rPr>
        <w:t>док</w:t>
      </w:r>
      <w:r w:rsidR="00001791">
        <w:rPr>
          <w:rFonts w:cs="Arial"/>
        </w:rPr>
        <w:t xml:space="preserve"> </w:t>
      </w:r>
      <w:r w:rsidR="005E0B45">
        <w:rPr>
          <w:rFonts w:cs="Arial"/>
        </w:rPr>
        <w:t xml:space="preserve">је </w:t>
      </w:r>
      <w:r w:rsidR="00001791">
        <w:rPr>
          <w:rFonts w:cs="Arial"/>
        </w:rPr>
        <w:t xml:space="preserve">број запослених који </w:t>
      </w:r>
      <w:r w:rsidR="005E0B45">
        <w:rPr>
          <w:rFonts w:cs="Arial"/>
        </w:rPr>
        <w:t>су одсуствовали с посла</w:t>
      </w:r>
      <w:r w:rsidR="00001791">
        <w:rPr>
          <w:rFonts w:cs="Arial"/>
        </w:rPr>
        <w:t xml:space="preserve">  </w:t>
      </w:r>
      <w:r w:rsidR="00F8595E">
        <w:rPr>
          <w:rFonts w:cs="Arial"/>
        </w:rPr>
        <w:t xml:space="preserve"> услед болести, повреда или</w:t>
      </w:r>
      <w:r w:rsidR="005E0B45">
        <w:rPr>
          <w:rFonts w:cs="Arial"/>
        </w:rPr>
        <w:t xml:space="preserve"> привремене неспособности остао</w:t>
      </w:r>
      <w:r w:rsidR="00F8595E">
        <w:rPr>
          <w:rFonts w:cs="Arial"/>
        </w:rPr>
        <w:t xml:space="preserve"> </w:t>
      </w:r>
      <w:r w:rsidR="005E0B45">
        <w:rPr>
          <w:rFonts w:cs="Arial"/>
        </w:rPr>
        <w:t>готово</w:t>
      </w:r>
      <w:r w:rsidR="00F8595E">
        <w:rPr>
          <w:rFonts w:cs="Arial"/>
        </w:rPr>
        <w:t xml:space="preserve"> непро</w:t>
      </w:r>
      <w:r w:rsidR="005E0B45">
        <w:rPr>
          <w:rFonts w:cs="Arial"/>
        </w:rPr>
        <w:t>мењен</w:t>
      </w:r>
      <w:r w:rsidR="00F8595E">
        <w:rPr>
          <w:rFonts w:cs="Arial"/>
        </w:rPr>
        <w:t xml:space="preserve">. </w:t>
      </w:r>
    </w:p>
    <w:p w:rsidR="00064A4E" w:rsidRPr="00343625" w:rsidRDefault="00064A4E" w:rsidP="00064A4E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064A4E">
        <w:rPr>
          <w:rFonts w:ascii="Arial" w:eastAsia="Times New Roman" w:hAnsi="Arial" w:cs="Arial"/>
          <w:b/>
          <w:sz w:val="20"/>
          <w:szCs w:val="20"/>
          <w:lang w:val="sr-Cyrl-RS"/>
        </w:rPr>
        <w:t>Рад од куће</w:t>
      </w:r>
      <w:r w:rsidRPr="003615FC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 w:rsidR="005E0B45">
        <w:rPr>
          <w:rFonts w:ascii="Arial" w:eastAsia="Times New Roman" w:hAnsi="Arial" w:cs="Arial"/>
          <w:sz w:val="20"/>
          <w:szCs w:val="20"/>
          <w:lang w:val="sr-Cyrl-RS"/>
        </w:rPr>
        <w:t>мерен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уч</w:t>
      </w:r>
      <w:r w:rsidRPr="00064A4E">
        <w:rPr>
          <w:rFonts w:ascii="Arial" w:eastAsia="Times New Roman" w:hAnsi="Arial" w:cs="Arial"/>
          <w:sz w:val="20"/>
          <w:szCs w:val="20"/>
          <w:lang w:val="sr-Cyrl-RS"/>
        </w:rPr>
        <w:t xml:space="preserve">ешћем </w:t>
      </w:r>
      <w:r w:rsidRPr="00343625">
        <w:rPr>
          <w:rFonts w:ascii="Arial" w:eastAsia="Times New Roman" w:hAnsi="Arial" w:cs="Arial"/>
          <w:sz w:val="20"/>
          <w:szCs w:val="20"/>
          <w:lang w:val="sr-Cyrl-RS"/>
        </w:rPr>
        <w:t>броја запослених који су радили од куће у укупном броју запослених, у другом кварта</w:t>
      </w:r>
      <w:r w:rsidR="00961FFC" w:rsidRPr="00343625">
        <w:rPr>
          <w:rFonts w:ascii="Arial" w:eastAsia="Times New Roman" w:hAnsi="Arial" w:cs="Arial"/>
          <w:sz w:val="20"/>
          <w:szCs w:val="20"/>
          <w:lang w:val="sr-Cyrl-RS"/>
        </w:rPr>
        <w:t>лу 2020. године износио је 12,1%, што је за 2,9 п.</w:t>
      </w:r>
      <w:r w:rsidR="00D6642A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961FFC" w:rsidRPr="00343625">
        <w:rPr>
          <w:rFonts w:ascii="Arial" w:eastAsia="Times New Roman" w:hAnsi="Arial" w:cs="Arial"/>
          <w:sz w:val="20"/>
          <w:szCs w:val="20"/>
          <w:lang w:val="sr-Cyrl-RS"/>
        </w:rPr>
        <w:t>п. више</w:t>
      </w:r>
      <w:r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у односу на први квартал</w:t>
      </w:r>
      <w:r w:rsidR="003615FC">
        <w:rPr>
          <w:rFonts w:ascii="Arial" w:eastAsia="Times New Roman" w:hAnsi="Arial" w:cs="Arial"/>
          <w:sz w:val="20"/>
          <w:szCs w:val="20"/>
          <w:lang w:val="sr-Cyrl-RS"/>
        </w:rPr>
        <w:t xml:space="preserve"> 2020,</w:t>
      </w:r>
      <w:r w:rsidR="00961FFC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а за </w:t>
      </w:r>
      <w:r w:rsidR="00CA16B5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961FFC" w:rsidRPr="00343625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="006614BE" w:rsidRPr="00343625">
        <w:rPr>
          <w:rFonts w:ascii="Arial" w:eastAsia="Times New Roman" w:hAnsi="Arial" w:cs="Arial"/>
          <w:sz w:val="20"/>
          <w:szCs w:val="20"/>
          <w:lang w:val="sr-Cyrl-RS"/>
        </w:rPr>
        <w:t>,0</w:t>
      </w:r>
      <w:r w:rsidR="00961FFC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п.</w:t>
      </w:r>
      <w:r w:rsidR="00CA16B5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961FFC" w:rsidRPr="00343625">
        <w:rPr>
          <w:rFonts w:ascii="Arial" w:eastAsia="Times New Roman" w:hAnsi="Arial" w:cs="Arial"/>
          <w:sz w:val="20"/>
          <w:szCs w:val="20"/>
          <w:lang w:val="sr-Cyrl-RS"/>
        </w:rPr>
        <w:t>п. више</w:t>
      </w:r>
      <w:r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у односу на исти период прошле </w:t>
      </w:r>
      <w:r w:rsidR="00961FFC" w:rsidRPr="00343625">
        <w:rPr>
          <w:rFonts w:ascii="Arial" w:eastAsia="Times New Roman" w:hAnsi="Arial" w:cs="Arial"/>
          <w:sz w:val="20"/>
          <w:szCs w:val="20"/>
          <w:lang w:val="sr-Cyrl-RS"/>
        </w:rPr>
        <w:t>године.</w:t>
      </w:r>
    </w:p>
    <w:p w:rsidR="001E58B0" w:rsidRPr="00343625" w:rsidRDefault="00B114ED" w:rsidP="001E58B0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Просечни недељни </w:t>
      </w:r>
      <w:r w:rsidRPr="00343625">
        <w:rPr>
          <w:rFonts w:ascii="Arial" w:eastAsia="Times New Roman" w:hAnsi="Arial" w:cs="Arial"/>
          <w:b/>
          <w:sz w:val="20"/>
          <w:szCs w:val="20"/>
          <w:lang w:val="sr-Cyrl-RS"/>
        </w:rPr>
        <w:t>извршени часови рада</w:t>
      </w:r>
      <w:r w:rsidR="009F23FE" w:rsidRPr="00BD6B86">
        <w:rPr>
          <w:rFonts w:ascii="Arial" w:eastAsia="Times New Roman" w:hAnsi="Arial" w:cs="Arial"/>
          <w:sz w:val="20"/>
          <w:szCs w:val="20"/>
          <w:lang w:val="sr-Cyrl-RS"/>
        </w:rPr>
        <w:t xml:space="preserve"> на главно</w:t>
      </w:r>
      <w:r w:rsidR="00961FFC" w:rsidRPr="00343625">
        <w:rPr>
          <w:rFonts w:ascii="Arial" w:eastAsia="Times New Roman" w:hAnsi="Arial" w:cs="Arial"/>
          <w:sz w:val="20"/>
          <w:szCs w:val="20"/>
          <w:lang w:val="sr-Cyrl-RS"/>
        </w:rPr>
        <w:t>м послу</w:t>
      </w:r>
      <w:r w:rsidRPr="00343625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</w:t>
      </w:r>
      <w:r w:rsidRPr="00343625">
        <w:rPr>
          <w:rFonts w:ascii="Arial" w:eastAsia="Times New Roman" w:hAnsi="Arial" w:cs="Arial"/>
          <w:sz w:val="20"/>
          <w:szCs w:val="20"/>
          <w:lang w:val="sr-Cyrl-RS"/>
        </w:rPr>
        <w:t>по запосленом у другом кварталу 20</w:t>
      </w:r>
      <w:r w:rsidR="00961FFC" w:rsidRPr="00343625">
        <w:rPr>
          <w:rFonts w:ascii="Arial" w:eastAsia="Times New Roman" w:hAnsi="Arial" w:cs="Arial"/>
          <w:sz w:val="20"/>
          <w:szCs w:val="20"/>
          <w:lang w:val="sr-Cyrl-RS"/>
        </w:rPr>
        <w:t>20. године износили су 36,2</w:t>
      </w:r>
      <w:r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и</w:t>
      </w:r>
      <w:r w:rsidR="003615FC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у односу на први квар</w:t>
      </w:r>
      <w:r w:rsidR="00961FFC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тал 2020. </w:t>
      </w:r>
      <w:r w:rsidR="003615FC">
        <w:rPr>
          <w:rFonts w:ascii="Arial" w:eastAsia="Times New Roman" w:hAnsi="Arial" w:cs="Arial"/>
          <w:sz w:val="20"/>
          <w:szCs w:val="20"/>
          <w:lang w:val="sr-Cyrl-RS"/>
        </w:rPr>
        <w:t>г</w:t>
      </w:r>
      <w:r w:rsidR="00961FFC" w:rsidRPr="00343625">
        <w:rPr>
          <w:rFonts w:ascii="Arial" w:eastAsia="Times New Roman" w:hAnsi="Arial" w:cs="Arial"/>
          <w:sz w:val="20"/>
          <w:szCs w:val="20"/>
          <w:lang w:val="sr-Cyrl-RS"/>
        </w:rPr>
        <w:t>одине</w:t>
      </w:r>
      <w:r w:rsidR="003615FC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="00961FFC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370D66" w:rsidRPr="00343625">
        <w:rPr>
          <w:rFonts w:ascii="Arial" w:eastAsia="Times New Roman" w:hAnsi="Arial" w:cs="Arial"/>
          <w:sz w:val="20"/>
          <w:szCs w:val="20"/>
          <w:lang w:val="sr-Cyrl-RS"/>
        </w:rPr>
        <w:t>остали су непромењени</w:t>
      </w:r>
      <w:r w:rsidRPr="00343625">
        <w:rPr>
          <w:rFonts w:ascii="Arial" w:eastAsia="Times New Roman" w:hAnsi="Arial" w:cs="Arial"/>
          <w:sz w:val="20"/>
          <w:szCs w:val="20"/>
          <w:lang w:val="sr-Cyrl-RS"/>
        </w:rPr>
        <w:t>, док су у односу на исти пе</w:t>
      </w:r>
      <w:r w:rsidR="00961FFC" w:rsidRPr="00343625">
        <w:rPr>
          <w:rFonts w:ascii="Arial" w:eastAsia="Times New Roman" w:hAnsi="Arial" w:cs="Arial"/>
          <w:sz w:val="20"/>
          <w:szCs w:val="20"/>
          <w:lang w:val="sr-Cyrl-RS"/>
        </w:rPr>
        <w:t>риод прошле године</w:t>
      </w:r>
      <w:r w:rsidR="00220AE6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, када  су износили 39,1, мањи за </w:t>
      </w:r>
      <w:r w:rsidR="00961FFC" w:rsidRPr="00343625">
        <w:rPr>
          <w:rFonts w:ascii="Arial" w:eastAsia="Times New Roman" w:hAnsi="Arial" w:cs="Arial"/>
          <w:sz w:val="20"/>
          <w:szCs w:val="20"/>
          <w:lang w:val="sr-Cyrl-RS"/>
        </w:rPr>
        <w:t>7,5</w:t>
      </w:r>
      <w:r w:rsidR="009F23FE" w:rsidRPr="00BD6B86">
        <w:rPr>
          <w:rFonts w:ascii="Arial" w:eastAsia="Times New Roman" w:hAnsi="Arial" w:cs="Arial"/>
          <w:sz w:val="20"/>
          <w:szCs w:val="20"/>
          <w:lang w:val="sr-Cyrl-RS"/>
        </w:rPr>
        <w:t xml:space="preserve">%. </w:t>
      </w:r>
      <w:r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:rsidR="001E58B0" w:rsidRPr="001E58B0" w:rsidRDefault="001E58B0" w:rsidP="001E58B0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343625">
        <w:rPr>
          <w:rFonts w:ascii="Arial" w:eastAsia="Times New Roman" w:hAnsi="Arial" w:cs="Arial"/>
          <w:sz w:val="20"/>
          <w:szCs w:val="20"/>
          <w:lang w:val="sr-Cyrl-RS"/>
        </w:rPr>
        <w:t>Посматрано по секторима делатности, највећи пад просечних извршених часова рада по запосленом</w:t>
      </w:r>
      <w:r w:rsidR="00961FFC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забележен </w:t>
      </w:r>
      <w:r w:rsidR="00961FFC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r w:rsidRPr="00343625">
        <w:rPr>
          <w:rFonts w:ascii="Arial" w:eastAsia="Times New Roman" w:hAnsi="Arial" w:cs="Arial"/>
          <w:sz w:val="20"/>
          <w:szCs w:val="20"/>
          <w:lang w:val="sr-Cyrl-RS"/>
        </w:rPr>
        <w:t>у секторима</w:t>
      </w:r>
      <w:r w:rsidR="00E36F9B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делатности </w:t>
      </w:r>
      <w:r w:rsidRPr="00343625">
        <w:rPr>
          <w:rFonts w:ascii="Arial" w:eastAsia="Times New Roman" w:hAnsi="Arial" w:cs="Arial"/>
          <w:sz w:val="20"/>
          <w:szCs w:val="20"/>
          <w:lang w:val="sr-Cyrl-RS"/>
        </w:rPr>
        <w:t>Услуге смештаја и исхране и Уметност,</w:t>
      </w:r>
      <w:r w:rsidR="00961FFC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забава </w:t>
      </w:r>
      <w:r w:rsidRPr="00343625">
        <w:rPr>
          <w:rFonts w:ascii="Arial" w:eastAsia="Times New Roman" w:hAnsi="Arial" w:cs="Arial"/>
          <w:sz w:val="20"/>
          <w:szCs w:val="20"/>
          <w:lang w:val="sr-Cyrl-RS"/>
        </w:rPr>
        <w:t>и рекреа</w:t>
      </w:r>
      <w:r w:rsidR="00961FFC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ција, са међугодишњим падом од 26,0% и </w:t>
      </w:r>
      <w:r w:rsidRPr="00343625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="00961FFC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1,4% и међукварталним падом од </w:t>
      </w:r>
      <w:r w:rsidR="0011255D" w:rsidRPr="00343625">
        <w:rPr>
          <w:rFonts w:ascii="Arial" w:eastAsia="Times New Roman" w:hAnsi="Arial" w:cs="Arial"/>
          <w:sz w:val="20"/>
          <w:szCs w:val="20"/>
          <w:lang w:val="sr-Cyrl-RS"/>
        </w:rPr>
        <w:t>17,7</w:t>
      </w:r>
      <w:r w:rsidR="00961FFC"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% и </w:t>
      </w:r>
      <w:r w:rsidR="0011255D" w:rsidRPr="00343625">
        <w:rPr>
          <w:rFonts w:ascii="Arial" w:eastAsia="Times New Roman" w:hAnsi="Arial" w:cs="Arial"/>
          <w:sz w:val="20"/>
          <w:szCs w:val="20"/>
          <w:lang w:val="sr-Cyrl-RS"/>
        </w:rPr>
        <w:t>20</w:t>
      </w:r>
      <w:r w:rsidR="00961FFC" w:rsidRPr="00343625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="0011255D" w:rsidRPr="00343625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="00961FFC" w:rsidRPr="00343625">
        <w:rPr>
          <w:rFonts w:ascii="Arial" w:eastAsia="Times New Roman" w:hAnsi="Arial" w:cs="Arial"/>
          <w:sz w:val="20"/>
          <w:szCs w:val="20"/>
          <w:lang w:val="sr-Cyrl-RS"/>
        </w:rPr>
        <w:t>%</w:t>
      </w:r>
      <w:r w:rsidRPr="00343625">
        <w:rPr>
          <w:rFonts w:ascii="Arial" w:eastAsia="Times New Roman" w:hAnsi="Arial" w:cs="Arial"/>
          <w:sz w:val="20"/>
          <w:szCs w:val="20"/>
          <w:lang w:val="sr-Cyrl-RS"/>
        </w:rPr>
        <w:t xml:space="preserve"> респективно.</w:t>
      </w:r>
      <w:r w:rsidRPr="001E58B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:rsidR="004D2D3D" w:rsidRPr="003033D5" w:rsidRDefault="004D2D3D" w:rsidP="00D95615">
      <w:pPr>
        <w:spacing w:before="480" w:after="120" w:line="264" w:lineRule="auto"/>
        <w:ind w:firstLine="397"/>
        <w:jc w:val="both"/>
        <w:rPr>
          <w:rStyle w:val="IntenseEmphasis"/>
          <w:rFonts w:cs="Arial"/>
          <w:i w:val="0"/>
          <w:color w:val="003399"/>
          <w:sz w:val="22"/>
          <w:szCs w:val="22"/>
        </w:rPr>
      </w:pPr>
      <w:r w:rsidRPr="003033D5">
        <w:rPr>
          <w:rStyle w:val="IntenseEmphasis"/>
          <w:rFonts w:cs="Arial"/>
          <w:i w:val="0"/>
          <w:color w:val="003399"/>
          <w:sz w:val="22"/>
          <w:szCs w:val="22"/>
        </w:rPr>
        <w:t>Основни индикатори</w:t>
      </w:r>
      <w:r w:rsidR="00A51522" w:rsidRPr="003033D5">
        <w:rPr>
          <w:rStyle w:val="IntenseEmphasis"/>
          <w:rFonts w:cs="Arial"/>
          <w:i w:val="0"/>
          <w:color w:val="003399"/>
          <w:sz w:val="22"/>
          <w:szCs w:val="22"/>
        </w:rPr>
        <w:t xml:space="preserve">, </w:t>
      </w:r>
      <w:r w:rsidR="00835A07" w:rsidRPr="003033D5">
        <w:rPr>
          <w:rStyle w:val="IntenseEmphasis"/>
          <w:rFonts w:cs="Arial"/>
          <w:i w:val="0"/>
          <w:color w:val="003399"/>
          <w:sz w:val="22"/>
          <w:szCs w:val="22"/>
          <w:lang w:val="sr-Latn-RS"/>
        </w:rPr>
        <w:t>II</w:t>
      </w:r>
      <w:r w:rsidR="00A51522" w:rsidRPr="003033D5">
        <w:rPr>
          <w:rStyle w:val="IntenseEmphasis"/>
          <w:rFonts w:cs="Arial"/>
          <w:i w:val="0"/>
          <w:color w:val="003399"/>
          <w:sz w:val="22"/>
          <w:szCs w:val="22"/>
          <w:lang w:val="sr-Latn-RS"/>
        </w:rPr>
        <w:t xml:space="preserve"> </w:t>
      </w:r>
      <w:r w:rsidR="00A51522" w:rsidRPr="003033D5">
        <w:rPr>
          <w:rStyle w:val="IntenseEmphasis"/>
          <w:rFonts w:cs="Arial"/>
          <w:i w:val="0"/>
          <w:color w:val="003399"/>
          <w:sz w:val="22"/>
          <w:szCs w:val="22"/>
        </w:rPr>
        <w:t>квартал 20</w:t>
      </w:r>
      <w:r w:rsidR="00386B7E" w:rsidRPr="003033D5">
        <w:rPr>
          <w:rStyle w:val="IntenseEmphasis"/>
          <w:rFonts w:cs="Arial"/>
          <w:i w:val="0"/>
          <w:color w:val="003399"/>
          <w:sz w:val="22"/>
          <w:szCs w:val="22"/>
        </w:rPr>
        <w:t>20</w:t>
      </w:r>
      <w:r w:rsidR="00A51522" w:rsidRPr="003033D5">
        <w:rPr>
          <w:rStyle w:val="IntenseEmphasis"/>
          <w:rFonts w:cs="Arial"/>
          <w:i w:val="0"/>
          <w:color w:val="003399"/>
          <w:sz w:val="22"/>
          <w:szCs w:val="22"/>
        </w:rPr>
        <w:t>. године</w:t>
      </w:r>
    </w:p>
    <w:p w:rsidR="00551228" w:rsidRDefault="007068D1" w:rsidP="00CD6DE6">
      <w:pPr>
        <w:spacing w:before="120" w:after="120" w:line="264" w:lineRule="auto"/>
        <w:ind w:firstLine="403"/>
        <w:jc w:val="both"/>
        <w:rPr>
          <w:rFonts w:cs="Arial"/>
          <w:lang w:val="ru-RU"/>
        </w:rPr>
      </w:pPr>
      <w:r w:rsidRPr="002F747D">
        <w:rPr>
          <w:rFonts w:cs="Arial"/>
          <w:b/>
          <w:lang w:val="ru-RU"/>
        </w:rPr>
        <w:t>Стопа активности</w:t>
      </w:r>
      <w:r w:rsidRPr="002F747D">
        <w:rPr>
          <w:rFonts w:cs="Arial"/>
          <w:lang w:val="ru-RU"/>
        </w:rPr>
        <w:t xml:space="preserve"> становништва ста</w:t>
      </w:r>
      <w:r w:rsidRPr="002F747D">
        <w:rPr>
          <w:rFonts w:cs="Arial"/>
        </w:rPr>
        <w:t>рог</w:t>
      </w:r>
      <w:r w:rsidRPr="002F747D">
        <w:rPr>
          <w:rFonts w:cs="Arial"/>
          <w:lang w:val="ru-RU"/>
        </w:rPr>
        <w:t xml:space="preserve"> 15 и више година у </w:t>
      </w:r>
      <w:r w:rsidRPr="002F747D">
        <w:rPr>
          <w:rFonts w:cs="Arial"/>
          <w:lang w:val="sr-Latn-RS"/>
        </w:rPr>
        <w:t xml:space="preserve">II </w:t>
      </w:r>
      <w:r w:rsidRPr="002F747D">
        <w:rPr>
          <w:rFonts w:cs="Arial"/>
        </w:rPr>
        <w:t>кварталу 2020. године</w:t>
      </w:r>
      <w:r w:rsidRPr="002F747D">
        <w:rPr>
          <w:rFonts w:cs="Arial"/>
          <w:lang w:val="ru-RU"/>
        </w:rPr>
        <w:t xml:space="preserve"> износила је 52</w:t>
      </w:r>
      <w:r w:rsidRPr="002F747D">
        <w:rPr>
          <w:rFonts w:cs="Arial"/>
        </w:rPr>
        <w:t>,0%</w:t>
      </w:r>
      <w:r w:rsidRPr="002F747D">
        <w:rPr>
          <w:rFonts w:cs="Arial"/>
          <w:lang w:val="ru-RU"/>
        </w:rPr>
        <w:t>, при чему је стопа активности мушкараца 59</w:t>
      </w:r>
      <w:r w:rsidRPr="002F747D">
        <w:rPr>
          <w:rFonts w:cs="Arial"/>
        </w:rPr>
        <w:t>,8</w:t>
      </w:r>
      <w:r w:rsidRPr="002F747D">
        <w:rPr>
          <w:rFonts w:cs="Arial"/>
          <w:lang w:val="ru-RU"/>
        </w:rPr>
        <w:t>%, а жена 44</w:t>
      </w:r>
      <w:r w:rsidRPr="002F747D">
        <w:rPr>
          <w:rFonts w:cs="Arial"/>
        </w:rPr>
        <w:t>,7</w:t>
      </w:r>
      <w:r w:rsidRPr="002F747D">
        <w:rPr>
          <w:rFonts w:cs="Arial"/>
          <w:lang w:val="ru-RU"/>
        </w:rPr>
        <w:t>%. У Региону Шумадије и Западне Србије и Региону Београда забележене</w:t>
      </w:r>
      <w:r w:rsidR="00DA2E84" w:rsidRPr="002F747D">
        <w:rPr>
          <w:rFonts w:cs="Arial"/>
          <w:lang w:val="ru-RU"/>
        </w:rPr>
        <w:t xml:space="preserve"> су</w:t>
      </w:r>
      <w:r w:rsidRPr="002F747D">
        <w:rPr>
          <w:rFonts w:cs="Arial"/>
          <w:lang w:val="ru-RU"/>
        </w:rPr>
        <w:t xml:space="preserve"> највеће стопе</w:t>
      </w:r>
      <w:r w:rsidRPr="002F747D">
        <w:rPr>
          <w:rFonts w:cs="Arial"/>
        </w:rPr>
        <w:t xml:space="preserve"> активности</w:t>
      </w:r>
      <w:r w:rsidRPr="002F747D">
        <w:rPr>
          <w:rFonts w:cs="Arial"/>
          <w:lang w:val="ru-RU"/>
        </w:rPr>
        <w:t xml:space="preserve"> у овом периоду (53,5%), а непосредно их прати Регион Јужне и Источне Србије</w:t>
      </w:r>
      <w:r w:rsidR="003615FC">
        <w:rPr>
          <w:rFonts w:cs="Arial"/>
          <w:lang w:val="ru-RU"/>
        </w:rPr>
        <w:t>,</w:t>
      </w:r>
      <w:r w:rsidRPr="002F747D">
        <w:rPr>
          <w:rFonts w:cs="Arial"/>
          <w:lang w:val="ru-RU"/>
        </w:rPr>
        <w:t xml:space="preserve"> у којем ова стопа </w:t>
      </w:r>
      <w:r w:rsidR="00DA2E84" w:rsidRPr="002F747D">
        <w:rPr>
          <w:rFonts w:cs="Arial"/>
          <w:lang w:val="ru-RU"/>
        </w:rPr>
        <w:t>има</w:t>
      </w:r>
      <w:r w:rsidRPr="002F747D">
        <w:rPr>
          <w:rFonts w:cs="Arial"/>
          <w:lang w:val="ru-RU"/>
        </w:rPr>
        <w:t xml:space="preserve"> вредност</w:t>
      </w:r>
      <w:r w:rsidR="003615FC">
        <w:rPr>
          <w:rFonts w:cs="Arial"/>
          <w:lang w:val="ru-RU"/>
        </w:rPr>
        <w:t xml:space="preserve"> од 51,0%. У Региону Војводине </w:t>
      </w:r>
      <w:r w:rsidRPr="002F747D">
        <w:rPr>
          <w:rFonts w:cs="Arial"/>
          <w:lang w:val="ru-RU"/>
        </w:rPr>
        <w:t>забележ</w:t>
      </w:r>
      <w:r w:rsidR="003615FC">
        <w:rPr>
          <w:rFonts w:cs="Arial"/>
          <w:lang w:val="ru-RU"/>
        </w:rPr>
        <w:t>ена је најнижа стопа активности,</w:t>
      </w:r>
      <w:r w:rsidRPr="002F747D">
        <w:rPr>
          <w:rFonts w:cs="Arial"/>
          <w:lang w:val="ru-RU"/>
        </w:rPr>
        <w:t xml:space="preserve"> 49,9%</w:t>
      </w:r>
      <w:r w:rsidR="003615FC">
        <w:rPr>
          <w:rFonts w:cs="Arial"/>
          <w:lang w:val="ru-RU"/>
        </w:rPr>
        <w:t>.</w:t>
      </w:r>
      <w:r w:rsidRPr="002F747D">
        <w:rPr>
          <w:rFonts w:cs="Arial"/>
          <w:lang w:val="ru-RU"/>
        </w:rPr>
        <w:t xml:space="preserve"> </w:t>
      </w:r>
    </w:p>
    <w:p w:rsidR="007068D1" w:rsidRPr="002F747D" w:rsidRDefault="00551228" w:rsidP="00DA2E84">
      <w:pPr>
        <w:spacing w:before="240" w:after="120" w:line="264" w:lineRule="auto"/>
        <w:ind w:firstLine="403"/>
        <w:jc w:val="both"/>
        <w:rPr>
          <w:rFonts w:cs="Arial"/>
          <w:lang w:val="ru-RU"/>
        </w:rPr>
      </w:pPr>
      <w:r w:rsidRPr="00F46FD3">
        <w:rPr>
          <w:rFonts w:cs="Arial"/>
          <w:b/>
          <w:lang w:val="ru-RU"/>
        </w:rPr>
        <w:t>Сто</w:t>
      </w:r>
      <w:r w:rsidR="007068D1" w:rsidRPr="00551228">
        <w:rPr>
          <w:rFonts w:cs="Arial"/>
          <w:b/>
          <w:lang w:val="ru-RU"/>
        </w:rPr>
        <w:t>па</w:t>
      </w:r>
      <w:r w:rsidR="007068D1" w:rsidRPr="002F747D">
        <w:rPr>
          <w:rFonts w:cs="Arial"/>
          <w:b/>
          <w:lang w:val="ru-RU"/>
        </w:rPr>
        <w:t xml:space="preserve"> запослености</w:t>
      </w:r>
      <w:r w:rsidR="007068D1" w:rsidRPr="002F747D">
        <w:rPr>
          <w:rFonts w:cs="Arial"/>
          <w:lang w:val="ru-RU"/>
        </w:rPr>
        <w:t xml:space="preserve"> становништва старости 15 и више година износила је 48</w:t>
      </w:r>
      <w:r w:rsidR="007068D1" w:rsidRPr="002F747D">
        <w:rPr>
          <w:rFonts w:cs="Arial"/>
        </w:rPr>
        <w:t>,2</w:t>
      </w:r>
      <w:r w:rsidR="007068D1" w:rsidRPr="002F747D">
        <w:rPr>
          <w:rFonts w:cs="Arial"/>
          <w:lang w:val="ru-RU"/>
        </w:rPr>
        <w:t xml:space="preserve">%, и то мушког становништва 55,7%, а женског 41,3%. Београдски регион бележи највећу стопу запослености (50,2%), иза којег следе Регион Шумадије и Западне Србије и Регион Војводине (49,3% и 47,0% респективно), док Регион Јужне и Источне Србије бележи најмању вредност (46,1%). </w:t>
      </w:r>
    </w:p>
    <w:p w:rsidR="007068D1" w:rsidRPr="002F747D" w:rsidRDefault="007068D1" w:rsidP="007068D1">
      <w:pPr>
        <w:spacing w:before="120" w:after="120" w:line="264" w:lineRule="auto"/>
        <w:ind w:firstLine="403"/>
        <w:jc w:val="both"/>
        <w:rPr>
          <w:rFonts w:cs="Arial"/>
          <w:lang w:val="ru-RU"/>
        </w:rPr>
      </w:pPr>
      <w:r w:rsidRPr="002F747D">
        <w:rPr>
          <w:rFonts w:cs="Arial"/>
          <w:b/>
          <w:lang w:val="ru-RU"/>
        </w:rPr>
        <w:lastRenderedPageBreak/>
        <w:t xml:space="preserve">Стопа неформалне запослености </w:t>
      </w:r>
      <w:r w:rsidRPr="002F747D">
        <w:rPr>
          <w:rFonts w:cs="Arial"/>
          <w:lang w:val="ru-RU"/>
        </w:rPr>
        <w:t>у наведеном кварталу на нивоу свих делатности износила је 15</w:t>
      </w:r>
      <w:r w:rsidRPr="002F747D">
        <w:rPr>
          <w:rFonts w:cs="Arial"/>
        </w:rPr>
        <w:t>,2</w:t>
      </w:r>
      <w:r w:rsidRPr="002F747D">
        <w:rPr>
          <w:rFonts w:cs="Arial"/>
          <w:lang w:val="ru-RU"/>
        </w:rPr>
        <w:t>%. Стопа неформалне запослености у делатности пољопривреде</w:t>
      </w:r>
      <w:r w:rsidRPr="002F747D">
        <w:rPr>
          <w:rStyle w:val="FootnoteReference"/>
          <w:rFonts w:cs="Arial"/>
          <w:lang w:val="ru-RU"/>
        </w:rPr>
        <w:footnoteReference w:id="1"/>
      </w:r>
      <w:r w:rsidRPr="002F747D">
        <w:rPr>
          <w:rFonts w:cs="Arial"/>
          <w:lang w:val="ru-RU"/>
        </w:rPr>
        <w:t xml:space="preserve"> износила је 56,9%, док</w:t>
      </w:r>
      <w:r w:rsidRPr="002F747D">
        <w:rPr>
          <w:rFonts w:cs="Arial"/>
          <w:lang w:val="sr-Latn-RS"/>
        </w:rPr>
        <w:t xml:space="preserve"> je</w:t>
      </w:r>
      <w:r w:rsidRPr="002F747D">
        <w:rPr>
          <w:rFonts w:cs="Arial"/>
          <w:lang w:val="ru-RU"/>
        </w:rPr>
        <w:t xml:space="preserve"> у делатностима ван пољопривреде ова стопа имала вредност од 5,4%.</w:t>
      </w:r>
    </w:p>
    <w:p w:rsidR="007068D1" w:rsidRPr="00BD6B86" w:rsidRDefault="007068D1" w:rsidP="007068D1">
      <w:pPr>
        <w:spacing w:before="120" w:after="120" w:line="264" w:lineRule="auto"/>
        <w:ind w:firstLine="403"/>
        <w:jc w:val="both"/>
        <w:rPr>
          <w:rFonts w:cs="Arial"/>
        </w:rPr>
      </w:pPr>
      <w:r w:rsidRPr="002F747D">
        <w:rPr>
          <w:rFonts w:cs="Arial"/>
          <w:b/>
          <w:lang w:val="ru-RU"/>
        </w:rPr>
        <w:t>Стопа незапослености</w:t>
      </w:r>
      <w:r w:rsidRPr="002F747D">
        <w:rPr>
          <w:rFonts w:cs="Arial"/>
          <w:lang w:val="ru-RU"/>
        </w:rPr>
        <w:t xml:space="preserve"> становништва старости 15 и више година износила је </w:t>
      </w:r>
      <w:r w:rsidRPr="002F747D">
        <w:rPr>
          <w:rFonts w:cs="Arial"/>
        </w:rPr>
        <w:t>7,3</w:t>
      </w:r>
      <w:r w:rsidRPr="002F747D">
        <w:rPr>
          <w:rFonts w:cs="Arial"/>
          <w:lang w:val="ru-RU"/>
        </w:rPr>
        <w:t>%,</w:t>
      </w:r>
      <w:r w:rsidRPr="002F747D">
        <w:rPr>
          <w:rFonts w:cs="Arial"/>
          <w:b/>
          <w:lang w:val="ru-RU"/>
        </w:rPr>
        <w:t xml:space="preserve"> </w:t>
      </w:r>
      <w:r w:rsidRPr="002F747D">
        <w:rPr>
          <w:rFonts w:cs="Arial"/>
          <w:lang w:val="ru-RU"/>
        </w:rPr>
        <w:t xml:space="preserve">и то 7,0% за мушкарце и </w:t>
      </w:r>
      <w:r w:rsidRPr="002F747D">
        <w:rPr>
          <w:rFonts w:cs="Arial"/>
        </w:rPr>
        <w:t>7,6</w:t>
      </w:r>
      <w:r w:rsidRPr="002F747D">
        <w:rPr>
          <w:rFonts w:cs="Arial"/>
          <w:lang w:val="ru-RU"/>
        </w:rPr>
        <w:t>% за жене.</w:t>
      </w:r>
      <w:r w:rsidRPr="002F747D">
        <w:rPr>
          <w:rFonts w:cs="Arial"/>
          <w:lang w:val="sr-Latn-CS"/>
        </w:rPr>
        <w:t xml:space="preserve"> </w:t>
      </w:r>
      <w:r w:rsidRPr="002F747D">
        <w:rPr>
          <w:rFonts w:cs="Arial"/>
        </w:rPr>
        <w:t xml:space="preserve">Гледано на нивоу региона, ова стопа имала је најмању вредност у Региону </w:t>
      </w:r>
      <w:r w:rsidR="00DA2E84" w:rsidRPr="002F747D">
        <w:rPr>
          <w:rFonts w:cs="Arial"/>
        </w:rPr>
        <w:t xml:space="preserve">Војводине </w:t>
      </w:r>
      <w:r w:rsidRPr="002F747D">
        <w:rPr>
          <w:rFonts w:cs="Arial"/>
        </w:rPr>
        <w:t>(6</w:t>
      </w:r>
      <w:r w:rsidR="00FB13E4">
        <w:rPr>
          <w:rFonts w:cs="Arial"/>
        </w:rPr>
        <w:t>,0%), а затим следи Београдски р</w:t>
      </w:r>
      <w:r w:rsidRPr="002F747D">
        <w:rPr>
          <w:rFonts w:cs="Arial"/>
        </w:rPr>
        <w:t xml:space="preserve">егион (6,1%) и Регион Шумадије и Западне Србије (7,8%).  Регион </w:t>
      </w:r>
      <w:r w:rsidR="00FB13E4">
        <w:rPr>
          <w:rFonts w:cs="Arial"/>
        </w:rPr>
        <w:t>Јужне и Источне Србије и даље</w:t>
      </w:r>
      <w:r w:rsidRPr="002F747D">
        <w:rPr>
          <w:rFonts w:cs="Arial"/>
        </w:rPr>
        <w:t xml:space="preserve"> бележи </w:t>
      </w:r>
      <w:r w:rsidR="00DA2E84" w:rsidRPr="002F747D">
        <w:rPr>
          <w:rFonts w:cs="Arial"/>
        </w:rPr>
        <w:t>најнеповољнију</w:t>
      </w:r>
      <w:r w:rsidR="00FB13E4">
        <w:rPr>
          <w:rFonts w:cs="Arial"/>
        </w:rPr>
        <w:t xml:space="preserve"> ситуацију</w:t>
      </w:r>
      <w:r w:rsidRPr="002F747D">
        <w:rPr>
          <w:rFonts w:cs="Arial"/>
        </w:rPr>
        <w:t xml:space="preserve"> на тржишту рада, што показује највећа стопа неза</w:t>
      </w:r>
      <w:r w:rsidR="00C07EEB" w:rsidRPr="002F747D">
        <w:rPr>
          <w:rFonts w:cs="Arial"/>
        </w:rPr>
        <w:t>послености</w:t>
      </w:r>
      <w:r w:rsidRPr="002F747D">
        <w:rPr>
          <w:rFonts w:cs="Arial"/>
        </w:rPr>
        <w:t xml:space="preserve"> од 9,6%.</w:t>
      </w:r>
    </w:p>
    <w:p w:rsidR="00E263C3" w:rsidRDefault="00E263C3" w:rsidP="00785336">
      <w:pPr>
        <w:spacing w:before="480" w:after="60" w:line="259" w:lineRule="auto"/>
        <w:jc w:val="center"/>
        <w:rPr>
          <w:rFonts w:cs="Arial"/>
          <w:color w:val="000000"/>
        </w:rPr>
      </w:pPr>
      <w:r>
        <w:rPr>
          <w:rFonts w:cs="Arial"/>
          <w:b/>
          <w:color w:val="323232"/>
        </w:rPr>
        <w:t xml:space="preserve">Табела </w:t>
      </w:r>
      <w:r w:rsidRPr="00DC5EB3">
        <w:rPr>
          <w:rFonts w:cs="Arial"/>
          <w:b/>
          <w:color w:val="323232"/>
        </w:rPr>
        <w:t>1.</w:t>
      </w:r>
      <w:r w:rsidRPr="00DC5EB3">
        <w:rPr>
          <w:rFonts w:cs="Arial"/>
          <w:color w:val="323232"/>
        </w:rPr>
        <w:t xml:space="preserve"> </w:t>
      </w:r>
      <w:r>
        <w:rPr>
          <w:rFonts w:cs="Arial"/>
          <w:color w:val="323232"/>
        </w:rPr>
        <w:t>Основни показатељи кретања на тржишту рада</w:t>
      </w:r>
      <w:r w:rsidRPr="00DC5EB3">
        <w:rPr>
          <w:rFonts w:cs="Arial"/>
          <w:color w:val="000000"/>
        </w:rPr>
        <w:t xml:space="preserve">, </w:t>
      </w:r>
      <w:r w:rsidR="00835A07">
        <w:rPr>
          <w:rFonts w:cs="Arial"/>
          <w:color w:val="000000"/>
        </w:rPr>
        <w:t>II</w:t>
      </w:r>
      <w:r>
        <w:rPr>
          <w:rFonts w:cs="Arial"/>
          <w:color w:val="000000"/>
        </w:rPr>
        <w:t xml:space="preserve"> квартал </w:t>
      </w:r>
      <w:r w:rsidRPr="00DC5EB3">
        <w:rPr>
          <w:rFonts w:cs="Arial"/>
          <w:color w:val="000000"/>
        </w:rPr>
        <w:t>20</w:t>
      </w:r>
      <w:r w:rsidR="00386B7E" w:rsidRPr="00BD6B86">
        <w:rPr>
          <w:rFonts w:cs="Arial"/>
          <w:color w:val="000000"/>
        </w:rPr>
        <w:t>20</w:t>
      </w:r>
      <w:r w:rsidRPr="00DC5EB3">
        <w:rPr>
          <w:rFonts w:cs="Arial"/>
          <w:color w:val="000000"/>
        </w:rPr>
        <w:t>.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4243"/>
        <w:gridCol w:w="1233"/>
        <w:gridCol w:w="1266"/>
        <w:gridCol w:w="1095"/>
        <w:gridCol w:w="1457"/>
        <w:gridCol w:w="912"/>
      </w:tblGrid>
      <w:tr w:rsidR="008710F9" w:rsidRPr="00B05442" w:rsidTr="00C5310F">
        <w:trPr>
          <w:trHeight w:val="587"/>
          <w:jc w:val="center"/>
        </w:trPr>
        <w:tc>
          <w:tcPr>
            <w:tcW w:w="3617" w:type="dxa"/>
            <w:vMerge w:val="restart"/>
            <w:tcBorders>
              <w:top w:val="single" w:sz="4" w:space="0" w:color="003399"/>
              <w:bottom w:val="single" w:sz="8" w:space="0" w:color="0C5498"/>
              <w:right w:val="single" w:sz="4" w:space="0" w:color="003399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10F9" w:rsidRPr="00276727" w:rsidRDefault="008710F9" w:rsidP="0027672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3399"/>
              <w:left w:val="single" w:sz="4" w:space="0" w:color="003399"/>
              <w:bottom w:val="single" w:sz="8" w:space="0" w:color="0C5498"/>
              <w:right w:val="single" w:sz="4" w:space="0" w:color="003399"/>
            </w:tcBorders>
            <w:shd w:val="clear" w:color="auto" w:fill="F2F2F2" w:themeFill="background1" w:themeFillShade="F2"/>
            <w:vAlign w:val="center"/>
            <w:hideMark/>
          </w:tcPr>
          <w:p w:rsidR="008710F9" w:rsidRPr="00B05442" w:rsidRDefault="00835A07" w:rsidP="00386B7E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>II</w:t>
            </w:r>
            <w:r w:rsidR="008710F9"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квартал 20</w:t>
            </w:r>
            <w:r w:rsidR="00386B7E">
              <w:rPr>
                <w:rFonts w:cs="Arial"/>
                <w:color w:val="000000"/>
                <w:sz w:val="18"/>
                <w:szCs w:val="18"/>
                <w:lang w:val="sr-Latn-RS"/>
              </w:rPr>
              <w:t>20</w:t>
            </w:r>
            <w:r w:rsidR="008710F9" w:rsidRPr="00B0544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shd w:val="clear" w:color="auto" w:fill="F2F2F2" w:themeFill="background1" w:themeFillShade="F2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Промене у односу на претходни квартал</w:t>
            </w:r>
          </w:p>
        </w:tc>
        <w:tc>
          <w:tcPr>
            <w:tcW w:w="2019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</w:tcBorders>
            <w:shd w:val="clear" w:color="auto" w:fill="F2F2F2" w:themeFill="background1" w:themeFillShade="F2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Промене у односу на исти квартал претходне године</w:t>
            </w:r>
          </w:p>
        </w:tc>
      </w:tr>
      <w:tr w:rsidR="008710F9" w:rsidRPr="00B05442" w:rsidTr="00C5310F">
        <w:trPr>
          <w:trHeight w:val="273"/>
          <w:jc w:val="center"/>
        </w:trPr>
        <w:tc>
          <w:tcPr>
            <w:tcW w:w="3617" w:type="dxa"/>
            <w:vMerge/>
            <w:tcBorders>
              <w:top w:val="single" w:sz="8" w:space="0" w:color="0C5498"/>
              <w:bottom w:val="single" w:sz="4" w:space="0" w:color="003399"/>
              <w:right w:val="single" w:sz="4" w:space="0" w:color="003399"/>
            </w:tcBorders>
            <w:shd w:val="clear" w:color="auto" w:fill="F2F2F2" w:themeFill="background1" w:themeFillShade="F2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shd w:val="clear" w:color="auto" w:fill="F2F2F2" w:themeFill="background1" w:themeFillShade="F2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(у хиљ.)</w:t>
            </w:r>
          </w:p>
        </w:tc>
        <w:tc>
          <w:tcPr>
            <w:tcW w:w="1079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shd w:val="clear" w:color="auto" w:fill="F2F2F2" w:themeFill="background1" w:themeFillShade="F2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(у хиљ.)</w:t>
            </w:r>
          </w:p>
        </w:tc>
        <w:tc>
          <w:tcPr>
            <w:tcW w:w="933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8" w:space="0" w:color="0C5498"/>
            </w:tcBorders>
            <w:shd w:val="clear" w:color="auto" w:fill="F2F2F2" w:themeFill="background1" w:themeFillShade="F2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%</w:t>
            </w:r>
          </w:p>
        </w:tc>
        <w:tc>
          <w:tcPr>
            <w:tcW w:w="1242" w:type="dxa"/>
            <w:tcBorders>
              <w:top w:val="single" w:sz="4" w:space="0" w:color="003399"/>
              <w:left w:val="nil"/>
              <w:bottom w:val="single" w:sz="4" w:space="0" w:color="003399"/>
              <w:right w:val="single" w:sz="8" w:space="0" w:color="003399"/>
            </w:tcBorders>
            <w:shd w:val="clear" w:color="auto" w:fill="F2F2F2" w:themeFill="background1" w:themeFillShade="F2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(у хиљ.)</w:t>
            </w:r>
          </w:p>
        </w:tc>
        <w:tc>
          <w:tcPr>
            <w:tcW w:w="777" w:type="dxa"/>
            <w:tcBorders>
              <w:top w:val="single" w:sz="4" w:space="0" w:color="003399"/>
              <w:left w:val="single" w:sz="8" w:space="0" w:color="003399"/>
              <w:bottom w:val="single" w:sz="4" w:space="0" w:color="003399"/>
            </w:tcBorders>
            <w:shd w:val="clear" w:color="auto" w:fill="F2F2F2" w:themeFill="background1" w:themeFillShade="F2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%</w:t>
            </w:r>
          </w:p>
        </w:tc>
      </w:tr>
      <w:tr w:rsidR="008710F9" w:rsidRPr="00B05442" w:rsidTr="00C5310F">
        <w:trPr>
          <w:trHeight w:val="260"/>
          <w:jc w:val="center"/>
        </w:trPr>
        <w:tc>
          <w:tcPr>
            <w:tcW w:w="3617" w:type="dxa"/>
            <w:tcBorders>
              <w:top w:val="single" w:sz="4" w:space="0" w:color="003399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b/>
                <w:bCs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3399"/>
              <w:left w:val="single" w:sz="4" w:space="0" w:color="003399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3399"/>
              <w:left w:val="single" w:sz="4" w:space="0" w:color="00339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3399"/>
              <w:left w:val="nil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3399"/>
              <w:left w:val="single" w:sz="4" w:space="0" w:color="00339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339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</w:tr>
      <w:tr w:rsidR="00835A07" w:rsidRPr="00B05442" w:rsidTr="00C5310F">
        <w:trPr>
          <w:trHeight w:val="260"/>
          <w:jc w:val="center"/>
        </w:trPr>
        <w:tc>
          <w:tcPr>
            <w:tcW w:w="36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C634B5" w:rsidRDefault="00835A07" w:rsidP="00835A07">
            <w:pPr>
              <w:spacing w:line="264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634B5">
              <w:rPr>
                <w:rFonts w:cs="Arial"/>
                <w:bCs/>
                <w:color w:val="000000"/>
                <w:sz w:val="18"/>
                <w:szCs w:val="18"/>
              </w:rPr>
              <w:t xml:space="preserve">Популација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старости </w:t>
            </w:r>
            <w:r w:rsidRPr="00C634B5">
              <w:rPr>
                <w:rFonts w:cs="Arial"/>
                <w:bCs/>
                <w:color w:val="000000"/>
                <w:sz w:val="18"/>
                <w:szCs w:val="18"/>
              </w:rPr>
              <w:t>15+</w:t>
            </w:r>
          </w:p>
        </w:tc>
        <w:tc>
          <w:tcPr>
            <w:tcW w:w="1051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5898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-7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6</w:t>
            </w: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-0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-29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-0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5</w:t>
            </w:r>
          </w:p>
        </w:tc>
      </w:tr>
      <w:tr w:rsidR="00835A07" w:rsidRPr="00B05442" w:rsidTr="00C5310F">
        <w:trPr>
          <w:trHeight w:val="260"/>
          <w:jc w:val="center"/>
        </w:trPr>
        <w:tc>
          <w:tcPr>
            <w:tcW w:w="36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B05442" w:rsidRDefault="00835A07" w:rsidP="00835A0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Активно становништво</w:t>
            </w:r>
          </w:p>
        </w:tc>
        <w:tc>
          <w:tcPr>
            <w:tcW w:w="1051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3067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-120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-3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8</w:t>
            </w:r>
          </w:p>
        </w:tc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-183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-5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6</w:t>
            </w:r>
          </w:p>
        </w:tc>
      </w:tr>
      <w:tr w:rsidR="00835A07" w:rsidRPr="00B05442" w:rsidTr="00C5310F">
        <w:trPr>
          <w:trHeight w:val="260"/>
          <w:jc w:val="center"/>
        </w:trPr>
        <w:tc>
          <w:tcPr>
            <w:tcW w:w="36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B05442" w:rsidRDefault="00835A07" w:rsidP="00835A0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</w:t>
            </w:r>
            <w:r w:rsidRPr="00B05442">
              <w:rPr>
                <w:rFonts w:cs="Arial"/>
                <w:color w:val="000000"/>
                <w:sz w:val="18"/>
                <w:szCs w:val="18"/>
              </w:rPr>
              <w:t>Запослени</w:t>
            </w:r>
          </w:p>
        </w:tc>
        <w:tc>
          <w:tcPr>
            <w:tcW w:w="1051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2844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-33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-1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-72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3</w:t>
            </w:r>
          </w:p>
        </w:tc>
        <w:tc>
          <w:tcPr>
            <w:tcW w:w="7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-2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5</w:t>
            </w:r>
          </w:p>
        </w:tc>
      </w:tr>
      <w:tr w:rsidR="00835A07" w:rsidRPr="00B05442" w:rsidTr="00C5310F">
        <w:trPr>
          <w:trHeight w:val="260"/>
          <w:jc w:val="center"/>
        </w:trPr>
        <w:tc>
          <w:tcPr>
            <w:tcW w:w="36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B05442" w:rsidRDefault="00835A07" w:rsidP="00835A0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 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Формално запослени</w:t>
            </w:r>
          </w:p>
        </w:tc>
        <w:tc>
          <w:tcPr>
            <w:tcW w:w="1051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noWrap/>
            <w:vAlign w:val="center"/>
            <w:hideMark/>
          </w:tcPr>
          <w:p w:rsidR="00835A07" w:rsidRPr="000248CC" w:rsidRDefault="00835A07" w:rsidP="00835A07">
            <w:pPr>
              <w:jc w:val="right"/>
              <w:rPr>
                <w:sz w:val="18"/>
                <w:szCs w:val="18"/>
                <w:lang w:val="sr-Latn-RS"/>
              </w:rPr>
            </w:pPr>
            <w:r w:rsidRPr="00835A07">
              <w:rPr>
                <w:sz w:val="18"/>
                <w:szCs w:val="18"/>
              </w:rPr>
              <w:t>2</w:t>
            </w:r>
            <w:r w:rsidR="000248CC">
              <w:rPr>
                <w:sz w:val="18"/>
                <w:szCs w:val="18"/>
                <w:lang w:val="sr-Latn-RS"/>
              </w:rPr>
              <w:t>412</w:t>
            </w:r>
            <w:r w:rsidR="004064EE">
              <w:rPr>
                <w:sz w:val="18"/>
                <w:szCs w:val="18"/>
              </w:rPr>
              <w:t>,</w:t>
            </w:r>
            <w:r w:rsidR="000248CC">
              <w:rPr>
                <w:sz w:val="18"/>
                <w:szCs w:val="18"/>
                <w:lang w:val="sr-Latn-RS"/>
              </w:rPr>
              <w:t>4</w:t>
            </w:r>
          </w:p>
        </w:tc>
        <w:tc>
          <w:tcPr>
            <w:tcW w:w="1079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5A07" w:rsidRPr="000248CC" w:rsidRDefault="00835A07" w:rsidP="00835A07">
            <w:pPr>
              <w:jc w:val="right"/>
              <w:rPr>
                <w:sz w:val="18"/>
                <w:szCs w:val="18"/>
                <w:lang w:val="sr-Latn-RS"/>
              </w:rPr>
            </w:pPr>
            <w:r w:rsidRPr="00835A07">
              <w:rPr>
                <w:sz w:val="18"/>
                <w:szCs w:val="18"/>
              </w:rPr>
              <w:t>2</w:t>
            </w:r>
            <w:r w:rsidR="004064EE">
              <w:rPr>
                <w:sz w:val="18"/>
                <w:szCs w:val="18"/>
              </w:rPr>
              <w:t>,</w:t>
            </w:r>
            <w:r w:rsidR="000248CC">
              <w:rPr>
                <w:sz w:val="18"/>
                <w:szCs w:val="18"/>
                <w:lang w:val="sr-Latn-RS"/>
              </w:rPr>
              <w:t>2</w:t>
            </w: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noWrap/>
            <w:vAlign w:val="center"/>
            <w:hideMark/>
          </w:tcPr>
          <w:p w:rsidR="00835A07" w:rsidRPr="000248CC" w:rsidRDefault="000248CC" w:rsidP="00835A07">
            <w:pPr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</w:t>
            </w:r>
            <w:r w:rsidR="004064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5A07" w:rsidRPr="000248CC" w:rsidRDefault="000248CC" w:rsidP="00835A07">
            <w:pPr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60</w:t>
            </w:r>
            <w:r w:rsidR="004064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sr-Latn-RS"/>
              </w:rPr>
              <w:t>1</w:t>
            </w:r>
          </w:p>
        </w:tc>
        <w:tc>
          <w:tcPr>
            <w:tcW w:w="7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5A07" w:rsidRPr="000248CC" w:rsidRDefault="000248CC" w:rsidP="00835A07">
            <w:pPr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</w:t>
            </w:r>
            <w:r w:rsidR="004064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</w:tr>
      <w:tr w:rsidR="00835A07" w:rsidRPr="00B05442" w:rsidTr="00C5310F">
        <w:trPr>
          <w:trHeight w:val="260"/>
          <w:jc w:val="center"/>
        </w:trPr>
        <w:tc>
          <w:tcPr>
            <w:tcW w:w="36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B05442" w:rsidRDefault="00835A07" w:rsidP="00835A0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Неформално запослени</w:t>
            </w:r>
          </w:p>
        </w:tc>
        <w:tc>
          <w:tcPr>
            <w:tcW w:w="1051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noWrap/>
            <w:vAlign w:val="center"/>
            <w:hideMark/>
          </w:tcPr>
          <w:p w:rsidR="00835A07" w:rsidRPr="000248CC" w:rsidRDefault="00835A07" w:rsidP="00835A07">
            <w:pPr>
              <w:jc w:val="right"/>
              <w:rPr>
                <w:sz w:val="18"/>
                <w:szCs w:val="18"/>
                <w:lang w:val="sr-Latn-RS"/>
              </w:rPr>
            </w:pPr>
            <w:r w:rsidRPr="00835A07">
              <w:rPr>
                <w:sz w:val="18"/>
                <w:szCs w:val="18"/>
              </w:rPr>
              <w:t>4</w:t>
            </w:r>
            <w:r w:rsidR="000248CC">
              <w:rPr>
                <w:sz w:val="18"/>
                <w:szCs w:val="18"/>
                <w:lang w:val="sr-Latn-RS"/>
              </w:rPr>
              <w:t>31</w:t>
            </w:r>
            <w:r w:rsidR="004064EE">
              <w:rPr>
                <w:sz w:val="18"/>
                <w:szCs w:val="18"/>
              </w:rPr>
              <w:t>,</w:t>
            </w:r>
            <w:r w:rsidR="000248CC">
              <w:rPr>
                <w:sz w:val="18"/>
                <w:szCs w:val="18"/>
                <w:lang w:val="sr-Latn-RS"/>
              </w:rPr>
              <w:t>8</w:t>
            </w:r>
          </w:p>
        </w:tc>
        <w:tc>
          <w:tcPr>
            <w:tcW w:w="1079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5A07" w:rsidRPr="000248CC" w:rsidRDefault="00835A07" w:rsidP="00835A07">
            <w:pPr>
              <w:jc w:val="right"/>
              <w:rPr>
                <w:sz w:val="18"/>
                <w:szCs w:val="18"/>
                <w:lang w:val="sr-Latn-RS"/>
              </w:rPr>
            </w:pPr>
            <w:r w:rsidRPr="00835A07">
              <w:rPr>
                <w:sz w:val="18"/>
                <w:szCs w:val="18"/>
              </w:rPr>
              <w:t>-</w:t>
            </w:r>
            <w:r w:rsidR="000248CC">
              <w:rPr>
                <w:sz w:val="18"/>
                <w:szCs w:val="18"/>
                <w:lang w:val="sr-Latn-RS"/>
              </w:rPr>
              <w:t>35</w:t>
            </w:r>
            <w:r w:rsidR="004064EE">
              <w:rPr>
                <w:sz w:val="18"/>
                <w:szCs w:val="18"/>
              </w:rPr>
              <w:t>,</w:t>
            </w:r>
            <w:r w:rsidR="000248CC">
              <w:rPr>
                <w:sz w:val="18"/>
                <w:szCs w:val="18"/>
                <w:lang w:val="sr-Latn-RS"/>
              </w:rPr>
              <w:t>4</w:t>
            </w: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noWrap/>
            <w:vAlign w:val="center"/>
            <w:hideMark/>
          </w:tcPr>
          <w:p w:rsidR="00835A07" w:rsidRPr="000248CC" w:rsidRDefault="00835A07" w:rsidP="00835A07">
            <w:pPr>
              <w:jc w:val="right"/>
              <w:rPr>
                <w:sz w:val="18"/>
                <w:szCs w:val="18"/>
                <w:lang w:val="sr-Latn-RS"/>
              </w:rPr>
            </w:pPr>
            <w:r w:rsidRPr="00835A07">
              <w:rPr>
                <w:sz w:val="18"/>
                <w:szCs w:val="18"/>
              </w:rPr>
              <w:t>-</w:t>
            </w:r>
            <w:r w:rsidR="000248CC">
              <w:rPr>
                <w:sz w:val="18"/>
                <w:szCs w:val="18"/>
                <w:lang w:val="sr-Latn-RS"/>
              </w:rPr>
              <w:t>7</w:t>
            </w:r>
            <w:r w:rsidR="004064EE">
              <w:rPr>
                <w:sz w:val="18"/>
                <w:szCs w:val="18"/>
              </w:rPr>
              <w:t>,</w:t>
            </w:r>
            <w:r w:rsidR="000248CC"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5A07" w:rsidRPr="000248CC" w:rsidRDefault="00835A07" w:rsidP="00835A07">
            <w:pPr>
              <w:jc w:val="right"/>
              <w:rPr>
                <w:sz w:val="18"/>
                <w:szCs w:val="18"/>
                <w:lang w:val="sr-Latn-RS"/>
              </w:rPr>
            </w:pPr>
            <w:r w:rsidRPr="00835A07">
              <w:rPr>
                <w:sz w:val="18"/>
                <w:szCs w:val="18"/>
              </w:rPr>
              <w:t>-1</w:t>
            </w:r>
            <w:r w:rsidR="000248CC">
              <w:rPr>
                <w:sz w:val="18"/>
                <w:szCs w:val="18"/>
                <w:lang w:val="sr-Latn-RS"/>
              </w:rPr>
              <w:t>32</w:t>
            </w:r>
            <w:r w:rsidR="004064EE">
              <w:rPr>
                <w:sz w:val="18"/>
                <w:szCs w:val="18"/>
              </w:rPr>
              <w:t>,</w:t>
            </w:r>
            <w:r w:rsidR="000248CC">
              <w:rPr>
                <w:sz w:val="18"/>
                <w:szCs w:val="18"/>
                <w:lang w:val="sr-Latn-RS"/>
              </w:rPr>
              <w:t>4</w:t>
            </w:r>
          </w:p>
        </w:tc>
        <w:tc>
          <w:tcPr>
            <w:tcW w:w="7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5A07" w:rsidRPr="000248CC" w:rsidRDefault="00835A07" w:rsidP="00835A07">
            <w:pPr>
              <w:jc w:val="right"/>
              <w:rPr>
                <w:sz w:val="18"/>
                <w:szCs w:val="18"/>
                <w:lang w:val="sr-Latn-RS"/>
              </w:rPr>
            </w:pPr>
            <w:r w:rsidRPr="00835A07">
              <w:rPr>
                <w:sz w:val="18"/>
                <w:szCs w:val="18"/>
              </w:rPr>
              <w:t>-</w:t>
            </w:r>
            <w:r w:rsidR="000248CC">
              <w:rPr>
                <w:sz w:val="18"/>
                <w:szCs w:val="18"/>
                <w:lang w:val="sr-Latn-RS"/>
              </w:rPr>
              <w:t>23</w:t>
            </w:r>
            <w:r w:rsidR="004064EE">
              <w:rPr>
                <w:sz w:val="18"/>
                <w:szCs w:val="18"/>
              </w:rPr>
              <w:t>,</w:t>
            </w:r>
            <w:r w:rsidR="000248CC">
              <w:rPr>
                <w:sz w:val="18"/>
                <w:szCs w:val="18"/>
                <w:lang w:val="sr-Latn-RS"/>
              </w:rPr>
              <w:t>5</w:t>
            </w:r>
          </w:p>
        </w:tc>
      </w:tr>
      <w:tr w:rsidR="00835A07" w:rsidRPr="00B05442" w:rsidTr="00C5310F">
        <w:trPr>
          <w:trHeight w:val="259"/>
          <w:jc w:val="center"/>
        </w:trPr>
        <w:tc>
          <w:tcPr>
            <w:tcW w:w="36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B05442" w:rsidRDefault="00835A07" w:rsidP="00835A0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</w:t>
            </w:r>
            <w:r w:rsidRPr="00B05442">
              <w:rPr>
                <w:rFonts w:cs="Arial"/>
                <w:color w:val="000000"/>
                <w:sz w:val="18"/>
                <w:szCs w:val="18"/>
              </w:rPr>
              <w:t>Незапослени</w:t>
            </w:r>
          </w:p>
        </w:tc>
        <w:tc>
          <w:tcPr>
            <w:tcW w:w="1051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222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-87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-28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-111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-33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3</w:t>
            </w:r>
          </w:p>
        </w:tc>
      </w:tr>
      <w:tr w:rsidR="00835A07" w:rsidRPr="00B05442" w:rsidTr="00C5310F">
        <w:trPr>
          <w:trHeight w:val="259"/>
          <w:jc w:val="center"/>
        </w:trPr>
        <w:tc>
          <w:tcPr>
            <w:tcW w:w="3617" w:type="dxa"/>
            <w:tcBorders>
              <w:top w:val="single" w:sz="4" w:space="0" w:color="D9D9D9" w:themeColor="background1" w:themeShade="D9"/>
              <w:bottom w:val="single" w:sz="8" w:space="0" w:color="0C5498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B05442" w:rsidRDefault="00835A07" w:rsidP="00835A0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Неактивно становништво</w:t>
            </w:r>
          </w:p>
        </w:tc>
        <w:tc>
          <w:tcPr>
            <w:tcW w:w="1051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8" w:space="0" w:color="0C5498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2830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8" w:space="0" w:color="0C5498"/>
              <w:right w:val="nil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113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nil"/>
              <w:bottom w:val="single" w:sz="8" w:space="0" w:color="0C5498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4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8" w:space="0" w:color="0C5498"/>
              <w:right w:val="nil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153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4" w:space="0" w:color="D9D9D9" w:themeColor="background1" w:themeShade="D9"/>
              <w:left w:val="nil"/>
              <w:bottom w:val="single" w:sz="8" w:space="0" w:color="0C5498"/>
              <w:right w:val="nil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5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7</w:t>
            </w:r>
          </w:p>
        </w:tc>
      </w:tr>
      <w:tr w:rsidR="008710F9" w:rsidRPr="00B05442" w:rsidTr="00C5310F">
        <w:trPr>
          <w:trHeight w:val="273"/>
          <w:jc w:val="center"/>
        </w:trPr>
        <w:tc>
          <w:tcPr>
            <w:tcW w:w="3617" w:type="dxa"/>
            <w:tcBorders>
              <w:top w:val="single" w:sz="8" w:space="0" w:color="0C5498"/>
              <w:bottom w:val="single" w:sz="8" w:space="0" w:color="003399"/>
              <w:right w:val="single" w:sz="4" w:space="0" w:color="003399"/>
            </w:tcBorders>
            <w:shd w:val="clear" w:color="auto" w:fill="F2F2F2" w:themeFill="background1" w:themeFillShade="F2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single" w:sz="8" w:space="0" w:color="0C5498"/>
              <w:left w:val="single" w:sz="4" w:space="0" w:color="003399"/>
              <w:bottom w:val="single" w:sz="8" w:space="0" w:color="003399"/>
              <w:right w:val="single" w:sz="4" w:space="0" w:color="003399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10F9" w:rsidRPr="00D07F45" w:rsidRDefault="008710F9" w:rsidP="001D07E4">
            <w:pPr>
              <w:spacing w:line="264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D07F45">
              <w:rPr>
                <w:rFonts w:cs="Arial"/>
                <w:b/>
                <w:bCs/>
                <w:color w:val="000000"/>
                <w:lang w:val="sr-Latn-RS"/>
              </w:rPr>
              <w:t>%</w:t>
            </w:r>
          </w:p>
        </w:tc>
        <w:tc>
          <w:tcPr>
            <w:tcW w:w="4031" w:type="dxa"/>
            <w:gridSpan w:val="4"/>
            <w:tcBorders>
              <w:top w:val="single" w:sz="8" w:space="0" w:color="0C5498"/>
              <w:left w:val="single" w:sz="4" w:space="0" w:color="003399"/>
              <w:bottom w:val="single" w:sz="8" w:space="0" w:color="003399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10F9" w:rsidRPr="00D07F45" w:rsidRDefault="008710F9" w:rsidP="001D07E4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D07F45">
              <w:rPr>
                <w:rFonts w:cs="Arial"/>
                <w:color w:val="000000"/>
                <w:lang w:val="sr-Latn-RS"/>
              </w:rPr>
              <w:t>(п.</w:t>
            </w:r>
            <w:r w:rsidRPr="00D07F45">
              <w:rPr>
                <w:rFonts w:cs="Arial"/>
                <w:color w:val="000000"/>
              </w:rPr>
              <w:t xml:space="preserve"> </w:t>
            </w:r>
            <w:r w:rsidRPr="00D07F45">
              <w:rPr>
                <w:rFonts w:cs="Arial"/>
                <w:color w:val="000000"/>
                <w:lang w:val="sr-Latn-RS"/>
              </w:rPr>
              <w:t>п.)</w:t>
            </w:r>
          </w:p>
        </w:tc>
      </w:tr>
      <w:tr w:rsidR="00835A07" w:rsidRPr="00B05442" w:rsidTr="00C5310F">
        <w:trPr>
          <w:trHeight w:val="260"/>
          <w:jc w:val="center"/>
        </w:trPr>
        <w:tc>
          <w:tcPr>
            <w:tcW w:w="3617" w:type="dxa"/>
            <w:tcBorders>
              <w:top w:val="single" w:sz="8" w:space="0" w:color="003399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B05442" w:rsidRDefault="00835A07" w:rsidP="00835A0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активности</w:t>
            </w:r>
          </w:p>
        </w:tc>
        <w:tc>
          <w:tcPr>
            <w:tcW w:w="1051" w:type="dxa"/>
            <w:tcBorders>
              <w:top w:val="single" w:sz="8" w:space="0" w:color="003399"/>
              <w:left w:val="single" w:sz="4" w:space="0" w:color="003399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52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8" w:space="0" w:color="003399"/>
              <w:left w:val="single" w:sz="4" w:space="0" w:color="00339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3399"/>
              <w:left w:val="nil"/>
              <w:bottom w:val="single" w:sz="4" w:space="0" w:color="D9D9D9" w:themeColor="background1" w:themeShade="D9"/>
              <w:right w:val="single" w:sz="8" w:space="0" w:color="003399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-2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top w:val="single" w:sz="8" w:space="0" w:color="003399"/>
              <w:left w:val="single" w:sz="8" w:space="0" w:color="00339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8" w:space="0" w:color="00339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-2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8</w:t>
            </w:r>
          </w:p>
        </w:tc>
      </w:tr>
      <w:tr w:rsidR="00835A07" w:rsidRPr="00B05442" w:rsidTr="00C5310F">
        <w:trPr>
          <w:trHeight w:val="260"/>
          <w:jc w:val="center"/>
        </w:trPr>
        <w:tc>
          <w:tcPr>
            <w:tcW w:w="36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B05442" w:rsidRDefault="00835A07" w:rsidP="00835A0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запослености</w:t>
            </w:r>
          </w:p>
        </w:tc>
        <w:tc>
          <w:tcPr>
            <w:tcW w:w="1051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48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8" w:space="0" w:color="003399"/>
            </w:tcBorders>
            <w:shd w:val="clear" w:color="auto" w:fill="auto"/>
            <w:noWrap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-0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5</w:t>
            </w:r>
          </w:p>
        </w:tc>
        <w:tc>
          <w:tcPr>
            <w:tcW w:w="1242" w:type="dxa"/>
            <w:tcBorders>
              <w:top w:val="single" w:sz="4" w:space="0" w:color="D9D9D9" w:themeColor="background1" w:themeShade="D9"/>
              <w:left w:val="single" w:sz="8" w:space="0" w:color="00339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-1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0</w:t>
            </w:r>
          </w:p>
        </w:tc>
      </w:tr>
      <w:tr w:rsidR="00835A07" w:rsidRPr="00B05442" w:rsidTr="00C5310F">
        <w:trPr>
          <w:trHeight w:val="260"/>
          <w:jc w:val="center"/>
        </w:trPr>
        <w:tc>
          <w:tcPr>
            <w:tcW w:w="36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B05442" w:rsidRDefault="00835A07" w:rsidP="00835A0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   Стопа неформалне запослености</w:t>
            </w:r>
          </w:p>
        </w:tc>
        <w:tc>
          <w:tcPr>
            <w:tcW w:w="1051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noWrap/>
            <w:vAlign w:val="center"/>
            <w:hideMark/>
          </w:tcPr>
          <w:p w:rsidR="00835A07" w:rsidRPr="000248CC" w:rsidRDefault="00835A07" w:rsidP="00835A07">
            <w:pPr>
              <w:jc w:val="right"/>
              <w:rPr>
                <w:sz w:val="18"/>
                <w:szCs w:val="18"/>
                <w:lang w:val="sr-Latn-RS"/>
              </w:rPr>
            </w:pPr>
            <w:r w:rsidRPr="00835A07">
              <w:rPr>
                <w:sz w:val="18"/>
                <w:szCs w:val="18"/>
              </w:rPr>
              <w:t>1</w:t>
            </w:r>
            <w:r w:rsidR="000248CC">
              <w:rPr>
                <w:sz w:val="18"/>
                <w:szCs w:val="18"/>
                <w:lang w:val="sr-Latn-RS"/>
              </w:rPr>
              <w:t>5</w:t>
            </w:r>
            <w:r w:rsidR="004064EE">
              <w:rPr>
                <w:sz w:val="18"/>
                <w:szCs w:val="18"/>
              </w:rPr>
              <w:t>,</w:t>
            </w:r>
            <w:r w:rsidR="000248CC">
              <w:rPr>
                <w:sz w:val="18"/>
                <w:szCs w:val="18"/>
                <w:lang w:val="sr-Latn-RS"/>
              </w:rPr>
              <w:t>2</w:t>
            </w:r>
          </w:p>
        </w:tc>
        <w:tc>
          <w:tcPr>
            <w:tcW w:w="1079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8" w:space="0" w:color="003399"/>
            </w:tcBorders>
            <w:shd w:val="clear" w:color="auto" w:fill="auto"/>
            <w:noWrap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</w:t>
            </w:r>
            <w:r w:rsidR="000248CC">
              <w:rPr>
                <w:sz w:val="18"/>
                <w:szCs w:val="18"/>
                <w:lang w:val="sr-Latn-RS"/>
              </w:rPr>
              <w:t>1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single" w:sz="4" w:space="0" w:color="D9D9D9" w:themeColor="background1" w:themeShade="D9"/>
              <w:left w:val="single" w:sz="8" w:space="0" w:color="00339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</w:t>
            </w:r>
            <w:r w:rsidR="000248CC">
              <w:rPr>
                <w:sz w:val="18"/>
                <w:szCs w:val="18"/>
                <w:lang w:val="sr-Latn-RS"/>
              </w:rPr>
              <w:t>4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2</w:t>
            </w:r>
          </w:p>
        </w:tc>
      </w:tr>
      <w:tr w:rsidR="00835A07" w:rsidRPr="00B05442" w:rsidTr="00C5310F">
        <w:trPr>
          <w:trHeight w:val="260"/>
          <w:jc w:val="center"/>
        </w:trPr>
        <w:tc>
          <w:tcPr>
            <w:tcW w:w="36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B05442" w:rsidRDefault="00835A07" w:rsidP="00835A0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незапослености</w:t>
            </w:r>
          </w:p>
        </w:tc>
        <w:tc>
          <w:tcPr>
            <w:tcW w:w="1051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7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8" w:space="0" w:color="003399"/>
            </w:tcBorders>
            <w:shd w:val="clear" w:color="auto" w:fill="auto"/>
            <w:noWrap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-2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5</w:t>
            </w:r>
          </w:p>
        </w:tc>
        <w:tc>
          <w:tcPr>
            <w:tcW w:w="1242" w:type="dxa"/>
            <w:tcBorders>
              <w:top w:val="single" w:sz="4" w:space="0" w:color="D9D9D9" w:themeColor="background1" w:themeShade="D9"/>
              <w:left w:val="single" w:sz="8" w:space="0" w:color="00339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-3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0</w:t>
            </w:r>
          </w:p>
        </w:tc>
      </w:tr>
      <w:tr w:rsidR="00835A07" w:rsidRPr="00B05442" w:rsidTr="00C5310F">
        <w:trPr>
          <w:trHeight w:val="273"/>
          <w:jc w:val="center"/>
        </w:trPr>
        <w:tc>
          <w:tcPr>
            <w:tcW w:w="3617" w:type="dxa"/>
            <w:tcBorders>
              <w:top w:val="single" w:sz="4" w:space="0" w:color="D9D9D9" w:themeColor="background1" w:themeShade="D9"/>
              <w:bottom w:val="single" w:sz="4" w:space="0" w:color="00339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B05442" w:rsidRDefault="00835A07" w:rsidP="00835A0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неактивности</w:t>
            </w:r>
          </w:p>
        </w:tc>
        <w:tc>
          <w:tcPr>
            <w:tcW w:w="1051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48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4" w:space="0" w:color="D9D9D9" w:themeColor="background1" w:themeShade="D9"/>
              <w:left w:val="single" w:sz="4" w:space="0" w:color="003399"/>
              <w:bottom w:val="single" w:sz="4" w:space="0" w:color="003399"/>
              <w:right w:val="nil"/>
            </w:tcBorders>
            <w:shd w:val="clear" w:color="auto" w:fill="auto"/>
            <w:noWrap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nil"/>
              <w:bottom w:val="single" w:sz="4" w:space="0" w:color="003399"/>
              <w:right w:val="single" w:sz="8" w:space="0" w:color="003399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2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top w:val="single" w:sz="4" w:space="0" w:color="D9D9D9" w:themeColor="background1" w:themeShade="D9"/>
              <w:left w:val="single" w:sz="8" w:space="0" w:color="003399"/>
              <w:bottom w:val="single" w:sz="4" w:space="0" w:color="003399"/>
              <w:right w:val="nil"/>
            </w:tcBorders>
            <w:shd w:val="clear" w:color="auto" w:fill="auto"/>
            <w:noWrap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D9D9D9" w:themeColor="background1" w:themeShade="D9"/>
              <w:left w:val="nil"/>
              <w:bottom w:val="single" w:sz="4" w:space="0" w:color="003399"/>
              <w:right w:val="nil"/>
            </w:tcBorders>
            <w:shd w:val="clear" w:color="auto" w:fill="auto"/>
            <w:vAlign w:val="center"/>
            <w:hideMark/>
          </w:tcPr>
          <w:p w:rsidR="00835A07" w:rsidRPr="00835A07" w:rsidRDefault="00835A07" w:rsidP="00835A07">
            <w:pPr>
              <w:jc w:val="right"/>
              <w:rPr>
                <w:sz w:val="18"/>
                <w:szCs w:val="18"/>
              </w:rPr>
            </w:pPr>
            <w:r w:rsidRPr="00835A07">
              <w:rPr>
                <w:sz w:val="18"/>
                <w:szCs w:val="18"/>
              </w:rPr>
              <w:t>2</w:t>
            </w:r>
            <w:r w:rsidR="004064EE">
              <w:rPr>
                <w:sz w:val="18"/>
                <w:szCs w:val="18"/>
              </w:rPr>
              <w:t>,</w:t>
            </w:r>
            <w:r w:rsidRPr="00835A07">
              <w:rPr>
                <w:sz w:val="18"/>
                <w:szCs w:val="18"/>
              </w:rPr>
              <w:t>8</w:t>
            </w:r>
          </w:p>
        </w:tc>
      </w:tr>
    </w:tbl>
    <w:p w:rsidR="004A7D00" w:rsidRDefault="004A7D00" w:rsidP="004A7D00">
      <w:pPr>
        <w:spacing w:before="360" w:after="120" w:line="264" w:lineRule="auto"/>
        <w:ind w:firstLine="403"/>
        <w:jc w:val="both"/>
        <w:rPr>
          <w:rFonts w:cs="Arial"/>
        </w:rPr>
      </w:pPr>
      <w:r w:rsidRPr="001E6570">
        <w:rPr>
          <w:rFonts w:cs="Arial"/>
        </w:rPr>
        <w:t>Анкета је у другом кварталу 2020. године спроведена на узорку од 15</w:t>
      </w:r>
      <w:r w:rsidRPr="001E6570">
        <w:rPr>
          <w:rFonts w:cs="Arial"/>
          <w:lang w:val="en-US"/>
        </w:rPr>
        <w:t> </w:t>
      </w:r>
      <w:r w:rsidRPr="001E6570">
        <w:rPr>
          <w:rFonts w:cs="Arial"/>
          <w:lang w:val="sr-Latn-RS"/>
        </w:rPr>
        <w:t>873</w:t>
      </w:r>
      <w:r w:rsidRPr="001E6570">
        <w:rPr>
          <w:rFonts w:cs="Arial"/>
        </w:rPr>
        <w:t xml:space="preserve"> домаћинства, од чега је анкетирано </w:t>
      </w:r>
      <w:r w:rsidRPr="001E6570">
        <w:rPr>
          <w:rFonts w:cs="Arial"/>
          <w:lang w:val="sr-Latn-RS"/>
        </w:rPr>
        <w:t>10</w:t>
      </w:r>
      <w:r w:rsidRPr="001E6570">
        <w:rPr>
          <w:rFonts w:cs="Arial"/>
          <w:lang w:val="en-US"/>
        </w:rPr>
        <w:t> </w:t>
      </w:r>
      <w:r w:rsidRPr="001E6570">
        <w:rPr>
          <w:rFonts w:cs="Arial"/>
          <w:lang w:val="sr-Latn-RS"/>
        </w:rPr>
        <w:t>536</w:t>
      </w:r>
      <w:r w:rsidRPr="001E6570">
        <w:rPr>
          <w:rFonts w:cs="Arial"/>
        </w:rPr>
        <w:t xml:space="preserve"> домаћинстава, односно 2</w:t>
      </w:r>
      <w:r w:rsidRPr="001E6570">
        <w:rPr>
          <w:rFonts w:cs="Arial"/>
          <w:lang w:val="sr-Latn-RS"/>
        </w:rPr>
        <w:t>6</w:t>
      </w:r>
      <w:r w:rsidRPr="001E6570">
        <w:rPr>
          <w:rFonts w:cs="Arial"/>
          <w:lang w:val="en-US"/>
        </w:rPr>
        <w:t> </w:t>
      </w:r>
      <w:r w:rsidRPr="001E6570">
        <w:rPr>
          <w:rFonts w:cs="Arial"/>
          <w:lang w:val="sr-Latn-RS"/>
        </w:rPr>
        <w:t>375</w:t>
      </w:r>
      <w:r w:rsidRPr="001E6570">
        <w:rPr>
          <w:rFonts w:cs="Arial"/>
        </w:rPr>
        <w:t xml:space="preserve"> лица старости 15 и више година.</w:t>
      </w:r>
    </w:p>
    <w:p w:rsidR="008710F9" w:rsidRDefault="008710F9" w:rsidP="00A10D42">
      <w:pPr>
        <w:spacing w:before="120" w:after="120" w:line="264" w:lineRule="auto"/>
        <w:ind w:firstLine="403"/>
        <w:jc w:val="both"/>
        <w:rPr>
          <w:rFonts w:cs="Arial"/>
          <w:b/>
        </w:rPr>
      </w:pPr>
      <w:r w:rsidRPr="003A5ABF">
        <w:rPr>
          <w:rFonts w:cs="Arial"/>
        </w:rPr>
        <w:t xml:space="preserve">Детаљнији подаци </w:t>
      </w:r>
      <w:r w:rsidRPr="003A5ABF">
        <w:rPr>
          <w:rFonts w:cs="Arial"/>
          <w:lang w:val="sr-Cyrl-CS"/>
        </w:rPr>
        <w:t xml:space="preserve">могу се наћи у </w:t>
      </w:r>
      <w:r w:rsidRPr="003A5ABF">
        <w:rPr>
          <w:rFonts w:cs="Arial"/>
        </w:rPr>
        <w:t xml:space="preserve">табелама које су део саопштења из </w:t>
      </w:r>
      <w:r w:rsidRPr="003A5ABF">
        <w:rPr>
          <w:rFonts w:cs="Arial"/>
          <w:lang w:val="sr-Cyrl-CS"/>
        </w:rPr>
        <w:t>Анкете о радној снази за</w:t>
      </w:r>
      <w:r w:rsidRPr="003A5ABF">
        <w:rPr>
          <w:rFonts w:cs="Arial"/>
        </w:rPr>
        <w:t xml:space="preserve"> </w:t>
      </w:r>
      <w:r w:rsidR="00835A07" w:rsidRPr="003A5ABF">
        <w:rPr>
          <w:rFonts w:cs="Arial"/>
          <w:lang w:val="sr-Latn-RS"/>
        </w:rPr>
        <w:t>II</w:t>
      </w:r>
      <w:r w:rsidRPr="003A5ABF">
        <w:rPr>
          <w:rFonts w:cs="Arial"/>
          <w:lang w:val="sr-Cyrl-CS"/>
        </w:rPr>
        <w:t xml:space="preserve"> квартал 20</w:t>
      </w:r>
      <w:r w:rsidR="00386B7E" w:rsidRPr="00BD6B86">
        <w:rPr>
          <w:rFonts w:cs="Arial"/>
        </w:rPr>
        <w:t>20</w:t>
      </w:r>
      <w:r w:rsidRPr="003A5ABF">
        <w:rPr>
          <w:rFonts w:cs="Arial"/>
          <w:lang w:val="sr-Cyrl-CS"/>
        </w:rPr>
        <w:t>. (РС10), на адреси:</w:t>
      </w:r>
      <w:r w:rsidRPr="003033D5">
        <w:rPr>
          <w:rFonts w:cs="Arial"/>
          <w:color w:val="003399"/>
          <w:lang w:val="sr-Latn-RS"/>
        </w:rPr>
        <w:t xml:space="preserve"> </w:t>
      </w:r>
      <w:hyperlink r:id="rId11" w:history="1">
        <w:r w:rsidR="004A7D00" w:rsidRPr="003033D5">
          <w:rPr>
            <w:rStyle w:val="Hyperlink"/>
            <w:rFonts w:cs="Arial"/>
            <w:color w:val="003399"/>
            <w:lang w:val="sr-Latn-RS"/>
          </w:rPr>
          <w:t>http://publikacije.stat.gov.rs/G2018/Xls/G20191043.xlsx</w:t>
        </w:r>
      </w:hyperlink>
      <w:r w:rsidRPr="003A5ABF">
        <w:rPr>
          <w:rFonts w:cs="Arial"/>
        </w:rPr>
        <w:t>.</w:t>
      </w:r>
    </w:p>
    <w:p w:rsidR="00F849CA" w:rsidRDefault="00F849CA" w:rsidP="00276727">
      <w:pPr>
        <w:spacing w:before="480" w:after="120" w:line="264" w:lineRule="auto"/>
        <w:jc w:val="center"/>
        <w:rPr>
          <w:rFonts w:cs="Arial"/>
          <w:b/>
        </w:rPr>
      </w:pPr>
    </w:p>
    <w:p w:rsidR="000F4A7D" w:rsidRPr="000F4A7D" w:rsidRDefault="000F4A7D" w:rsidP="00276727">
      <w:pPr>
        <w:spacing w:before="480" w:after="120" w:line="264" w:lineRule="auto"/>
        <w:jc w:val="center"/>
        <w:rPr>
          <w:rFonts w:cs="Arial"/>
          <w:b/>
        </w:rPr>
      </w:pPr>
      <w:r w:rsidRPr="000F4A7D">
        <w:rPr>
          <w:rFonts w:cs="Arial"/>
          <w:b/>
        </w:rPr>
        <w:t>Методолошка објашњења</w:t>
      </w:r>
    </w:p>
    <w:p w:rsidR="0040126F" w:rsidRDefault="00184AFD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</w:rPr>
        <w:t>Анкета о радној снази представља најобухватнији и једини међународно упоредиви инструмент за праћ</w:t>
      </w:r>
      <w:r w:rsidR="0040126F">
        <w:rPr>
          <w:rFonts w:cs="Arial"/>
        </w:rPr>
        <w:t>ење кретања на тржишту рада, којим</w:t>
      </w:r>
      <w:r w:rsidRPr="00184AFD">
        <w:rPr>
          <w:rFonts w:cs="Arial"/>
        </w:rPr>
        <w:t xml:space="preserve"> се региструју демографске и социоекономске кара</w:t>
      </w:r>
      <w:r w:rsidR="00BA2BDC">
        <w:rPr>
          <w:rFonts w:cs="Arial"/>
        </w:rPr>
        <w:t>ктеристике становништва старoг</w:t>
      </w:r>
      <w:r w:rsidRPr="00184AFD">
        <w:rPr>
          <w:rFonts w:cs="Arial"/>
        </w:rPr>
        <w:t xml:space="preserve"> 15</w:t>
      </w:r>
      <w:r w:rsidR="00BA2BDC">
        <w:rPr>
          <w:rFonts w:cs="Arial"/>
        </w:rPr>
        <w:t xml:space="preserve"> и више</w:t>
      </w:r>
      <w:r w:rsidRPr="00184AFD">
        <w:rPr>
          <w:rFonts w:cs="Arial"/>
        </w:rPr>
        <w:t xml:space="preserve"> година. </w:t>
      </w:r>
    </w:p>
    <w:p w:rsidR="0040126F" w:rsidRDefault="00184AFD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</w:rPr>
        <w:t xml:space="preserve">Главни циљ Aнкете је оцењивање обима радне снаге, тј. запосленог и незапосленог становништва, при чему се под запосленошћу подразумева рад и у формалном и у неформалном сектору. </w:t>
      </w:r>
    </w:p>
    <w:p w:rsidR="00184AFD" w:rsidRDefault="00184AFD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</w:rPr>
        <w:t>Поред тога, ово истраживање бави се карактеристикама запослености (професионалним статусом запослених лица, њиховом делатношћу, занимањем, правима која остварују на послу) и незапослености (стеченим образовањем, дужином тражења посла, претходним радним искуством), као и карактеристикама н</w:t>
      </w:r>
      <w:r w:rsidR="009D68CF">
        <w:rPr>
          <w:rFonts w:cs="Arial"/>
        </w:rPr>
        <w:t>еактивног становништва ‒</w:t>
      </w:r>
      <w:r w:rsidRPr="00184AFD">
        <w:rPr>
          <w:rFonts w:cs="Arial"/>
        </w:rPr>
        <w:t xml:space="preserve"> образовањем, старошћу, извором п</w:t>
      </w:r>
      <w:r w:rsidR="009D68CF">
        <w:rPr>
          <w:rFonts w:cs="Arial"/>
        </w:rPr>
        <w:t>рихода и спремношћу да се укључ</w:t>
      </w:r>
      <w:r w:rsidR="000D2F0B">
        <w:rPr>
          <w:rFonts w:cs="Arial"/>
        </w:rPr>
        <w:t>е</w:t>
      </w:r>
      <w:r w:rsidRPr="00184AFD">
        <w:rPr>
          <w:rFonts w:cs="Arial"/>
        </w:rPr>
        <w:t xml:space="preserve"> на тржиште рада.</w:t>
      </w:r>
    </w:p>
    <w:p w:rsidR="00FA120E" w:rsidRDefault="00FA120E" w:rsidP="00F316DF">
      <w:pPr>
        <w:spacing w:before="120" w:after="120" w:line="264" w:lineRule="auto"/>
        <w:ind w:firstLine="403"/>
        <w:jc w:val="both"/>
        <w:rPr>
          <w:rFonts w:cs="Arial"/>
          <w:i/>
        </w:rPr>
      </w:pPr>
    </w:p>
    <w:p w:rsidR="00F316DF" w:rsidRPr="00E65899" w:rsidRDefault="00F316DF" w:rsidP="00F316DF">
      <w:pPr>
        <w:spacing w:before="120" w:after="120" w:line="264" w:lineRule="auto"/>
        <w:ind w:firstLine="403"/>
        <w:jc w:val="both"/>
        <w:rPr>
          <w:rFonts w:cs="Arial"/>
          <w:i/>
        </w:rPr>
      </w:pPr>
      <w:r w:rsidRPr="00E65899">
        <w:rPr>
          <w:rFonts w:cs="Arial"/>
          <w:i/>
        </w:rPr>
        <w:lastRenderedPageBreak/>
        <w:t>Анкета о радној снази је током другог квартала 2020. године, услед пандемије</w:t>
      </w:r>
      <w:r w:rsidRPr="00E65899">
        <w:rPr>
          <w:rFonts w:cs="Arial"/>
          <w:i/>
          <w:lang w:val="sr-Latn-RS"/>
        </w:rPr>
        <w:t xml:space="preserve"> </w:t>
      </w:r>
      <w:r w:rsidRPr="00E65899">
        <w:rPr>
          <w:rFonts w:cs="Arial"/>
          <w:i/>
        </w:rPr>
        <w:t xml:space="preserve">корона вируса, претрпела извесне промене у начину прикупљања података. Наиме, за разлику од редовног начина рада, када се анкетирање обавља делимично телефонским путем (за домаћинства која су претходно већ била анкетирана) а делимично на терену посећивањем домаћинстава (за оне који се први пут анкетирају), за време ванредног стања Анкета је вршена искључиво телефонским путем. </w:t>
      </w:r>
    </w:p>
    <w:p w:rsidR="000F44C5" w:rsidRPr="00E65899" w:rsidRDefault="000F44C5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E65899">
        <w:rPr>
          <w:rFonts w:cs="Arial"/>
          <w:b/>
        </w:rPr>
        <w:t xml:space="preserve">Активно становништво (радну снагу) </w:t>
      </w:r>
      <w:r w:rsidRPr="00E65899">
        <w:rPr>
          <w:rFonts w:cs="Arial"/>
        </w:rPr>
        <w:t>чине сва запослена и незапослена лица</w:t>
      </w:r>
      <w:r w:rsidR="0040126F" w:rsidRPr="00E65899">
        <w:rPr>
          <w:rFonts w:cs="Arial"/>
        </w:rPr>
        <w:t xml:space="preserve"> стара 15 и више година</w:t>
      </w:r>
      <w:r w:rsidRPr="00E65899">
        <w:rPr>
          <w:rFonts w:cs="Arial"/>
        </w:rPr>
        <w:t>.</w:t>
      </w:r>
    </w:p>
    <w:p w:rsidR="006F4F88" w:rsidRPr="00E65899" w:rsidRDefault="006F4F88" w:rsidP="006F4F88">
      <w:pPr>
        <w:spacing w:before="120" w:after="120" w:line="264" w:lineRule="auto"/>
        <w:ind w:firstLine="403"/>
        <w:jc w:val="both"/>
        <w:rPr>
          <w:rFonts w:ascii="Calibri" w:hAnsi="Calibri"/>
        </w:rPr>
      </w:pPr>
      <w:r w:rsidRPr="00E65899">
        <w:rPr>
          <w:b/>
          <w:bCs/>
        </w:rPr>
        <w:t xml:space="preserve">Потенцијална радна снага </w:t>
      </w:r>
      <w:r w:rsidR="00F52C87" w:rsidRPr="00E65899">
        <w:t>обухвата две групe</w:t>
      </w:r>
      <w:r w:rsidRPr="00E65899">
        <w:t xml:space="preserve"> не</w:t>
      </w:r>
      <w:r w:rsidR="00D63D9A" w:rsidRPr="00E65899">
        <w:t>а</w:t>
      </w:r>
      <w:r w:rsidRPr="00E65899">
        <w:t>ктивног становништва</w:t>
      </w:r>
      <w:r w:rsidR="00FB13E4" w:rsidRPr="00E65899">
        <w:t>,</w:t>
      </w:r>
      <w:r w:rsidRPr="00E65899">
        <w:t xml:space="preserve"> и то 1) лица која могу да раде али не траже посао и 2) лица која траже посао али не могу одмах да почну да раде.</w:t>
      </w:r>
    </w:p>
    <w:p w:rsidR="000F44C5" w:rsidRPr="00184AFD" w:rsidRDefault="000F44C5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E65899">
        <w:rPr>
          <w:rFonts w:cs="Arial"/>
          <w:b/>
        </w:rPr>
        <w:t xml:space="preserve">Стопа активности (учешћа радне снаге) </w:t>
      </w:r>
      <w:r w:rsidRPr="00E65899">
        <w:rPr>
          <w:rFonts w:cs="Arial"/>
        </w:rPr>
        <w:t>представља удео активног становништва у укупном становништву старом 15 и више година.</w:t>
      </w:r>
    </w:p>
    <w:p w:rsidR="000F44C5" w:rsidRPr="00184AFD" w:rsidRDefault="000F44C5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</w:rPr>
        <w:t>Лица која су најмање један сат у посматраној седмици обављала неки плаћени посао (у новцу или натури), као</w:t>
      </w:r>
      <w:r w:rsidR="00773E52">
        <w:rPr>
          <w:rFonts w:cs="Arial"/>
        </w:rPr>
        <w:t xml:space="preserve"> и лица која су имала запослење,</w:t>
      </w:r>
      <w:r w:rsidRPr="00184AFD">
        <w:rPr>
          <w:rFonts w:cs="Arial"/>
        </w:rPr>
        <w:t xml:space="preserve"> али која су у тој седмици </w:t>
      </w:r>
      <w:r w:rsidRPr="00271191">
        <w:rPr>
          <w:rFonts w:cs="Arial"/>
        </w:rPr>
        <w:t>била одсутна са</w:t>
      </w:r>
      <w:r w:rsidRPr="00184AFD">
        <w:rPr>
          <w:rFonts w:cs="Arial"/>
        </w:rPr>
        <w:t xml:space="preserve"> посла (уз гаранцију повратка)</w:t>
      </w:r>
      <w:r w:rsidR="00773E52">
        <w:rPr>
          <w:rFonts w:cs="Arial"/>
        </w:rPr>
        <w:t>,</w:t>
      </w:r>
      <w:r w:rsidRPr="00184AFD">
        <w:rPr>
          <w:rFonts w:cs="Arial"/>
        </w:rPr>
        <w:t xml:space="preserve"> сматрају се </w:t>
      </w:r>
      <w:r w:rsidRPr="00184AFD">
        <w:rPr>
          <w:rFonts w:cs="Arial"/>
          <w:b/>
        </w:rPr>
        <w:t>запосленим лицима</w:t>
      </w:r>
      <w:r w:rsidRPr="00184AFD">
        <w:rPr>
          <w:rFonts w:cs="Arial"/>
        </w:rPr>
        <w:t>.</w:t>
      </w:r>
    </w:p>
    <w:p w:rsidR="000F44C5" w:rsidRPr="00184AFD" w:rsidRDefault="000F44C5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  <w:b/>
        </w:rPr>
        <w:t>Стопа запослености</w:t>
      </w:r>
      <w:r w:rsidRPr="00184AFD">
        <w:rPr>
          <w:rFonts w:cs="Arial"/>
        </w:rPr>
        <w:t xml:space="preserve"> представља удео запослених у укупном становништву старом 15 и више година.</w:t>
      </w:r>
    </w:p>
    <w:p w:rsidR="000F44C5" w:rsidRPr="00184AFD" w:rsidRDefault="000F44C5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  <w:b/>
        </w:rPr>
        <w:t>Неформалном запосленошћу</w:t>
      </w:r>
      <w:r w:rsidRPr="00184AFD">
        <w:rPr>
          <w:rFonts w:cs="Arial"/>
        </w:rPr>
        <w:t xml:space="preserve"> сматра се рад у нерегистрованим предузећима, рад у регистрованим предузећима без уговора о раду, као и рад помажућих чланова домаћинства. </w:t>
      </w:r>
    </w:p>
    <w:p w:rsidR="000F44C5" w:rsidRPr="00184AFD" w:rsidRDefault="000F44C5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  <w:b/>
        </w:rPr>
        <w:t>Стопа неформалне запослености</w:t>
      </w:r>
      <w:r w:rsidRPr="00184AFD">
        <w:rPr>
          <w:rFonts w:cs="Arial"/>
        </w:rPr>
        <w:t xml:space="preserve"> представља удео неформално запослених у укупној запослености.</w:t>
      </w:r>
    </w:p>
    <w:p w:rsidR="000F44C5" w:rsidRPr="00184AFD" w:rsidRDefault="000F44C5" w:rsidP="00A10D42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t>Незапослена лица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су она лица која нису обављала ниједан плаћени посао у посматраној седмици, активно су тражила посао током четири седмице које су претходиле посматраној седмици и у могућности су да почну да раде у року од две седмице након истека посматране седмице.</w:t>
      </w:r>
    </w:p>
    <w:p w:rsidR="000F44C5" w:rsidRPr="00184AFD" w:rsidRDefault="000F44C5" w:rsidP="00A10D42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t>Стопа незапослености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представља удео незапослених у радној снази (запослени и незапослени) старости 15 и више година.</w:t>
      </w:r>
    </w:p>
    <w:p w:rsidR="000F44C5" w:rsidRPr="00276727" w:rsidRDefault="000F44C5" w:rsidP="00A10D42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t>Стопа дугорочне незапослености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представља удео лица незапослених дуже од годину дана у радној снази (запослени и незапослени) старости 15 и више година.</w:t>
      </w:r>
    </w:p>
    <w:p w:rsidR="00E03C68" w:rsidRPr="00184AFD" w:rsidRDefault="000F44C5" w:rsidP="00A10D42">
      <w:pPr>
        <w:pStyle w:val="NormalWeb"/>
        <w:spacing w:beforeLines="0" w:before="120" w:afterLines="0" w:after="120" w:line="264" w:lineRule="auto"/>
        <w:ind w:firstLine="403"/>
        <w:jc w:val="both"/>
        <w:rPr>
          <w:rFonts w:ascii="Arial" w:eastAsia="Times New Roman" w:hAnsi="Arial" w:cs="Arial"/>
          <w:b/>
          <w:lang w:val="sr-Cyrl-RS"/>
        </w:rPr>
      </w:pPr>
      <w:r w:rsidRPr="00184AFD">
        <w:rPr>
          <w:rFonts w:ascii="Arial" w:eastAsia="Times New Roman" w:hAnsi="Arial" w:cs="Arial"/>
          <w:b/>
          <w:lang w:val="sr-Cyrl-RS"/>
        </w:rPr>
        <w:t xml:space="preserve">Стопа </w:t>
      </w:r>
      <w:r w:rsidRPr="00184AFD">
        <w:rPr>
          <w:rFonts w:ascii="Arial" w:eastAsia="Times New Roman" w:hAnsi="Arial" w:cs="Arial"/>
          <w:b/>
          <w:lang w:val="sr-Latn-RS"/>
        </w:rPr>
        <w:t xml:space="preserve">NEET </w:t>
      </w:r>
      <w:r w:rsidRPr="00184AFD">
        <w:rPr>
          <w:rFonts w:ascii="Arial" w:eastAsia="Times New Roman" w:hAnsi="Arial" w:cs="Arial"/>
          <w:lang w:val="sr-Cyrl-RS"/>
        </w:rPr>
        <w:t xml:space="preserve">подразумева учешће лица старости </w:t>
      </w:r>
      <w:r w:rsidR="00D63D9A">
        <w:rPr>
          <w:rFonts w:ascii="Arial" w:eastAsia="Times New Roman" w:hAnsi="Arial" w:cs="Arial"/>
          <w:lang w:val="sr-Cyrl-RS"/>
        </w:rPr>
        <w:t xml:space="preserve">од 15 до </w:t>
      </w:r>
      <w:r w:rsidRPr="00184AFD">
        <w:rPr>
          <w:rFonts w:ascii="Arial" w:eastAsia="Times New Roman" w:hAnsi="Arial" w:cs="Arial"/>
          <w:lang w:val="sr-Cyrl-RS"/>
        </w:rPr>
        <w:t>24 године која нису запослена, нису на школовању, нити су на обуци у укупној популацији тог узраста</w:t>
      </w:r>
      <w:r w:rsidRPr="00184AFD">
        <w:rPr>
          <w:rFonts w:ascii="Arial" w:eastAsia="Times New Roman" w:hAnsi="Arial" w:cs="Arial"/>
          <w:b/>
          <w:lang w:val="sr-Cyrl-RS"/>
        </w:rPr>
        <w:t>.</w:t>
      </w:r>
    </w:p>
    <w:p w:rsidR="000F44C5" w:rsidRPr="00184AFD" w:rsidRDefault="000F44C5" w:rsidP="00A10D42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t>Неактивно становништво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чине сва лица стара 15 и више година која нису сврстана у запослено или незапослено становништво. У неактивна лица спадају студенти, пензионери, лица која обављају кућне послове, као и остала лица која у посматраној седмици нису обављала ниједан плаћени посао, нису активно тражила посао или нису била у могућности да почну да раде у року од две седмице након истека посматране седмице.</w:t>
      </w:r>
    </w:p>
    <w:p w:rsidR="000F44C5" w:rsidRPr="00184AFD" w:rsidRDefault="000F44C5" w:rsidP="00A10D42">
      <w:pPr>
        <w:spacing w:before="120" w:after="120" w:line="264" w:lineRule="auto"/>
        <w:ind w:firstLine="403"/>
        <w:jc w:val="both"/>
        <w:rPr>
          <w:rFonts w:cs="Arial"/>
          <w:bCs/>
          <w:iCs/>
        </w:rPr>
      </w:pPr>
      <w:r w:rsidRPr="00184AFD">
        <w:rPr>
          <w:rFonts w:cs="Arial"/>
          <w:b/>
          <w:bCs/>
          <w:iCs/>
        </w:rPr>
        <w:t>Стопа неактивности</w:t>
      </w:r>
      <w:r w:rsidRPr="00184AFD">
        <w:rPr>
          <w:rFonts w:cs="Arial"/>
          <w:bCs/>
          <w:iCs/>
        </w:rPr>
        <w:t xml:space="preserve"> представља удео неактивног становништва у укупном становништву старом 15 и више година.</w:t>
      </w:r>
    </w:p>
    <w:p w:rsidR="000F2A19" w:rsidRDefault="000F44C5" w:rsidP="00A10D42">
      <w:pPr>
        <w:spacing w:before="120" w:after="120" w:line="264" w:lineRule="auto"/>
        <w:ind w:firstLine="403"/>
        <w:jc w:val="both"/>
        <w:rPr>
          <w:rStyle w:val="Hyperlink"/>
          <w:rFonts w:cs="Arial"/>
        </w:rPr>
      </w:pPr>
      <w:r w:rsidRPr="00184AFD">
        <w:rPr>
          <w:rFonts w:cs="Arial"/>
        </w:rPr>
        <w:t>За детаљнији опис Ан</w:t>
      </w:r>
      <w:r w:rsidR="00D63D9A">
        <w:rPr>
          <w:rFonts w:cs="Arial"/>
        </w:rPr>
        <w:t>кете и свих дефиниција у вези с</w:t>
      </w:r>
      <w:r w:rsidRPr="00184AFD">
        <w:rPr>
          <w:rFonts w:cs="Arial"/>
        </w:rPr>
        <w:t xml:space="preserve"> радном снагом видети методологију Анкете о радној снази на:</w:t>
      </w:r>
      <w:r w:rsidRPr="00276727">
        <w:rPr>
          <w:rFonts w:cs="Arial"/>
        </w:rPr>
        <w:t xml:space="preserve"> </w:t>
      </w:r>
      <w:hyperlink r:id="rId12" w:history="1">
        <w:r w:rsidR="00227336" w:rsidRPr="003033D5">
          <w:rPr>
            <w:rStyle w:val="Hyperlink"/>
            <w:rFonts w:cs="Arial"/>
            <w:color w:val="003399"/>
            <w:lang w:val="en-US"/>
          </w:rPr>
          <w:t>www</w:t>
        </w:r>
        <w:r w:rsidR="00227336" w:rsidRPr="003033D5">
          <w:rPr>
            <w:rStyle w:val="Hyperlink"/>
            <w:rFonts w:cs="Arial"/>
            <w:color w:val="003399"/>
          </w:rPr>
          <w:t>.</w:t>
        </w:r>
        <w:r w:rsidR="00227336" w:rsidRPr="003033D5">
          <w:rPr>
            <w:rStyle w:val="Hyperlink"/>
            <w:rFonts w:cs="Arial"/>
            <w:color w:val="003399"/>
            <w:lang w:val="en-US"/>
          </w:rPr>
          <w:t>stat</w:t>
        </w:r>
        <w:r w:rsidR="00227336" w:rsidRPr="003033D5">
          <w:rPr>
            <w:rStyle w:val="Hyperlink"/>
            <w:rFonts w:cs="Arial"/>
            <w:color w:val="003399"/>
          </w:rPr>
          <w:t>.</w:t>
        </w:r>
        <w:r w:rsidR="00227336" w:rsidRPr="003033D5">
          <w:rPr>
            <w:rStyle w:val="Hyperlink"/>
            <w:rFonts w:cs="Arial"/>
            <w:color w:val="003399"/>
            <w:lang w:val="en-US"/>
          </w:rPr>
          <w:t>gov</w:t>
        </w:r>
        <w:r w:rsidR="00227336" w:rsidRPr="003033D5">
          <w:rPr>
            <w:rStyle w:val="Hyperlink"/>
            <w:rFonts w:cs="Arial"/>
            <w:color w:val="003399"/>
          </w:rPr>
          <w:t>.</w:t>
        </w:r>
        <w:r w:rsidR="00227336" w:rsidRPr="003033D5">
          <w:rPr>
            <w:rStyle w:val="Hyperlink"/>
            <w:rFonts w:cs="Arial"/>
            <w:color w:val="003399"/>
            <w:lang w:val="en-US"/>
          </w:rPr>
          <w:t>rs</w:t>
        </w:r>
      </w:hyperlink>
      <w:r w:rsidR="00FF7A23" w:rsidRPr="00D63D9A">
        <w:rPr>
          <w:rStyle w:val="Hyperlink"/>
          <w:rFonts w:cs="Arial"/>
          <w:color w:val="auto"/>
          <w:u w:val="none"/>
        </w:rPr>
        <w:t>.</w:t>
      </w:r>
    </w:p>
    <w:p w:rsidR="00451145" w:rsidRPr="00FF7A23" w:rsidRDefault="00451145" w:rsidP="00276727">
      <w:pPr>
        <w:spacing w:before="240" w:after="120" w:line="264" w:lineRule="auto"/>
        <w:ind w:firstLine="397"/>
        <w:jc w:val="both"/>
        <w:rPr>
          <w:rFonts w:cs="Arial"/>
          <w:sz w:val="16"/>
          <w:szCs w:val="16"/>
        </w:rPr>
      </w:pPr>
    </w:p>
    <w:p w:rsidR="008F1FDB" w:rsidRDefault="008F1FDB" w:rsidP="00276727">
      <w:pPr>
        <w:pStyle w:val="FootnoteText"/>
        <w:spacing w:before="240" w:after="120" w:line="264" w:lineRule="auto"/>
        <w:ind w:firstLine="397"/>
        <w:jc w:val="both"/>
        <w:rPr>
          <w:rFonts w:ascii="Arial" w:hAnsi="Arial" w:cs="Arial"/>
        </w:rPr>
      </w:pPr>
      <w:r w:rsidRPr="005B0B7E">
        <w:rPr>
          <w:rFonts w:ascii="Arial" w:hAnsi="Arial" w:cs="Arial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B05442" w:rsidRDefault="00B05442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0E3467" w:rsidRDefault="000E3467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D925E2" w:rsidRDefault="00D925E2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  <w:bookmarkStart w:id="2" w:name="_GoBack"/>
      <w:bookmarkEnd w:id="2"/>
    </w:p>
    <w:p w:rsidR="000F2A19" w:rsidRPr="005B0B7E" w:rsidRDefault="000F2A19" w:rsidP="00276727">
      <w:pPr>
        <w:pStyle w:val="FootnoteText"/>
        <w:spacing w:before="100" w:after="100" w:line="264" w:lineRule="auto"/>
        <w:jc w:val="both"/>
        <w:rPr>
          <w:rFonts w:cs="Arial"/>
          <w:sz w:val="16"/>
          <w:szCs w:val="16"/>
          <w:lang w:val="ru-RU"/>
        </w:rPr>
      </w:pPr>
    </w:p>
    <w:p w:rsidR="008F1FDB" w:rsidRPr="000E3467" w:rsidRDefault="008F1FDB" w:rsidP="00276727">
      <w:pPr>
        <w:spacing w:line="264" w:lineRule="auto"/>
        <w:ind w:left="1416" w:firstLine="708"/>
        <w:rPr>
          <w:rFonts w:cs="Arial"/>
          <w:sz w:val="16"/>
          <w:szCs w:val="16"/>
          <w:lang w:val="ru-RU"/>
        </w:rPr>
      </w:pPr>
      <w:r w:rsidRPr="000E3467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129E17C" wp14:editId="7EBC1780">
                <wp:simplePos x="0" y="0"/>
                <wp:positionH relativeFrom="column">
                  <wp:posOffset>949960</wp:posOffset>
                </wp:positionH>
                <wp:positionV relativeFrom="paragraph">
                  <wp:posOffset>34924</wp:posOffset>
                </wp:positionV>
                <wp:extent cx="4679950" cy="0"/>
                <wp:effectExtent l="0" t="0" r="2540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137DB" id="Straight Connector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8pt,2.75pt" to="443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" strokecolor="#7f7f7f" strokeweight="1pt">
                <o:lock v:ext="edit" shapetype="f"/>
              </v:line>
            </w:pict>
          </mc:Fallback>
        </mc:AlternateContent>
      </w:r>
    </w:p>
    <w:p w:rsidR="008F1FDB" w:rsidRPr="000E3467" w:rsidRDefault="008F1FDB" w:rsidP="00276727">
      <w:pPr>
        <w:spacing w:line="264" w:lineRule="auto"/>
        <w:jc w:val="center"/>
        <w:rPr>
          <w:rFonts w:cs="Arial"/>
          <w:sz w:val="18"/>
          <w:szCs w:val="18"/>
        </w:rPr>
      </w:pPr>
      <w:r w:rsidRPr="000E3467">
        <w:rPr>
          <w:rFonts w:cs="Arial"/>
          <w:sz w:val="18"/>
          <w:szCs w:val="18"/>
        </w:rPr>
        <w:t xml:space="preserve">Контакт: </w:t>
      </w:r>
      <w:hyperlink r:id="rId13" w:history="1">
        <w:r w:rsidRPr="003033D5">
          <w:rPr>
            <w:rStyle w:val="Hyperlink"/>
            <w:rFonts w:cs="Arial"/>
            <w:color w:val="003399"/>
            <w:sz w:val="18"/>
            <w:szCs w:val="18"/>
            <w:lang w:val="en-US"/>
          </w:rPr>
          <w:t>ars</w:t>
        </w:r>
        <w:r w:rsidRPr="003033D5">
          <w:rPr>
            <w:rStyle w:val="Hyperlink"/>
            <w:rFonts w:cs="Arial"/>
            <w:color w:val="003399"/>
            <w:sz w:val="18"/>
            <w:szCs w:val="18"/>
            <w:lang w:val="ru-RU"/>
          </w:rPr>
          <w:t>@</w:t>
        </w:r>
        <w:r w:rsidRPr="003033D5">
          <w:rPr>
            <w:rStyle w:val="Hyperlink"/>
            <w:rFonts w:cs="Arial"/>
            <w:color w:val="003399"/>
            <w:sz w:val="18"/>
            <w:szCs w:val="18"/>
            <w:lang w:val="en-US"/>
          </w:rPr>
          <w:t>stat</w:t>
        </w:r>
        <w:r w:rsidRPr="003033D5">
          <w:rPr>
            <w:rStyle w:val="Hyperlink"/>
            <w:rFonts w:cs="Arial"/>
            <w:color w:val="003399"/>
            <w:sz w:val="18"/>
            <w:szCs w:val="18"/>
            <w:lang w:val="ru-RU"/>
          </w:rPr>
          <w:t>.</w:t>
        </w:r>
        <w:r w:rsidRPr="003033D5">
          <w:rPr>
            <w:rStyle w:val="Hyperlink"/>
            <w:rFonts w:cs="Arial"/>
            <w:color w:val="003399"/>
            <w:sz w:val="18"/>
            <w:szCs w:val="18"/>
            <w:lang w:val="en-US"/>
          </w:rPr>
          <w:t>gov</w:t>
        </w:r>
        <w:r w:rsidRPr="003033D5">
          <w:rPr>
            <w:rStyle w:val="Hyperlink"/>
            <w:rFonts w:cs="Arial"/>
            <w:color w:val="003399"/>
            <w:sz w:val="18"/>
            <w:szCs w:val="18"/>
            <w:lang w:val="ru-RU"/>
          </w:rPr>
          <w:t>.</w:t>
        </w:r>
        <w:r w:rsidRPr="003033D5">
          <w:rPr>
            <w:rStyle w:val="Hyperlink"/>
            <w:rFonts w:cs="Arial"/>
            <w:color w:val="003399"/>
            <w:sz w:val="18"/>
            <w:szCs w:val="18"/>
            <w:lang w:val="en-US"/>
          </w:rPr>
          <w:t>rs</w:t>
        </w:r>
      </w:hyperlink>
      <w:r w:rsidRPr="000E3467">
        <w:rPr>
          <w:rFonts w:cs="Arial"/>
          <w:sz w:val="18"/>
          <w:szCs w:val="18"/>
          <w:lang w:val="sr-Cyrl-CS"/>
        </w:rPr>
        <w:t>,</w:t>
      </w:r>
      <w:r w:rsidRPr="000E3467">
        <w:rPr>
          <w:rFonts w:cs="Arial"/>
          <w:sz w:val="18"/>
          <w:szCs w:val="18"/>
          <w:lang w:val="sr-Latn-RS"/>
        </w:rPr>
        <w:t xml:space="preserve"> тел</w:t>
      </w:r>
      <w:r w:rsidRPr="000E3467">
        <w:rPr>
          <w:rFonts w:cs="Arial"/>
          <w:sz w:val="18"/>
          <w:szCs w:val="18"/>
          <w:lang w:val="sr-Cyrl-CS"/>
        </w:rPr>
        <w:t>.</w:t>
      </w:r>
      <w:r w:rsidRPr="000E3467">
        <w:rPr>
          <w:rFonts w:cs="Arial"/>
          <w:sz w:val="18"/>
          <w:szCs w:val="18"/>
          <w:lang w:val="sr-Latn-RS"/>
        </w:rPr>
        <w:t>: 011 2412 922</w:t>
      </w:r>
      <w:r w:rsidRPr="000E3467">
        <w:rPr>
          <w:rFonts w:cs="Arial"/>
          <w:sz w:val="18"/>
          <w:szCs w:val="18"/>
          <w:lang w:val="sr-Cyrl-CS"/>
        </w:rPr>
        <w:t>,</w:t>
      </w:r>
      <w:r w:rsidRPr="000E3467">
        <w:rPr>
          <w:rFonts w:cs="Arial"/>
          <w:sz w:val="18"/>
          <w:szCs w:val="18"/>
          <w:lang w:val="sr-Latn-RS"/>
        </w:rPr>
        <w:t xml:space="preserve"> локал </w:t>
      </w:r>
      <w:r w:rsidRPr="000E3467">
        <w:rPr>
          <w:rFonts w:cs="Arial"/>
          <w:sz w:val="18"/>
          <w:szCs w:val="18"/>
        </w:rPr>
        <w:t>3</w:t>
      </w:r>
      <w:r w:rsidR="006027A3">
        <w:rPr>
          <w:rFonts w:cs="Arial"/>
          <w:sz w:val="18"/>
          <w:szCs w:val="18"/>
        </w:rPr>
        <w:t>85</w:t>
      </w:r>
    </w:p>
    <w:p w:rsidR="005B2627" w:rsidRDefault="008F1FDB" w:rsidP="00276727">
      <w:pPr>
        <w:spacing w:line="264" w:lineRule="auto"/>
        <w:jc w:val="center"/>
      </w:pPr>
      <w:r w:rsidRPr="000E3467">
        <w:rPr>
          <w:rFonts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0E3467">
        <w:rPr>
          <w:rFonts w:cs="Arial"/>
          <w:sz w:val="18"/>
          <w:szCs w:val="18"/>
        </w:rPr>
        <w:t xml:space="preserve">11 050 </w:t>
      </w:r>
      <w:r w:rsidRPr="005B0B7E">
        <w:rPr>
          <w:rFonts w:cs="Arial"/>
          <w:sz w:val="18"/>
          <w:szCs w:val="18"/>
          <w:lang w:val="ru-RU"/>
        </w:rPr>
        <w:t>Београд, Милана</w:t>
      </w:r>
      <w:r w:rsidRPr="005B0B7E">
        <w:rPr>
          <w:rFonts w:cs="Arial"/>
          <w:sz w:val="18"/>
          <w:szCs w:val="18"/>
          <w:lang w:val="sr-Cyrl-CS"/>
        </w:rPr>
        <w:t xml:space="preserve"> Р</w:t>
      </w:r>
      <w:r w:rsidRPr="005B0B7E">
        <w:rPr>
          <w:rFonts w:cs="Arial"/>
          <w:sz w:val="18"/>
          <w:szCs w:val="18"/>
          <w:lang w:val="ru-RU"/>
        </w:rPr>
        <w:t xml:space="preserve">акића 5 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 xml:space="preserve">елефон: 011 </w:t>
      </w:r>
      <w:r w:rsidRPr="005B0B7E">
        <w:rPr>
          <w:rFonts w:cs="Arial"/>
          <w:sz w:val="18"/>
          <w:szCs w:val="18"/>
          <w:lang w:val="sr-Cyrl-CS"/>
        </w:rPr>
        <w:t>2</w:t>
      </w:r>
      <w:r w:rsidRPr="005B0B7E">
        <w:rPr>
          <w:rFonts w:cs="Arial"/>
          <w:sz w:val="18"/>
          <w:szCs w:val="18"/>
          <w:lang w:val="ru-RU"/>
        </w:rPr>
        <w:t>412</w:t>
      </w:r>
      <w:r w:rsidRPr="00276727">
        <w:rPr>
          <w:rFonts w:cs="Arial"/>
          <w:sz w:val="18"/>
          <w:szCs w:val="18"/>
        </w:rPr>
        <w:t xml:space="preserve"> 9</w:t>
      </w:r>
      <w:r w:rsidRPr="005B0B7E">
        <w:rPr>
          <w:rFonts w:cs="Arial"/>
          <w:sz w:val="18"/>
          <w:szCs w:val="18"/>
          <w:lang w:val="ru-RU"/>
        </w:rPr>
        <w:t xml:space="preserve">22 (централа) • </w:t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>елефакс: 011 2411</w:t>
      </w:r>
      <w:r w:rsidRPr="005B0B7E">
        <w:rPr>
          <w:rFonts w:cs="Arial"/>
          <w:sz w:val="18"/>
          <w:szCs w:val="18"/>
          <w:lang w:val="sr-Cyrl-CS"/>
        </w:rPr>
        <w:t>-</w:t>
      </w:r>
      <w:r w:rsidRPr="005B0B7E">
        <w:rPr>
          <w:rFonts w:cs="Arial"/>
          <w:sz w:val="18"/>
          <w:szCs w:val="18"/>
          <w:lang w:val="ru-RU"/>
        </w:rPr>
        <w:t>260 •</w:t>
      </w:r>
      <w:r w:rsidRPr="005B0B7E">
        <w:rPr>
          <w:rFonts w:cs="Arial"/>
          <w:sz w:val="18"/>
          <w:szCs w:val="18"/>
          <w:lang w:val="sr-Cyrl-CS"/>
        </w:rPr>
        <w:t xml:space="preserve"> </w:t>
      </w:r>
      <w:r w:rsidRPr="005B0B7E">
        <w:rPr>
          <w:rFonts w:cs="Arial"/>
          <w:sz w:val="18"/>
          <w:szCs w:val="18"/>
        </w:rPr>
        <w:t>www.stat.gov.rs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  <w:lang w:val="ru-RU"/>
        </w:rPr>
        <w:t xml:space="preserve">Одговара: </w:t>
      </w:r>
      <w:r w:rsidRPr="005B0B7E">
        <w:rPr>
          <w:rFonts w:cs="Arial"/>
          <w:sz w:val="18"/>
          <w:szCs w:val="18"/>
          <w:lang w:val="sr-Cyrl-CS"/>
        </w:rPr>
        <w:t>др Миладин Ковачевић</w:t>
      </w:r>
      <w:r w:rsidRPr="005B0B7E">
        <w:rPr>
          <w:rFonts w:cs="Arial"/>
          <w:sz w:val="18"/>
          <w:szCs w:val="18"/>
          <w:lang w:val="ru-RU"/>
        </w:rPr>
        <w:t xml:space="preserve">, директор 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 xml:space="preserve">ираж: </w:t>
      </w:r>
      <w:r w:rsidRPr="005B0B7E">
        <w:rPr>
          <w:rFonts w:cs="Arial"/>
          <w:sz w:val="18"/>
          <w:szCs w:val="18"/>
        </w:rPr>
        <w:t>20</w:t>
      </w:r>
      <w:r w:rsidRPr="005B0B7E">
        <w:rPr>
          <w:rFonts w:cs="Arial"/>
          <w:sz w:val="18"/>
          <w:szCs w:val="18"/>
          <w:lang w:val="ru-RU"/>
        </w:rPr>
        <w:t xml:space="preserve"> ● Периодика </w:t>
      </w:r>
      <w:r w:rsidR="00491ADF" w:rsidRPr="00E65899">
        <w:rPr>
          <w:rFonts w:cs="Arial"/>
          <w:sz w:val="18"/>
          <w:szCs w:val="18"/>
          <w:lang w:val="sr-Latn-RS"/>
        </w:rPr>
        <w:t>o</w:t>
      </w:r>
      <w:r w:rsidR="00491ADF" w:rsidRPr="00E65899">
        <w:rPr>
          <w:rFonts w:cs="Arial"/>
          <w:sz w:val="18"/>
          <w:szCs w:val="18"/>
        </w:rPr>
        <w:t>бјављивања</w:t>
      </w:r>
      <w:r w:rsidRPr="00E65899">
        <w:rPr>
          <w:rFonts w:cs="Arial"/>
          <w:sz w:val="18"/>
          <w:szCs w:val="18"/>
          <w:lang w:val="ru-RU"/>
        </w:rPr>
        <w:t xml:space="preserve">: </w:t>
      </w:r>
      <w:r w:rsidRPr="00E65899">
        <w:rPr>
          <w:rFonts w:cs="Arial"/>
          <w:sz w:val="18"/>
          <w:szCs w:val="18"/>
          <w:lang w:val="sr-Cyrl-CS"/>
        </w:rPr>
        <w:t>квартална</w:t>
      </w:r>
    </w:p>
    <w:sectPr w:rsidR="005B2627" w:rsidSect="0026130F">
      <w:footerReference w:type="even" r:id="rId14"/>
      <w:footerReference w:type="default" r:id="rId15"/>
      <w:footnotePr>
        <w:numRestart w:val="eachPage"/>
      </w:footnotePr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FA" w:rsidRDefault="007C31FA" w:rsidP="008F1FDB">
      <w:r>
        <w:separator/>
      </w:r>
    </w:p>
  </w:endnote>
  <w:endnote w:type="continuationSeparator" w:id="0">
    <w:p w:rsidR="007C31FA" w:rsidRDefault="007C31FA" w:rsidP="008F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F5" w:rsidRPr="00CE52BA" w:rsidRDefault="003D60F5" w:rsidP="006A1222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sr-Latn-RS"/>
      </w:rPr>
    </w:pPr>
    <w:r w:rsidRPr="00D44751">
      <w:rPr>
        <w:rFonts w:ascii="Arial" w:hAnsi="Arial" w:cs="Arial"/>
        <w:sz w:val="16"/>
        <w:szCs w:val="16"/>
      </w:rPr>
      <w:fldChar w:fldCharType="begin"/>
    </w:r>
    <w:r w:rsidRPr="00D44751">
      <w:rPr>
        <w:rFonts w:ascii="Arial" w:hAnsi="Arial" w:cs="Arial"/>
        <w:sz w:val="16"/>
        <w:szCs w:val="16"/>
      </w:rPr>
      <w:instrText xml:space="preserve"> PAGE   \* MERGEFORMAT </w:instrText>
    </w:r>
    <w:r w:rsidRPr="00D44751">
      <w:rPr>
        <w:rFonts w:ascii="Arial" w:hAnsi="Arial" w:cs="Arial"/>
        <w:sz w:val="16"/>
        <w:szCs w:val="16"/>
      </w:rPr>
      <w:fldChar w:fldCharType="separate"/>
    </w:r>
    <w:r w:rsidR="009D75D6">
      <w:rPr>
        <w:rFonts w:ascii="Arial" w:hAnsi="Arial" w:cs="Arial"/>
        <w:noProof/>
        <w:sz w:val="16"/>
        <w:szCs w:val="16"/>
      </w:rPr>
      <w:t>4</w:t>
    </w:r>
    <w:r w:rsidRPr="00D44751">
      <w:rPr>
        <w:rFonts w:ascii="Arial" w:hAnsi="Arial" w:cs="Arial"/>
        <w:noProof/>
        <w:sz w:val="16"/>
        <w:szCs w:val="16"/>
      </w:rPr>
      <w:fldChar w:fldCharType="end"/>
    </w:r>
    <w:r w:rsidRPr="00D44751">
      <w:rPr>
        <w:rFonts w:ascii="Arial" w:eastAsia="Times New Roman" w:hAnsi="Arial" w:cs="Arial"/>
        <w:sz w:val="16"/>
        <w:szCs w:val="16"/>
        <w:lang w:val="sr-Cyrl-CS"/>
      </w:rPr>
      <w:t xml:space="preserve"> </w:t>
    </w:r>
    <w:r w:rsidRPr="00D44751">
      <w:rPr>
        <w:rFonts w:ascii="Arial" w:eastAsia="Times New Roman" w:hAnsi="Arial" w:cs="Arial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16"/>
        <w:szCs w:val="16"/>
        <w:lang w:val="en-US"/>
      </w:rPr>
      <w:t xml:space="preserve">     </w:t>
    </w:r>
    <w:r w:rsidRPr="00835A07">
      <w:rPr>
        <w:rFonts w:ascii="Arial" w:eastAsia="Times New Roman" w:hAnsi="Arial" w:cs="Arial"/>
        <w:sz w:val="16"/>
        <w:szCs w:val="16"/>
        <w:lang w:val="sr-Cyrl-CS"/>
      </w:rPr>
      <w:t>СРБ</w:t>
    </w:r>
    <w:r w:rsidR="00785336">
      <w:rPr>
        <w:rFonts w:ascii="Arial" w:eastAsia="Times New Roman" w:hAnsi="Arial" w:cs="Arial"/>
        <w:sz w:val="16"/>
        <w:szCs w:val="16"/>
        <w:lang w:val="sr-Latn-RS"/>
      </w:rPr>
      <w:t>237</w:t>
    </w:r>
    <w:r w:rsidRPr="00835A07">
      <w:rPr>
        <w:rFonts w:ascii="Arial" w:eastAsia="Times New Roman" w:hAnsi="Arial" w:cs="Arial"/>
        <w:sz w:val="16"/>
        <w:szCs w:val="16"/>
        <w:lang w:val="sr-Cyrl-CS"/>
      </w:rPr>
      <w:t xml:space="preserve"> РС10 310820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F5" w:rsidRPr="00D44751" w:rsidRDefault="003D60F5" w:rsidP="006A1222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835A07">
      <w:rPr>
        <w:rFonts w:ascii="Arial" w:eastAsia="Times New Roman" w:hAnsi="Arial" w:cs="Arial"/>
        <w:sz w:val="16"/>
        <w:szCs w:val="16"/>
        <w:lang w:val="sr-Cyrl-CS"/>
      </w:rPr>
      <w:t>СРБ</w:t>
    </w:r>
    <w:r w:rsidR="00785336">
      <w:rPr>
        <w:rFonts w:ascii="Arial" w:eastAsia="Times New Roman" w:hAnsi="Arial" w:cs="Arial"/>
        <w:sz w:val="16"/>
        <w:szCs w:val="16"/>
        <w:lang w:val="sr-Latn-RS"/>
      </w:rPr>
      <w:t>237</w:t>
    </w:r>
    <w:r w:rsidRPr="00835A07">
      <w:rPr>
        <w:rFonts w:ascii="Arial" w:eastAsia="Times New Roman" w:hAnsi="Arial" w:cs="Arial"/>
        <w:sz w:val="16"/>
        <w:szCs w:val="16"/>
        <w:lang w:val="sr-Cyrl-CS"/>
      </w:rPr>
      <w:t xml:space="preserve"> РС10 310820</w:t>
    </w:r>
    <w:r w:rsidRPr="00D44751">
      <w:rPr>
        <w:rFonts w:ascii="Arial" w:eastAsia="Times New Roman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16"/>
        <w:szCs w:val="16"/>
        <w:lang w:val="sr-Latn-RS"/>
      </w:rPr>
      <w:t xml:space="preserve">    </w:t>
    </w:r>
    <w:r w:rsidRPr="00D44751">
      <w:rPr>
        <w:rFonts w:ascii="Arial" w:eastAsia="Times New Roman" w:hAnsi="Arial" w:cs="Arial"/>
        <w:sz w:val="16"/>
        <w:szCs w:val="16"/>
      </w:rPr>
      <w:t xml:space="preserve">           </w:t>
    </w:r>
    <w:r w:rsidRPr="00D44751">
      <w:rPr>
        <w:rFonts w:ascii="Arial" w:hAnsi="Arial" w:cs="Arial"/>
        <w:sz w:val="16"/>
        <w:szCs w:val="16"/>
      </w:rPr>
      <w:fldChar w:fldCharType="begin"/>
    </w:r>
    <w:r w:rsidRPr="00D44751">
      <w:rPr>
        <w:rFonts w:ascii="Arial" w:hAnsi="Arial" w:cs="Arial"/>
        <w:sz w:val="16"/>
        <w:szCs w:val="16"/>
      </w:rPr>
      <w:instrText xml:space="preserve"> PAGE   \* MERGEFORMAT </w:instrText>
    </w:r>
    <w:r w:rsidRPr="00D44751">
      <w:rPr>
        <w:rFonts w:ascii="Arial" w:hAnsi="Arial" w:cs="Arial"/>
        <w:sz w:val="16"/>
        <w:szCs w:val="16"/>
      </w:rPr>
      <w:fldChar w:fldCharType="separate"/>
    </w:r>
    <w:r w:rsidR="009D75D6">
      <w:rPr>
        <w:rFonts w:ascii="Arial" w:hAnsi="Arial" w:cs="Arial"/>
        <w:noProof/>
        <w:sz w:val="16"/>
        <w:szCs w:val="16"/>
      </w:rPr>
      <w:t>5</w:t>
    </w:r>
    <w:r w:rsidRPr="00D4475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FA" w:rsidRDefault="007C31FA" w:rsidP="008F1FDB">
      <w:r>
        <w:separator/>
      </w:r>
    </w:p>
  </w:footnote>
  <w:footnote w:type="continuationSeparator" w:id="0">
    <w:p w:rsidR="007C31FA" w:rsidRDefault="007C31FA" w:rsidP="008F1FDB">
      <w:r>
        <w:continuationSeparator/>
      </w:r>
    </w:p>
  </w:footnote>
  <w:footnote w:id="1">
    <w:p w:rsidR="007068D1" w:rsidRPr="00AE6EED" w:rsidRDefault="007068D1" w:rsidP="00785336">
      <w:pPr>
        <w:pStyle w:val="FootnoteText"/>
        <w:spacing w:after="120"/>
        <w:ind w:left="142" w:hanging="142"/>
        <w:rPr>
          <w:rFonts w:ascii="Arial" w:hAnsi="Arial" w:cs="Arial"/>
          <w:sz w:val="16"/>
          <w:szCs w:val="16"/>
          <w:lang w:val="en-US"/>
        </w:rPr>
      </w:pPr>
      <w:r w:rsidRPr="00AE6EED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</w:rPr>
        <w:t>Делатност пољопривреде обухвата ц</w:t>
      </w:r>
      <w:r w:rsidRPr="00AE6EED">
        <w:rPr>
          <w:rFonts w:ascii="Arial" w:hAnsi="Arial" w:cs="Arial"/>
          <w:sz w:val="16"/>
          <w:szCs w:val="16"/>
        </w:rPr>
        <w:t>ео сектор делатности Пољопривреда, шумарство и рибарство</w:t>
      </w:r>
      <w:r w:rsidR="00FB13E4">
        <w:rPr>
          <w:rFonts w:ascii="Arial" w:hAnsi="Arial" w:cs="Arial"/>
          <w:sz w:val="16"/>
          <w:szCs w:val="16"/>
        </w:rPr>
        <w:t>,</w:t>
      </w:r>
      <w:r w:rsidRPr="00AE6E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као </w:t>
      </w:r>
      <w:r w:rsidRPr="00AE6EED">
        <w:rPr>
          <w:rFonts w:ascii="Arial" w:hAnsi="Arial" w:cs="Arial"/>
          <w:sz w:val="16"/>
          <w:szCs w:val="16"/>
        </w:rPr>
        <w:t>и део сектора Делатност домаћинст</w:t>
      </w:r>
      <w:r>
        <w:rPr>
          <w:rFonts w:ascii="Arial" w:hAnsi="Arial" w:cs="Arial"/>
          <w:sz w:val="16"/>
          <w:szCs w:val="16"/>
        </w:rPr>
        <w:t>а</w:t>
      </w:r>
      <w:r w:rsidRPr="00AE6EED">
        <w:rPr>
          <w:rFonts w:ascii="Arial" w:hAnsi="Arial" w:cs="Arial"/>
          <w:sz w:val="16"/>
          <w:szCs w:val="16"/>
        </w:rPr>
        <w:t>ва</w:t>
      </w:r>
      <w:r>
        <w:rPr>
          <w:rFonts w:ascii="Arial" w:hAnsi="Arial" w:cs="Arial"/>
          <w:sz w:val="16"/>
          <w:szCs w:val="16"/>
        </w:rPr>
        <w:t xml:space="preserve"> као послодавца који се односи на послове у пољопривреди</w:t>
      </w:r>
      <w:r w:rsidRPr="00AE6EED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269"/>
    <w:multiLevelType w:val="hybridMultilevel"/>
    <w:tmpl w:val="302A30AE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6793"/>
    <w:multiLevelType w:val="hybridMultilevel"/>
    <w:tmpl w:val="B088FFE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F223D8A"/>
    <w:multiLevelType w:val="hybridMultilevel"/>
    <w:tmpl w:val="1FEA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38CE"/>
    <w:multiLevelType w:val="hybridMultilevel"/>
    <w:tmpl w:val="58E84AC0"/>
    <w:lvl w:ilvl="0" w:tplc="2A7655D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48707D"/>
    <w:multiLevelType w:val="hybridMultilevel"/>
    <w:tmpl w:val="3502D5DA"/>
    <w:lvl w:ilvl="0" w:tplc="04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626CBD"/>
    <w:multiLevelType w:val="hybridMultilevel"/>
    <w:tmpl w:val="85047E42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03B1"/>
    <w:multiLevelType w:val="hybridMultilevel"/>
    <w:tmpl w:val="72189026"/>
    <w:lvl w:ilvl="0" w:tplc="975055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882484"/>
    <w:multiLevelType w:val="hybridMultilevel"/>
    <w:tmpl w:val="4A0E49A6"/>
    <w:lvl w:ilvl="0" w:tplc="E390CF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B0DB9"/>
    <w:multiLevelType w:val="multilevel"/>
    <w:tmpl w:val="14D6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4301EA"/>
    <w:multiLevelType w:val="hybridMultilevel"/>
    <w:tmpl w:val="8048BD94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C2EA2"/>
    <w:multiLevelType w:val="hybridMultilevel"/>
    <w:tmpl w:val="B570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72694C"/>
    <w:multiLevelType w:val="hybridMultilevel"/>
    <w:tmpl w:val="FD10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667B3"/>
    <w:multiLevelType w:val="hybridMultilevel"/>
    <w:tmpl w:val="418C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F49AA"/>
    <w:multiLevelType w:val="hybridMultilevel"/>
    <w:tmpl w:val="D07CD6A4"/>
    <w:lvl w:ilvl="0" w:tplc="E620E0AC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598C14ED"/>
    <w:multiLevelType w:val="hybridMultilevel"/>
    <w:tmpl w:val="FE68AA2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07F59"/>
    <w:multiLevelType w:val="hybridMultilevel"/>
    <w:tmpl w:val="5C2C88DA"/>
    <w:lvl w:ilvl="0" w:tplc="23921F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D00CC"/>
    <w:multiLevelType w:val="hybridMultilevel"/>
    <w:tmpl w:val="813A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33332"/>
    <w:multiLevelType w:val="hybridMultilevel"/>
    <w:tmpl w:val="6262D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51D3A"/>
    <w:multiLevelType w:val="hybridMultilevel"/>
    <w:tmpl w:val="84D8F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18A0"/>
    <w:multiLevelType w:val="hybridMultilevel"/>
    <w:tmpl w:val="BF909BE8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06EB1"/>
    <w:multiLevelType w:val="multilevel"/>
    <w:tmpl w:val="7CE60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0250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CD0FDA"/>
    <w:multiLevelType w:val="hybridMultilevel"/>
    <w:tmpl w:val="98B85448"/>
    <w:lvl w:ilvl="0" w:tplc="CD861C7C">
      <w:start w:val="15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7D8E0550"/>
    <w:multiLevelType w:val="hybridMultilevel"/>
    <w:tmpl w:val="05108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19"/>
  </w:num>
  <w:num w:numId="7">
    <w:abstractNumId w:val="0"/>
  </w:num>
  <w:num w:numId="8">
    <w:abstractNumId w:val="7"/>
  </w:num>
  <w:num w:numId="9">
    <w:abstractNumId w:val="1"/>
  </w:num>
  <w:num w:numId="10">
    <w:abstractNumId w:val="16"/>
  </w:num>
  <w:num w:numId="11">
    <w:abstractNumId w:val="13"/>
  </w:num>
  <w:num w:numId="12">
    <w:abstractNumId w:val="4"/>
  </w:num>
  <w:num w:numId="13">
    <w:abstractNumId w:val="17"/>
  </w:num>
  <w:num w:numId="14">
    <w:abstractNumId w:val="3"/>
  </w:num>
  <w:num w:numId="15">
    <w:abstractNumId w:val="21"/>
  </w:num>
  <w:num w:numId="16">
    <w:abstractNumId w:val="8"/>
  </w:num>
  <w:num w:numId="17">
    <w:abstractNumId w:val="22"/>
  </w:num>
  <w:num w:numId="18">
    <w:abstractNumId w:val="11"/>
  </w:num>
  <w:num w:numId="19">
    <w:abstractNumId w:val="6"/>
  </w:num>
  <w:num w:numId="20">
    <w:abstractNumId w:val="9"/>
  </w:num>
  <w:num w:numId="21">
    <w:abstractNumId w:val="15"/>
  </w:num>
  <w:num w:numId="22">
    <w:abstractNumId w:val="23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DB"/>
    <w:rsid w:val="00000D4D"/>
    <w:rsid w:val="00001791"/>
    <w:rsid w:val="00003304"/>
    <w:rsid w:val="000064ED"/>
    <w:rsid w:val="00006538"/>
    <w:rsid w:val="00013093"/>
    <w:rsid w:val="000134A5"/>
    <w:rsid w:val="00013A46"/>
    <w:rsid w:val="00013C01"/>
    <w:rsid w:val="000174DA"/>
    <w:rsid w:val="000214B0"/>
    <w:rsid w:val="000248CC"/>
    <w:rsid w:val="00031001"/>
    <w:rsid w:val="00032EC9"/>
    <w:rsid w:val="00032F71"/>
    <w:rsid w:val="000348CE"/>
    <w:rsid w:val="00042AE5"/>
    <w:rsid w:val="00046DB9"/>
    <w:rsid w:val="0005385B"/>
    <w:rsid w:val="000610C4"/>
    <w:rsid w:val="00064A4E"/>
    <w:rsid w:val="00070DA0"/>
    <w:rsid w:val="00073FC0"/>
    <w:rsid w:val="0007553C"/>
    <w:rsid w:val="00077B4E"/>
    <w:rsid w:val="00081C1C"/>
    <w:rsid w:val="00082043"/>
    <w:rsid w:val="000877CF"/>
    <w:rsid w:val="000A395C"/>
    <w:rsid w:val="000B616D"/>
    <w:rsid w:val="000B64AD"/>
    <w:rsid w:val="000B7AA7"/>
    <w:rsid w:val="000C0665"/>
    <w:rsid w:val="000C43A8"/>
    <w:rsid w:val="000C68B5"/>
    <w:rsid w:val="000C6D73"/>
    <w:rsid w:val="000D0849"/>
    <w:rsid w:val="000D0A4F"/>
    <w:rsid w:val="000D2F0B"/>
    <w:rsid w:val="000D69BB"/>
    <w:rsid w:val="000E1310"/>
    <w:rsid w:val="000E3467"/>
    <w:rsid w:val="000E70B3"/>
    <w:rsid w:val="000E7DEA"/>
    <w:rsid w:val="000F0BB5"/>
    <w:rsid w:val="000F2A19"/>
    <w:rsid w:val="000F44C5"/>
    <w:rsid w:val="000F4A7D"/>
    <w:rsid w:val="000F5FCB"/>
    <w:rsid w:val="00100800"/>
    <w:rsid w:val="00103A54"/>
    <w:rsid w:val="00104167"/>
    <w:rsid w:val="00106751"/>
    <w:rsid w:val="00111210"/>
    <w:rsid w:val="00111E56"/>
    <w:rsid w:val="0011255D"/>
    <w:rsid w:val="0011686A"/>
    <w:rsid w:val="001179C3"/>
    <w:rsid w:val="00117C9A"/>
    <w:rsid w:val="0012273C"/>
    <w:rsid w:val="00123C38"/>
    <w:rsid w:val="001253B8"/>
    <w:rsid w:val="00125628"/>
    <w:rsid w:val="00134023"/>
    <w:rsid w:val="001364DC"/>
    <w:rsid w:val="0015173D"/>
    <w:rsid w:val="0015450F"/>
    <w:rsid w:val="0016261A"/>
    <w:rsid w:val="0016284E"/>
    <w:rsid w:val="00163EB9"/>
    <w:rsid w:val="001643B8"/>
    <w:rsid w:val="001659C0"/>
    <w:rsid w:val="00166C76"/>
    <w:rsid w:val="00171679"/>
    <w:rsid w:val="00171D40"/>
    <w:rsid w:val="0018164B"/>
    <w:rsid w:val="00184AFD"/>
    <w:rsid w:val="00184E37"/>
    <w:rsid w:val="00191F14"/>
    <w:rsid w:val="00192F2C"/>
    <w:rsid w:val="00192FD0"/>
    <w:rsid w:val="00194DED"/>
    <w:rsid w:val="00196487"/>
    <w:rsid w:val="00197AD0"/>
    <w:rsid w:val="001A0E32"/>
    <w:rsid w:val="001A6220"/>
    <w:rsid w:val="001A7287"/>
    <w:rsid w:val="001B1F52"/>
    <w:rsid w:val="001B7027"/>
    <w:rsid w:val="001B7E7E"/>
    <w:rsid w:val="001C2F8C"/>
    <w:rsid w:val="001C3FAC"/>
    <w:rsid w:val="001C779A"/>
    <w:rsid w:val="001D0243"/>
    <w:rsid w:val="001D07E4"/>
    <w:rsid w:val="001D2996"/>
    <w:rsid w:val="001D3306"/>
    <w:rsid w:val="001D5285"/>
    <w:rsid w:val="001D7F2A"/>
    <w:rsid w:val="001E3B83"/>
    <w:rsid w:val="001E58B0"/>
    <w:rsid w:val="001E6570"/>
    <w:rsid w:val="001F19B7"/>
    <w:rsid w:val="001F1E91"/>
    <w:rsid w:val="001F70E2"/>
    <w:rsid w:val="00200B7E"/>
    <w:rsid w:val="00201E73"/>
    <w:rsid w:val="002066DD"/>
    <w:rsid w:val="00206AB7"/>
    <w:rsid w:val="00207C89"/>
    <w:rsid w:val="00210C1C"/>
    <w:rsid w:val="0021176C"/>
    <w:rsid w:val="00213FB0"/>
    <w:rsid w:val="00214895"/>
    <w:rsid w:val="00215A01"/>
    <w:rsid w:val="00216DCB"/>
    <w:rsid w:val="00220AE6"/>
    <w:rsid w:val="00224A30"/>
    <w:rsid w:val="00225892"/>
    <w:rsid w:val="00227336"/>
    <w:rsid w:val="00231AE6"/>
    <w:rsid w:val="002338AB"/>
    <w:rsid w:val="00233B06"/>
    <w:rsid w:val="00237DA4"/>
    <w:rsid w:val="002434AD"/>
    <w:rsid w:val="00246632"/>
    <w:rsid w:val="002518BC"/>
    <w:rsid w:val="0025387D"/>
    <w:rsid w:val="00253BD6"/>
    <w:rsid w:val="00257A5E"/>
    <w:rsid w:val="0026130F"/>
    <w:rsid w:val="00262188"/>
    <w:rsid w:val="0027032F"/>
    <w:rsid w:val="00271191"/>
    <w:rsid w:val="00276727"/>
    <w:rsid w:val="002858BC"/>
    <w:rsid w:val="00285FA9"/>
    <w:rsid w:val="00292A51"/>
    <w:rsid w:val="00295A34"/>
    <w:rsid w:val="00297362"/>
    <w:rsid w:val="002A439E"/>
    <w:rsid w:val="002A5206"/>
    <w:rsid w:val="002A60ED"/>
    <w:rsid w:val="002A7D31"/>
    <w:rsid w:val="002A7F09"/>
    <w:rsid w:val="002B0708"/>
    <w:rsid w:val="002B29CD"/>
    <w:rsid w:val="002B47D1"/>
    <w:rsid w:val="002B59D2"/>
    <w:rsid w:val="002B6AEA"/>
    <w:rsid w:val="002C1356"/>
    <w:rsid w:val="002C347D"/>
    <w:rsid w:val="002C678D"/>
    <w:rsid w:val="002E1F9F"/>
    <w:rsid w:val="002E5232"/>
    <w:rsid w:val="002E68C6"/>
    <w:rsid w:val="002F2858"/>
    <w:rsid w:val="002F747D"/>
    <w:rsid w:val="002F7531"/>
    <w:rsid w:val="00300C72"/>
    <w:rsid w:val="0030252E"/>
    <w:rsid w:val="00302627"/>
    <w:rsid w:val="003033D5"/>
    <w:rsid w:val="003079E6"/>
    <w:rsid w:val="003138BC"/>
    <w:rsid w:val="0032019D"/>
    <w:rsid w:val="00320EC2"/>
    <w:rsid w:val="00321D49"/>
    <w:rsid w:val="0033132D"/>
    <w:rsid w:val="00331A8B"/>
    <w:rsid w:val="00334777"/>
    <w:rsid w:val="0033607C"/>
    <w:rsid w:val="00341C8E"/>
    <w:rsid w:val="00342FEB"/>
    <w:rsid w:val="0034329F"/>
    <w:rsid w:val="00343625"/>
    <w:rsid w:val="00343E1D"/>
    <w:rsid w:val="003449E6"/>
    <w:rsid w:val="003615FC"/>
    <w:rsid w:val="003648F3"/>
    <w:rsid w:val="0036735D"/>
    <w:rsid w:val="00370D66"/>
    <w:rsid w:val="0037110E"/>
    <w:rsid w:val="0037158A"/>
    <w:rsid w:val="003869B6"/>
    <w:rsid w:val="00386B7E"/>
    <w:rsid w:val="00392BF0"/>
    <w:rsid w:val="003945FC"/>
    <w:rsid w:val="003A313D"/>
    <w:rsid w:val="003A4DEB"/>
    <w:rsid w:val="003A5ABF"/>
    <w:rsid w:val="003B0241"/>
    <w:rsid w:val="003B09F0"/>
    <w:rsid w:val="003B43F8"/>
    <w:rsid w:val="003C2CE7"/>
    <w:rsid w:val="003C784C"/>
    <w:rsid w:val="003C7D71"/>
    <w:rsid w:val="003D4474"/>
    <w:rsid w:val="003D4780"/>
    <w:rsid w:val="003D4E41"/>
    <w:rsid w:val="003D60F5"/>
    <w:rsid w:val="003E6A11"/>
    <w:rsid w:val="003E7EAF"/>
    <w:rsid w:val="003F5461"/>
    <w:rsid w:val="0040126F"/>
    <w:rsid w:val="004064EE"/>
    <w:rsid w:val="00407AEC"/>
    <w:rsid w:val="00411F96"/>
    <w:rsid w:val="00412661"/>
    <w:rsid w:val="00415AE4"/>
    <w:rsid w:val="0041775D"/>
    <w:rsid w:val="004231FB"/>
    <w:rsid w:val="00424D5F"/>
    <w:rsid w:val="004250EB"/>
    <w:rsid w:val="0042610E"/>
    <w:rsid w:val="004273BF"/>
    <w:rsid w:val="00440D47"/>
    <w:rsid w:val="004442E2"/>
    <w:rsid w:val="004446C4"/>
    <w:rsid w:val="00444F0C"/>
    <w:rsid w:val="00446D50"/>
    <w:rsid w:val="004472EE"/>
    <w:rsid w:val="00451145"/>
    <w:rsid w:val="00452373"/>
    <w:rsid w:val="00453375"/>
    <w:rsid w:val="004568F6"/>
    <w:rsid w:val="00460D42"/>
    <w:rsid w:val="00464CA8"/>
    <w:rsid w:val="00465EBF"/>
    <w:rsid w:val="00466052"/>
    <w:rsid w:val="00470D41"/>
    <w:rsid w:val="00476274"/>
    <w:rsid w:val="0048332B"/>
    <w:rsid w:val="0049005B"/>
    <w:rsid w:val="00491ADF"/>
    <w:rsid w:val="00492621"/>
    <w:rsid w:val="004929A6"/>
    <w:rsid w:val="004961EE"/>
    <w:rsid w:val="004962E6"/>
    <w:rsid w:val="00497D1D"/>
    <w:rsid w:val="004A2B81"/>
    <w:rsid w:val="004A3E47"/>
    <w:rsid w:val="004A5F7F"/>
    <w:rsid w:val="004A618C"/>
    <w:rsid w:val="004A6366"/>
    <w:rsid w:val="004A7D00"/>
    <w:rsid w:val="004B56AA"/>
    <w:rsid w:val="004B695C"/>
    <w:rsid w:val="004B6A5F"/>
    <w:rsid w:val="004C3328"/>
    <w:rsid w:val="004C40C6"/>
    <w:rsid w:val="004D2D3D"/>
    <w:rsid w:val="004D421C"/>
    <w:rsid w:val="004D5448"/>
    <w:rsid w:val="004E169F"/>
    <w:rsid w:val="004E18E4"/>
    <w:rsid w:val="004E5A57"/>
    <w:rsid w:val="004F268A"/>
    <w:rsid w:val="004F4218"/>
    <w:rsid w:val="004F78CB"/>
    <w:rsid w:val="005054C1"/>
    <w:rsid w:val="00507ADA"/>
    <w:rsid w:val="00517932"/>
    <w:rsid w:val="00523F0F"/>
    <w:rsid w:val="00523F27"/>
    <w:rsid w:val="00524C36"/>
    <w:rsid w:val="00526427"/>
    <w:rsid w:val="00531769"/>
    <w:rsid w:val="00535469"/>
    <w:rsid w:val="005417F2"/>
    <w:rsid w:val="00544A63"/>
    <w:rsid w:val="00545769"/>
    <w:rsid w:val="00545B7A"/>
    <w:rsid w:val="00550A3C"/>
    <w:rsid w:val="00551228"/>
    <w:rsid w:val="005545D0"/>
    <w:rsid w:val="005560E3"/>
    <w:rsid w:val="005600AD"/>
    <w:rsid w:val="005602B7"/>
    <w:rsid w:val="005603EE"/>
    <w:rsid w:val="0056413D"/>
    <w:rsid w:val="00565286"/>
    <w:rsid w:val="00574C06"/>
    <w:rsid w:val="005763E6"/>
    <w:rsid w:val="00576503"/>
    <w:rsid w:val="00590895"/>
    <w:rsid w:val="0059160F"/>
    <w:rsid w:val="00597728"/>
    <w:rsid w:val="005A28E0"/>
    <w:rsid w:val="005A4E41"/>
    <w:rsid w:val="005A63F6"/>
    <w:rsid w:val="005A7715"/>
    <w:rsid w:val="005B21A1"/>
    <w:rsid w:val="005B2627"/>
    <w:rsid w:val="005B518B"/>
    <w:rsid w:val="005C669D"/>
    <w:rsid w:val="005D3F8D"/>
    <w:rsid w:val="005D5B38"/>
    <w:rsid w:val="005E0B45"/>
    <w:rsid w:val="005E123E"/>
    <w:rsid w:val="005E32FA"/>
    <w:rsid w:val="005E3666"/>
    <w:rsid w:val="005E65AF"/>
    <w:rsid w:val="005F2049"/>
    <w:rsid w:val="005F416C"/>
    <w:rsid w:val="005F5824"/>
    <w:rsid w:val="006017F6"/>
    <w:rsid w:val="006027A3"/>
    <w:rsid w:val="00602BC5"/>
    <w:rsid w:val="00605676"/>
    <w:rsid w:val="00613136"/>
    <w:rsid w:val="006148C7"/>
    <w:rsid w:val="006152CC"/>
    <w:rsid w:val="00617BC0"/>
    <w:rsid w:val="00617DC4"/>
    <w:rsid w:val="00624E41"/>
    <w:rsid w:val="00625934"/>
    <w:rsid w:val="006264D2"/>
    <w:rsid w:val="00630B46"/>
    <w:rsid w:val="0063698D"/>
    <w:rsid w:val="0064106B"/>
    <w:rsid w:val="00643B79"/>
    <w:rsid w:val="006445F1"/>
    <w:rsid w:val="00645FD9"/>
    <w:rsid w:val="00650EE1"/>
    <w:rsid w:val="006611AE"/>
    <w:rsid w:val="006614BE"/>
    <w:rsid w:val="00663D9A"/>
    <w:rsid w:val="00667CA0"/>
    <w:rsid w:val="00670DFD"/>
    <w:rsid w:val="00673042"/>
    <w:rsid w:val="0067653E"/>
    <w:rsid w:val="00690013"/>
    <w:rsid w:val="0069084E"/>
    <w:rsid w:val="00690AC8"/>
    <w:rsid w:val="0069569B"/>
    <w:rsid w:val="006A1222"/>
    <w:rsid w:val="006A1D5D"/>
    <w:rsid w:val="006A1EDD"/>
    <w:rsid w:val="006A5688"/>
    <w:rsid w:val="006A79E8"/>
    <w:rsid w:val="006B5AE8"/>
    <w:rsid w:val="006C0364"/>
    <w:rsid w:val="006C18AF"/>
    <w:rsid w:val="006C1A9E"/>
    <w:rsid w:val="006C2387"/>
    <w:rsid w:val="006C48D7"/>
    <w:rsid w:val="006C5890"/>
    <w:rsid w:val="006C6FF6"/>
    <w:rsid w:val="006D0ED9"/>
    <w:rsid w:val="006D56D7"/>
    <w:rsid w:val="006D58CE"/>
    <w:rsid w:val="006D6A5F"/>
    <w:rsid w:val="006D7E24"/>
    <w:rsid w:val="006E7C82"/>
    <w:rsid w:val="006F0BB2"/>
    <w:rsid w:val="006F2FE1"/>
    <w:rsid w:val="006F3615"/>
    <w:rsid w:val="006F4F88"/>
    <w:rsid w:val="006F51F9"/>
    <w:rsid w:val="007006FD"/>
    <w:rsid w:val="00700DB6"/>
    <w:rsid w:val="007068D1"/>
    <w:rsid w:val="00716137"/>
    <w:rsid w:val="007177E5"/>
    <w:rsid w:val="00720461"/>
    <w:rsid w:val="007214D9"/>
    <w:rsid w:val="00725519"/>
    <w:rsid w:val="00725DD1"/>
    <w:rsid w:val="0072681B"/>
    <w:rsid w:val="007302CD"/>
    <w:rsid w:val="007421F5"/>
    <w:rsid w:val="007435D3"/>
    <w:rsid w:val="007568FD"/>
    <w:rsid w:val="00761586"/>
    <w:rsid w:val="0076158F"/>
    <w:rsid w:val="00764103"/>
    <w:rsid w:val="0076602F"/>
    <w:rsid w:val="00766691"/>
    <w:rsid w:val="007729A7"/>
    <w:rsid w:val="00773E52"/>
    <w:rsid w:val="00773FDA"/>
    <w:rsid w:val="00776816"/>
    <w:rsid w:val="0078202D"/>
    <w:rsid w:val="0078275A"/>
    <w:rsid w:val="00784EC1"/>
    <w:rsid w:val="00785336"/>
    <w:rsid w:val="007932DB"/>
    <w:rsid w:val="00794CC4"/>
    <w:rsid w:val="007969ED"/>
    <w:rsid w:val="007972AA"/>
    <w:rsid w:val="007973C9"/>
    <w:rsid w:val="00797D44"/>
    <w:rsid w:val="007A2C8F"/>
    <w:rsid w:val="007A3721"/>
    <w:rsid w:val="007A5DF8"/>
    <w:rsid w:val="007A710F"/>
    <w:rsid w:val="007A7B1D"/>
    <w:rsid w:val="007B2BA2"/>
    <w:rsid w:val="007B3ED3"/>
    <w:rsid w:val="007B6F16"/>
    <w:rsid w:val="007C14C7"/>
    <w:rsid w:val="007C233B"/>
    <w:rsid w:val="007C31FA"/>
    <w:rsid w:val="007C7E7F"/>
    <w:rsid w:val="007D4316"/>
    <w:rsid w:val="007E2FC1"/>
    <w:rsid w:val="007E3B97"/>
    <w:rsid w:val="007E3E45"/>
    <w:rsid w:val="007E5B44"/>
    <w:rsid w:val="007F2030"/>
    <w:rsid w:val="007F2FA8"/>
    <w:rsid w:val="007F4AFF"/>
    <w:rsid w:val="007F58F3"/>
    <w:rsid w:val="007F724F"/>
    <w:rsid w:val="00800EE1"/>
    <w:rsid w:val="00801672"/>
    <w:rsid w:val="00801E82"/>
    <w:rsid w:val="008052A1"/>
    <w:rsid w:val="00814F67"/>
    <w:rsid w:val="00820162"/>
    <w:rsid w:val="008220FF"/>
    <w:rsid w:val="00823530"/>
    <w:rsid w:val="0082493D"/>
    <w:rsid w:val="00825AC4"/>
    <w:rsid w:val="00835A07"/>
    <w:rsid w:val="00837FE1"/>
    <w:rsid w:val="00841AB1"/>
    <w:rsid w:val="00850CA7"/>
    <w:rsid w:val="008533DE"/>
    <w:rsid w:val="00853C3B"/>
    <w:rsid w:val="008562FE"/>
    <w:rsid w:val="0085728F"/>
    <w:rsid w:val="00864F8D"/>
    <w:rsid w:val="0086505B"/>
    <w:rsid w:val="00866D95"/>
    <w:rsid w:val="008674DE"/>
    <w:rsid w:val="008710F9"/>
    <w:rsid w:val="008760A0"/>
    <w:rsid w:val="00876E91"/>
    <w:rsid w:val="00877245"/>
    <w:rsid w:val="00880BF1"/>
    <w:rsid w:val="00882574"/>
    <w:rsid w:val="00882BB3"/>
    <w:rsid w:val="008966F6"/>
    <w:rsid w:val="008A20A1"/>
    <w:rsid w:val="008A6A1E"/>
    <w:rsid w:val="008B1065"/>
    <w:rsid w:val="008B34C6"/>
    <w:rsid w:val="008B4880"/>
    <w:rsid w:val="008C4403"/>
    <w:rsid w:val="008C52BC"/>
    <w:rsid w:val="008C52F9"/>
    <w:rsid w:val="008C7060"/>
    <w:rsid w:val="008C76A0"/>
    <w:rsid w:val="008D32B3"/>
    <w:rsid w:val="008D4E8C"/>
    <w:rsid w:val="008E20A0"/>
    <w:rsid w:val="008E4A94"/>
    <w:rsid w:val="008E4B3B"/>
    <w:rsid w:val="008E6347"/>
    <w:rsid w:val="008E72AB"/>
    <w:rsid w:val="008F1FDB"/>
    <w:rsid w:val="008F3EB1"/>
    <w:rsid w:val="009034D6"/>
    <w:rsid w:val="00903C4C"/>
    <w:rsid w:val="00920AD1"/>
    <w:rsid w:val="009246B8"/>
    <w:rsid w:val="009267FC"/>
    <w:rsid w:val="00931E26"/>
    <w:rsid w:val="00942052"/>
    <w:rsid w:val="009504EB"/>
    <w:rsid w:val="00953DCE"/>
    <w:rsid w:val="00956719"/>
    <w:rsid w:val="00961FFC"/>
    <w:rsid w:val="0098427F"/>
    <w:rsid w:val="009927E5"/>
    <w:rsid w:val="00993098"/>
    <w:rsid w:val="009A6FF7"/>
    <w:rsid w:val="009B1EAA"/>
    <w:rsid w:val="009B2E5F"/>
    <w:rsid w:val="009B5E92"/>
    <w:rsid w:val="009B5F52"/>
    <w:rsid w:val="009B6CB3"/>
    <w:rsid w:val="009B7E85"/>
    <w:rsid w:val="009C261D"/>
    <w:rsid w:val="009C6873"/>
    <w:rsid w:val="009D13A2"/>
    <w:rsid w:val="009D287F"/>
    <w:rsid w:val="009D407B"/>
    <w:rsid w:val="009D68CF"/>
    <w:rsid w:val="009D75D6"/>
    <w:rsid w:val="009E1C86"/>
    <w:rsid w:val="009E438B"/>
    <w:rsid w:val="009F23FE"/>
    <w:rsid w:val="00A00022"/>
    <w:rsid w:val="00A01539"/>
    <w:rsid w:val="00A0228F"/>
    <w:rsid w:val="00A10D42"/>
    <w:rsid w:val="00A13E7A"/>
    <w:rsid w:val="00A160B5"/>
    <w:rsid w:val="00A16667"/>
    <w:rsid w:val="00A16D9B"/>
    <w:rsid w:val="00A17D42"/>
    <w:rsid w:val="00A20621"/>
    <w:rsid w:val="00A24AB1"/>
    <w:rsid w:val="00A25999"/>
    <w:rsid w:val="00A36D32"/>
    <w:rsid w:val="00A41291"/>
    <w:rsid w:val="00A4199C"/>
    <w:rsid w:val="00A43C53"/>
    <w:rsid w:val="00A443BE"/>
    <w:rsid w:val="00A4652F"/>
    <w:rsid w:val="00A46DC8"/>
    <w:rsid w:val="00A51001"/>
    <w:rsid w:val="00A51522"/>
    <w:rsid w:val="00A5363E"/>
    <w:rsid w:val="00A575CF"/>
    <w:rsid w:val="00A66CC8"/>
    <w:rsid w:val="00A70C18"/>
    <w:rsid w:val="00A70CC0"/>
    <w:rsid w:val="00A72242"/>
    <w:rsid w:val="00A768FF"/>
    <w:rsid w:val="00A81C30"/>
    <w:rsid w:val="00A825E6"/>
    <w:rsid w:val="00A838BF"/>
    <w:rsid w:val="00A877D9"/>
    <w:rsid w:val="00A904E2"/>
    <w:rsid w:val="00A904EF"/>
    <w:rsid w:val="00AA0046"/>
    <w:rsid w:val="00AA07BD"/>
    <w:rsid w:val="00AA26F0"/>
    <w:rsid w:val="00AA43BE"/>
    <w:rsid w:val="00AA774F"/>
    <w:rsid w:val="00AB10D1"/>
    <w:rsid w:val="00AB3937"/>
    <w:rsid w:val="00AB48C6"/>
    <w:rsid w:val="00AB7A3B"/>
    <w:rsid w:val="00AB7ABF"/>
    <w:rsid w:val="00AC1614"/>
    <w:rsid w:val="00AC22D0"/>
    <w:rsid w:val="00AC7CAC"/>
    <w:rsid w:val="00AE00D6"/>
    <w:rsid w:val="00AE19AF"/>
    <w:rsid w:val="00AE2B74"/>
    <w:rsid w:val="00AE548A"/>
    <w:rsid w:val="00AE6EED"/>
    <w:rsid w:val="00AF2A9C"/>
    <w:rsid w:val="00AF5369"/>
    <w:rsid w:val="00B05442"/>
    <w:rsid w:val="00B05AB2"/>
    <w:rsid w:val="00B072CD"/>
    <w:rsid w:val="00B101AD"/>
    <w:rsid w:val="00B114ED"/>
    <w:rsid w:val="00B1239D"/>
    <w:rsid w:val="00B15B41"/>
    <w:rsid w:val="00B17717"/>
    <w:rsid w:val="00B21187"/>
    <w:rsid w:val="00B24674"/>
    <w:rsid w:val="00B25BCF"/>
    <w:rsid w:val="00B3228A"/>
    <w:rsid w:val="00B336CD"/>
    <w:rsid w:val="00B3722D"/>
    <w:rsid w:val="00B37B8A"/>
    <w:rsid w:val="00B4157B"/>
    <w:rsid w:val="00B4322E"/>
    <w:rsid w:val="00B43810"/>
    <w:rsid w:val="00B4618D"/>
    <w:rsid w:val="00B53C3E"/>
    <w:rsid w:val="00B547F5"/>
    <w:rsid w:val="00B600DB"/>
    <w:rsid w:val="00B62126"/>
    <w:rsid w:val="00B67C9B"/>
    <w:rsid w:val="00B85BE0"/>
    <w:rsid w:val="00B85D5D"/>
    <w:rsid w:val="00B939E3"/>
    <w:rsid w:val="00B94810"/>
    <w:rsid w:val="00B9582B"/>
    <w:rsid w:val="00B97DEE"/>
    <w:rsid w:val="00BA1826"/>
    <w:rsid w:val="00BA2BDC"/>
    <w:rsid w:val="00BA4AF7"/>
    <w:rsid w:val="00BB018E"/>
    <w:rsid w:val="00BB0E50"/>
    <w:rsid w:val="00BB3E50"/>
    <w:rsid w:val="00BB4D79"/>
    <w:rsid w:val="00BB6E53"/>
    <w:rsid w:val="00BC1D69"/>
    <w:rsid w:val="00BC22FF"/>
    <w:rsid w:val="00BD08A0"/>
    <w:rsid w:val="00BD3775"/>
    <w:rsid w:val="00BD4B17"/>
    <w:rsid w:val="00BD6B86"/>
    <w:rsid w:val="00BD6BE5"/>
    <w:rsid w:val="00BE08D6"/>
    <w:rsid w:val="00BE3776"/>
    <w:rsid w:val="00BE4FEB"/>
    <w:rsid w:val="00BE5A13"/>
    <w:rsid w:val="00BE5AE9"/>
    <w:rsid w:val="00BF0235"/>
    <w:rsid w:val="00BF092A"/>
    <w:rsid w:val="00C0076A"/>
    <w:rsid w:val="00C01D6E"/>
    <w:rsid w:val="00C023FF"/>
    <w:rsid w:val="00C04404"/>
    <w:rsid w:val="00C07EEB"/>
    <w:rsid w:val="00C16CF3"/>
    <w:rsid w:val="00C22D44"/>
    <w:rsid w:val="00C240F8"/>
    <w:rsid w:val="00C25484"/>
    <w:rsid w:val="00C25A23"/>
    <w:rsid w:val="00C30A66"/>
    <w:rsid w:val="00C30A92"/>
    <w:rsid w:val="00C31410"/>
    <w:rsid w:val="00C3155D"/>
    <w:rsid w:val="00C32C95"/>
    <w:rsid w:val="00C3339D"/>
    <w:rsid w:val="00C43977"/>
    <w:rsid w:val="00C5088A"/>
    <w:rsid w:val="00C52357"/>
    <w:rsid w:val="00C5310F"/>
    <w:rsid w:val="00C57274"/>
    <w:rsid w:val="00C5786A"/>
    <w:rsid w:val="00C634B5"/>
    <w:rsid w:val="00C63CDF"/>
    <w:rsid w:val="00C67681"/>
    <w:rsid w:val="00C7042A"/>
    <w:rsid w:val="00C73815"/>
    <w:rsid w:val="00C7661B"/>
    <w:rsid w:val="00C81AEF"/>
    <w:rsid w:val="00C83F19"/>
    <w:rsid w:val="00C85726"/>
    <w:rsid w:val="00C903C6"/>
    <w:rsid w:val="00C91332"/>
    <w:rsid w:val="00C929BE"/>
    <w:rsid w:val="00C93537"/>
    <w:rsid w:val="00C9494C"/>
    <w:rsid w:val="00CA0376"/>
    <w:rsid w:val="00CA16B5"/>
    <w:rsid w:val="00CA6360"/>
    <w:rsid w:val="00CB3539"/>
    <w:rsid w:val="00CB7D87"/>
    <w:rsid w:val="00CC1E3F"/>
    <w:rsid w:val="00CC48A1"/>
    <w:rsid w:val="00CD1661"/>
    <w:rsid w:val="00CD6DE6"/>
    <w:rsid w:val="00CD79BB"/>
    <w:rsid w:val="00CE0409"/>
    <w:rsid w:val="00CE1B1C"/>
    <w:rsid w:val="00CE3C04"/>
    <w:rsid w:val="00CE4FF6"/>
    <w:rsid w:val="00CE52BA"/>
    <w:rsid w:val="00CE685A"/>
    <w:rsid w:val="00CE7B57"/>
    <w:rsid w:val="00CE7FE7"/>
    <w:rsid w:val="00CF06CB"/>
    <w:rsid w:val="00CF7145"/>
    <w:rsid w:val="00D04A5D"/>
    <w:rsid w:val="00D04C6A"/>
    <w:rsid w:val="00D07DAA"/>
    <w:rsid w:val="00D07F45"/>
    <w:rsid w:val="00D11296"/>
    <w:rsid w:val="00D11641"/>
    <w:rsid w:val="00D12954"/>
    <w:rsid w:val="00D14D6B"/>
    <w:rsid w:val="00D15005"/>
    <w:rsid w:val="00D15013"/>
    <w:rsid w:val="00D2241C"/>
    <w:rsid w:val="00D24008"/>
    <w:rsid w:val="00D3111B"/>
    <w:rsid w:val="00D31C3E"/>
    <w:rsid w:val="00D32D49"/>
    <w:rsid w:val="00D36A48"/>
    <w:rsid w:val="00D36BF2"/>
    <w:rsid w:val="00D4357B"/>
    <w:rsid w:val="00D44D7D"/>
    <w:rsid w:val="00D465E1"/>
    <w:rsid w:val="00D5113B"/>
    <w:rsid w:val="00D53A35"/>
    <w:rsid w:val="00D53A76"/>
    <w:rsid w:val="00D54007"/>
    <w:rsid w:val="00D54C1C"/>
    <w:rsid w:val="00D57161"/>
    <w:rsid w:val="00D63D9A"/>
    <w:rsid w:val="00D63EDB"/>
    <w:rsid w:val="00D655A4"/>
    <w:rsid w:val="00D65A50"/>
    <w:rsid w:val="00D6642A"/>
    <w:rsid w:val="00D66431"/>
    <w:rsid w:val="00D66A27"/>
    <w:rsid w:val="00D70CC4"/>
    <w:rsid w:val="00D8352F"/>
    <w:rsid w:val="00D835FE"/>
    <w:rsid w:val="00D85DF3"/>
    <w:rsid w:val="00D867C0"/>
    <w:rsid w:val="00D925E2"/>
    <w:rsid w:val="00D94576"/>
    <w:rsid w:val="00D94E7C"/>
    <w:rsid w:val="00D95494"/>
    <w:rsid w:val="00D95615"/>
    <w:rsid w:val="00DA2243"/>
    <w:rsid w:val="00DA2B7F"/>
    <w:rsid w:val="00DA2E84"/>
    <w:rsid w:val="00DA3994"/>
    <w:rsid w:val="00DA3D51"/>
    <w:rsid w:val="00DA3FF3"/>
    <w:rsid w:val="00DA7AD6"/>
    <w:rsid w:val="00DB3B36"/>
    <w:rsid w:val="00DC19DA"/>
    <w:rsid w:val="00DC35AC"/>
    <w:rsid w:val="00DC6717"/>
    <w:rsid w:val="00DC6E7B"/>
    <w:rsid w:val="00DD0091"/>
    <w:rsid w:val="00DD0E24"/>
    <w:rsid w:val="00DD19F2"/>
    <w:rsid w:val="00DD30B9"/>
    <w:rsid w:val="00DD5352"/>
    <w:rsid w:val="00DE126E"/>
    <w:rsid w:val="00DE2DCC"/>
    <w:rsid w:val="00DE4F1D"/>
    <w:rsid w:val="00DF2D25"/>
    <w:rsid w:val="00E027C5"/>
    <w:rsid w:val="00E03711"/>
    <w:rsid w:val="00E03C68"/>
    <w:rsid w:val="00E052C3"/>
    <w:rsid w:val="00E13DA9"/>
    <w:rsid w:val="00E161A3"/>
    <w:rsid w:val="00E22119"/>
    <w:rsid w:val="00E263C3"/>
    <w:rsid w:val="00E339E8"/>
    <w:rsid w:val="00E33BAC"/>
    <w:rsid w:val="00E345DC"/>
    <w:rsid w:val="00E34BDD"/>
    <w:rsid w:val="00E36F9B"/>
    <w:rsid w:val="00E42FC0"/>
    <w:rsid w:val="00E4397E"/>
    <w:rsid w:val="00E502E4"/>
    <w:rsid w:val="00E562EB"/>
    <w:rsid w:val="00E57461"/>
    <w:rsid w:val="00E602F0"/>
    <w:rsid w:val="00E62222"/>
    <w:rsid w:val="00E626AA"/>
    <w:rsid w:val="00E65899"/>
    <w:rsid w:val="00E67816"/>
    <w:rsid w:val="00E73426"/>
    <w:rsid w:val="00E75AED"/>
    <w:rsid w:val="00E8045C"/>
    <w:rsid w:val="00E834F8"/>
    <w:rsid w:val="00E86997"/>
    <w:rsid w:val="00E86E35"/>
    <w:rsid w:val="00E94936"/>
    <w:rsid w:val="00E94D8E"/>
    <w:rsid w:val="00EA13ED"/>
    <w:rsid w:val="00EA1508"/>
    <w:rsid w:val="00EB3111"/>
    <w:rsid w:val="00EB3202"/>
    <w:rsid w:val="00EB69D8"/>
    <w:rsid w:val="00EB7A50"/>
    <w:rsid w:val="00EC340D"/>
    <w:rsid w:val="00EC5366"/>
    <w:rsid w:val="00ED0B53"/>
    <w:rsid w:val="00ED0F84"/>
    <w:rsid w:val="00EE000E"/>
    <w:rsid w:val="00EE0CC7"/>
    <w:rsid w:val="00EE29B3"/>
    <w:rsid w:val="00EE2BAA"/>
    <w:rsid w:val="00EE3EF6"/>
    <w:rsid w:val="00EE6F38"/>
    <w:rsid w:val="00EF25FA"/>
    <w:rsid w:val="00EF4B4C"/>
    <w:rsid w:val="00EF66B9"/>
    <w:rsid w:val="00F0032E"/>
    <w:rsid w:val="00F00B97"/>
    <w:rsid w:val="00F01909"/>
    <w:rsid w:val="00F0592C"/>
    <w:rsid w:val="00F05C5F"/>
    <w:rsid w:val="00F11657"/>
    <w:rsid w:val="00F13C35"/>
    <w:rsid w:val="00F1429F"/>
    <w:rsid w:val="00F200F5"/>
    <w:rsid w:val="00F25286"/>
    <w:rsid w:val="00F31113"/>
    <w:rsid w:val="00F314BF"/>
    <w:rsid w:val="00F316DF"/>
    <w:rsid w:val="00F401AA"/>
    <w:rsid w:val="00F416AF"/>
    <w:rsid w:val="00F4356A"/>
    <w:rsid w:val="00F442BF"/>
    <w:rsid w:val="00F44424"/>
    <w:rsid w:val="00F466EA"/>
    <w:rsid w:val="00F46FD3"/>
    <w:rsid w:val="00F5148D"/>
    <w:rsid w:val="00F52C87"/>
    <w:rsid w:val="00F54219"/>
    <w:rsid w:val="00F575CD"/>
    <w:rsid w:val="00F644F7"/>
    <w:rsid w:val="00F7444F"/>
    <w:rsid w:val="00F76744"/>
    <w:rsid w:val="00F84316"/>
    <w:rsid w:val="00F849CA"/>
    <w:rsid w:val="00F8595E"/>
    <w:rsid w:val="00F85FBF"/>
    <w:rsid w:val="00F907B7"/>
    <w:rsid w:val="00F90F56"/>
    <w:rsid w:val="00F91D78"/>
    <w:rsid w:val="00FA120E"/>
    <w:rsid w:val="00FA297D"/>
    <w:rsid w:val="00FA316C"/>
    <w:rsid w:val="00FB13E4"/>
    <w:rsid w:val="00FB1802"/>
    <w:rsid w:val="00FB37D8"/>
    <w:rsid w:val="00FC5E61"/>
    <w:rsid w:val="00FD27CF"/>
    <w:rsid w:val="00FD3EB5"/>
    <w:rsid w:val="00FE01E8"/>
    <w:rsid w:val="00FE0BCE"/>
    <w:rsid w:val="00FE2317"/>
    <w:rsid w:val="00FE415C"/>
    <w:rsid w:val="00FE417F"/>
    <w:rsid w:val="00FE590E"/>
    <w:rsid w:val="00FE67BA"/>
    <w:rsid w:val="00FF0096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8662F-B420-4FD4-A3BC-3C7852D6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F7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FD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FDB"/>
    <w:rPr>
      <w:rFonts w:ascii="Cambria" w:eastAsia="Times New Roman" w:hAnsi="Cambria" w:cs="Times New Roman"/>
      <w:b/>
      <w:bCs/>
      <w:color w:val="365F91"/>
      <w:sz w:val="28"/>
      <w:szCs w:val="28"/>
      <w:lang w:val="sr-Cyrl-RS"/>
    </w:rPr>
  </w:style>
  <w:style w:type="paragraph" w:styleId="PlainText">
    <w:name w:val="Plain Text"/>
    <w:basedOn w:val="Normal"/>
    <w:link w:val="PlainTextChar"/>
    <w:uiPriority w:val="99"/>
    <w:unhideWhenUsed/>
    <w:rsid w:val="008F1FDB"/>
    <w:rPr>
      <w:rFonts w:ascii="Calibri" w:eastAsia="Calibri" w:hAnsi="Calibri"/>
      <w:sz w:val="22"/>
      <w:szCs w:val="22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F1FDB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8F1FDB"/>
    <w:pPr>
      <w:ind w:left="720"/>
      <w:contextualSpacing/>
    </w:pPr>
    <w:rPr>
      <w:rFonts w:ascii="Calibri" w:eastAsia="Calibri" w:hAnsi="Calibri"/>
      <w:sz w:val="24"/>
      <w:szCs w:val="24"/>
      <w:lang w:val="en-US"/>
    </w:rPr>
  </w:style>
  <w:style w:type="paragraph" w:customStyle="1" w:styleId="Default">
    <w:name w:val="Default"/>
    <w:rsid w:val="008F1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F1FDB"/>
    <w:pPr>
      <w:spacing w:beforeLines="1" w:afterLines="1"/>
    </w:pPr>
    <w:rPr>
      <w:rFonts w:ascii="Times" w:eastAsia="Calibri" w:hAnsi="Times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F1FDB"/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1FDB"/>
    <w:rPr>
      <w:rFonts w:ascii="Calibri" w:eastAsia="Calibri" w:hAnsi="Calibri" w:cs="Times New Roman"/>
      <w:sz w:val="20"/>
      <w:szCs w:val="20"/>
      <w:lang w:val="sr-Cyrl-RS"/>
    </w:rPr>
  </w:style>
  <w:style w:type="character" w:styleId="FootnoteReference">
    <w:name w:val="footnote reference"/>
    <w:uiPriority w:val="99"/>
    <w:unhideWhenUsed/>
    <w:rsid w:val="008F1F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D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DB"/>
    <w:rPr>
      <w:rFonts w:ascii="Tahoma" w:eastAsia="Calibri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8F1F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1FDB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F1F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1FDB"/>
    <w:rPr>
      <w:rFonts w:ascii="Calibri" w:eastAsia="Calibri" w:hAnsi="Calibri" w:cs="Times New Roman"/>
      <w:lang w:val="sr-Cyrl-RS"/>
    </w:rPr>
  </w:style>
  <w:style w:type="table" w:styleId="TableGrid">
    <w:name w:val="Table Grid"/>
    <w:basedOn w:val="TableNormal"/>
    <w:uiPriority w:val="59"/>
    <w:rsid w:val="008F1F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1FDB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FDB"/>
    <w:rPr>
      <w:rFonts w:ascii="Calibri" w:eastAsia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FDB"/>
    <w:rPr>
      <w:rFonts w:ascii="Calibri" w:eastAsia="Calibri" w:hAnsi="Calibri" w:cs="Times New Roman"/>
      <w:sz w:val="20"/>
      <w:szCs w:val="20"/>
      <w:lang w:val="sr-Cyrl-RS"/>
    </w:rPr>
  </w:style>
  <w:style w:type="character" w:styleId="EndnoteReference">
    <w:name w:val="endnote reference"/>
    <w:uiPriority w:val="99"/>
    <w:semiHidden/>
    <w:unhideWhenUsed/>
    <w:rsid w:val="008F1FDB"/>
    <w:rPr>
      <w:vertAlign w:val="superscript"/>
    </w:rPr>
  </w:style>
  <w:style w:type="paragraph" w:customStyle="1" w:styleId="CharCharCharChar">
    <w:name w:val="Char Char Char Char"/>
    <w:basedOn w:val="Normal"/>
    <w:rsid w:val="008F1FDB"/>
    <w:pPr>
      <w:spacing w:after="160" w:line="240" w:lineRule="exact"/>
    </w:pPr>
    <w:rPr>
      <w:rFonts w:ascii="Verdana" w:hAnsi="Verdana"/>
      <w:i/>
      <w:lang w:val="en-US"/>
    </w:rPr>
  </w:style>
  <w:style w:type="character" w:styleId="CommentReference">
    <w:name w:val="annotation reference"/>
    <w:unhideWhenUsed/>
    <w:rsid w:val="008F1F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F1FDB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rsid w:val="008F1FDB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FDB"/>
    <w:rPr>
      <w:rFonts w:ascii="Calibri" w:eastAsia="Calibri" w:hAnsi="Calibri" w:cs="Times New Roman"/>
      <w:b/>
      <w:bCs/>
      <w:sz w:val="20"/>
      <w:szCs w:val="20"/>
      <w:lang w:val="sr-Cyrl-RS"/>
    </w:rPr>
  </w:style>
  <w:style w:type="character" w:styleId="IntenseEmphasis">
    <w:name w:val="Intense Emphasis"/>
    <w:uiPriority w:val="21"/>
    <w:qFormat/>
    <w:rsid w:val="00DD30B9"/>
    <w:rPr>
      <w:i/>
      <w:iCs/>
      <w:color w:val="5B9BD5"/>
    </w:rPr>
  </w:style>
  <w:style w:type="paragraph" w:customStyle="1" w:styleId="CharCharCharChar0">
    <w:name w:val="Char Char Char Char"/>
    <w:basedOn w:val="Normal"/>
    <w:rsid w:val="00E263C3"/>
    <w:pPr>
      <w:spacing w:after="160" w:line="240" w:lineRule="exact"/>
    </w:pPr>
    <w:rPr>
      <w:rFonts w:ascii="Verdana" w:hAnsi="Verdana"/>
      <w:i/>
    </w:rPr>
  </w:style>
  <w:style w:type="character" w:styleId="IntenseReference">
    <w:name w:val="Intense Reference"/>
    <w:uiPriority w:val="32"/>
    <w:qFormat/>
    <w:rsid w:val="00E263C3"/>
    <w:rPr>
      <w:b/>
      <w:bCs/>
      <w:smallCaps/>
      <w:color w:val="5B9BD5"/>
      <w:spacing w:val="5"/>
    </w:rPr>
  </w:style>
  <w:style w:type="paragraph" w:customStyle="1" w:styleId="CharCharCharChar1">
    <w:name w:val="Char Char Char Char"/>
    <w:basedOn w:val="Normal"/>
    <w:rsid w:val="00B05442"/>
    <w:pPr>
      <w:spacing w:after="160" w:line="240" w:lineRule="exact"/>
    </w:pPr>
    <w:rPr>
      <w:rFonts w:ascii="Verdana" w:hAnsi="Verdana"/>
      <w:i/>
    </w:rPr>
  </w:style>
  <w:style w:type="paragraph" w:customStyle="1" w:styleId="CharCharCharChar2">
    <w:name w:val="Char Char Char Char"/>
    <w:basedOn w:val="Normal"/>
    <w:rsid w:val="008C52F9"/>
    <w:pPr>
      <w:spacing w:after="160" w:line="240" w:lineRule="exact"/>
    </w:pPr>
    <w:rPr>
      <w:rFonts w:ascii="Verdana" w:hAnsi="Verdana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22733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8595E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F316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s@stat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kacije.stat.gov.rs/G2018/Xls/G20191043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DDBA-09A0-450C-91D0-7B2318E5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5</Pages>
  <Words>2301</Words>
  <Characters>12039</Characters>
  <Application>Microsoft Office Word</Application>
  <DocSecurity>0</DocSecurity>
  <Lines>273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Savkovic</dc:creator>
  <cp:keywords/>
  <dc:description/>
  <cp:lastModifiedBy>Dragana Steljic</cp:lastModifiedBy>
  <cp:revision>23</cp:revision>
  <cp:lastPrinted>2019-11-19T07:39:00Z</cp:lastPrinted>
  <dcterms:created xsi:type="dcterms:W3CDTF">2020-08-27T07:41:00Z</dcterms:created>
  <dcterms:modified xsi:type="dcterms:W3CDTF">2020-08-31T07:57:00Z</dcterms:modified>
</cp:coreProperties>
</file>