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349CD" w:rsidRPr="00A45A9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C149A4">
            <w:pPr>
              <w:rPr>
                <w:color w:val="808080"/>
                <w:lang w:val="sr-Cyrl-CS"/>
              </w:rPr>
            </w:pPr>
            <w:r w:rsidRPr="00A45A9C">
              <w:rPr>
                <w:color w:val="808080"/>
                <w:sz w:val="8"/>
                <w:szCs w:val="8"/>
              </w:rPr>
              <w:t xml:space="preserve">  </w:t>
            </w:r>
            <w:r w:rsidRPr="00A45A9C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A45A9C">
              <w:rPr>
                <w:color w:val="808080"/>
                <w:sz w:val="8"/>
                <w:szCs w:val="8"/>
              </w:rPr>
              <w:t xml:space="preserve">               </w:t>
            </w:r>
            <w:r w:rsidR="00A81A92" w:rsidRPr="00A45A9C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 w:rsidRPr="00A45A9C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Република Србија</w:t>
            </w:r>
          </w:p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A45A9C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A45A9C">
              <w:rPr>
                <w:lang w:val="sr-Cyrl-CS"/>
              </w:rPr>
              <w:t>ISSN 0353-9555</w:t>
            </w:r>
          </w:p>
        </w:tc>
      </w:tr>
      <w:tr w:rsidR="00E349CD" w:rsidRPr="00A45A9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color w:val="808080"/>
                <w:lang w:val="sr-Cyrl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A45A9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A45A9C" w:rsidRDefault="00703376" w:rsidP="00690CC5">
            <w:pPr>
              <w:rPr>
                <w:lang w:val="ru-RU"/>
              </w:rPr>
            </w:pPr>
            <w:r w:rsidRPr="00A45A9C">
              <w:rPr>
                <w:lang w:val="ru-RU"/>
              </w:rPr>
              <w:t xml:space="preserve">број </w:t>
            </w:r>
            <w:r w:rsidR="008174E0">
              <w:t>235</w:t>
            </w:r>
            <w:r w:rsidR="00245792">
              <w:t xml:space="preserve"> </w:t>
            </w:r>
            <w:r w:rsidR="00E349CD" w:rsidRPr="00A45A9C">
              <w:rPr>
                <w:lang w:val="ru-RU"/>
              </w:rPr>
              <w:t xml:space="preserve">- год. </w:t>
            </w:r>
            <w:r w:rsidR="00280BFB" w:rsidRPr="00A45A9C">
              <w:t>LX</w:t>
            </w:r>
            <w:r w:rsidR="00A71AA5">
              <w:t>X</w:t>
            </w:r>
            <w:r w:rsidR="00E349CD" w:rsidRPr="00A45A9C">
              <w:rPr>
                <w:lang w:val="ru-RU"/>
              </w:rPr>
              <w:t>, 0</w:t>
            </w:r>
            <w:r w:rsidR="00CE532E">
              <w:t>1</w:t>
            </w:r>
            <w:r w:rsidR="00BA3B44" w:rsidRPr="00A45A9C">
              <w:rPr>
                <w:lang w:val="ru-RU"/>
              </w:rPr>
              <w:t>.</w:t>
            </w:r>
            <w:r w:rsidR="00560DC7">
              <w:t>0</w:t>
            </w:r>
            <w:r w:rsidR="00134DA3">
              <w:t>9</w:t>
            </w:r>
            <w:r w:rsidR="00DF6648">
              <w:rPr>
                <w:lang w:val="ru-RU"/>
              </w:rPr>
              <w:t>.2020</w:t>
            </w:r>
            <w:r w:rsidR="00E349CD" w:rsidRPr="00A45A9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A45A9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45A9C">
              <w:rPr>
                <w:b/>
                <w:bCs/>
                <w:sz w:val="24"/>
                <w:szCs w:val="24"/>
                <w:lang w:val="sr-Cyrl-CS"/>
              </w:rPr>
              <w:t>С</w:t>
            </w:r>
            <w:r w:rsidRPr="00A45A9C"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71AA5" w:rsidRDefault="00E349CD" w:rsidP="00690CC5">
            <w:pPr>
              <w:jc w:val="right"/>
            </w:pPr>
            <w:r w:rsidRPr="00A45A9C">
              <w:rPr>
                <w:lang w:val="ru-RU"/>
              </w:rPr>
              <w:t>СРБ</w:t>
            </w:r>
            <w:r w:rsidR="008174E0">
              <w:t>235</w:t>
            </w:r>
            <w:r w:rsidR="007153FE" w:rsidRPr="00A45A9C">
              <w:t xml:space="preserve"> </w:t>
            </w:r>
            <w:r w:rsidRPr="00A45A9C">
              <w:rPr>
                <w:lang w:val="ru-RU"/>
              </w:rPr>
              <w:t>ПМ13 0</w:t>
            </w:r>
            <w:r w:rsidR="00CE532E">
              <w:t>1</w:t>
            </w:r>
            <w:r w:rsidR="00560DC7">
              <w:t>0</w:t>
            </w:r>
            <w:r w:rsidR="00134DA3">
              <w:t>9</w:t>
            </w:r>
            <w:r w:rsidR="00DF6648">
              <w:rPr>
                <w:lang w:val="ru-RU"/>
              </w:rPr>
              <w:t>20</w:t>
            </w:r>
          </w:p>
        </w:tc>
      </w:tr>
    </w:tbl>
    <w:p w:rsidR="00E349CD" w:rsidRPr="00A45A9C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A45A9C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E349CD" w:rsidRPr="00A45A9C" w:rsidRDefault="00E349CD" w:rsidP="00597197">
      <w:pPr>
        <w:pStyle w:val="Podnaslovsopstenja"/>
        <w:spacing w:before="120"/>
        <w:rPr>
          <w:lang w:val="ru-RU"/>
        </w:rPr>
      </w:pPr>
      <w:r w:rsidRPr="00A45A9C">
        <w:rPr>
          <w:lang w:val="ru-RU"/>
        </w:rPr>
        <w:t xml:space="preserve">– </w:t>
      </w:r>
      <w:r w:rsidRPr="00A45A9C">
        <w:t>I</w:t>
      </w:r>
      <w:r w:rsidR="00134DA3">
        <w:t>I</w:t>
      </w:r>
      <w:r w:rsidRPr="00A45A9C">
        <w:rPr>
          <w:lang w:val="sr-Latn-CS"/>
        </w:rPr>
        <w:t xml:space="preserve"> </w:t>
      </w:r>
      <w:r w:rsidRPr="00A45A9C">
        <w:rPr>
          <w:lang w:val="sr-Cyrl-CS"/>
        </w:rPr>
        <w:t>тромесечје 20</w:t>
      </w:r>
      <w:r w:rsidR="00DF6648">
        <w:rPr>
          <w:lang w:val="ru-RU"/>
        </w:rPr>
        <w:t>20</w:t>
      </w:r>
      <w:r w:rsidRPr="00A45A9C">
        <w:rPr>
          <w:lang w:val="ru-RU"/>
        </w:rPr>
        <w:t xml:space="preserve"> –</w:t>
      </w:r>
    </w:p>
    <w:p w:rsidR="00E349CD" w:rsidRPr="00A45A9C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B5946" w:rsidRPr="000E36C9" w:rsidRDefault="00B95CD7" w:rsidP="00EB5946">
      <w:pPr>
        <w:pStyle w:val="TekstMetodologijaiNapomena"/>
      </w:pPr>
      <w:r>
        <w:rPr>
          <w:lang w:val="sr-Cyrl-RS"/>
        </w:rPr>
        <w:t>Укупна вредност промета пољопривредних производа на пијацама</w:t>
      </w:r>
      <w:r w:rsidR="00EB5946">
        <w:rPr>
          <w:lang w:val="sr-Cyrl-RS"/>
        </w:rPr>
        <w:t xml:space="preserve"> у </w:t>
      </w:r>
      <w:r w:rsidR="00EB5946" w:rsidRPr="007D1F86">
        <w:t>Републиц</w:t>
      </w:r>
      <w:r w:rsidR="00EB5946">
        <w:t>и Србији</w:t>
      </w:r>
      <w:r>
        <w:rPr>
          <w:lang w:val="sr-Cyrl-RS"/>
        </w:rPr>
        <w:t xml:space="preserve"> за првих шест месеци</w:t>
      </w:r>
      <w:r w:rsidR="00EB5946">
        <w:rPr>
          <w:lang w:val="sr-Cyrl-RS"/>
        </w:rPr>
        <w:t xml:space="preserve"> </w:t>
      </w:r>
      <w:r w:rsidR="002D2751">
        <w:rPr>
          <w:lang w:val="sr-Cyrl-RS"/>
        </w:rPr>
        <w:t>2020</w:t>
      </w:r>
      <w:r>
        <w:rPr>
          <w:lang w:val="sr-Cyrl-RS"/>
        </w:rPr>
        <w:t xml:space="preserve">, </w:t>
      </w:r>
      <w:r w:rsidR="00EB5946">
        <w:t xml:space="preserve">у односу на исти период </w:t>
      </w:r>
      <w:r>
        <w:rPr>
          <w:lang w:val="sr-Cyrl-RS"/>
        </w:rPr>
        <w:t>претходне</w:t>
      </w:r>
      <w:r w:rsidR="00EB5946">
        <w:t xml:space="preserve"> </w:t>
      </w:r>
      <w:r w:rsidR="00EB5946" w:rsidRPr="007D1F86">
        <w:t>године,</w:t>
      </w:r>
      <w:r>
        <w:rPr>
          <w:lang w:val="sr-Cyrl-RS"/>
        </w:rPr>
        <w:t xml:space="preserve"> изражена</w:t>
      </w:r>
      <w:r w:rsidR="00EB5946" w:rsidRPr="007D1F86">
        <w:t xml:space="preserve"> у текућим ценама</w:t>
      </w:r>
      <w:r w:rsidR="00EB5946">
        <w:rPr>
          <w:lang w:val="sr-Latn-CS"/>
        </w:rPr>
        <w:t xml:space="preserve">, </w:t>
      </w:r>
      <w:r w:rsidR="00AE5330">
        <w:rPr>
          <w:lang w:val="sr-Cyrl-RS"/>
        </w:rPr>
        <w:t>мањ</w:t>
      </w:r>
      <w:r w:rsidR="00716349">
        <w:rPr>
          <w:lang w:val="sr-Cyrl-RS"/>
        </w:rPr>
        <w:t>а</w:t>
      </w:r>
      <w:r w:rsidR="00EB5946">
        <w:t xml:space="preserve"> је</w:t>
      </w:r>
      <w:r w:rsidR="00EB5946" w:rsidRPr="007D1F86">
        <w:t xml:space="preserve"> </w:t>
      </w:r>
      <w:r w:rsidR="00EB5946">
        <w:t xml:space="preserve">за </w:t>
      </w:r>
      <w:r w:rsidR="00FD39FA">
        <w:rPr>
          <w:lang w:val="sr-Cyrl-RS"/>
        </w:rPr>
        <w:t>1</w:t>
      </w:r>
      <w:r w:rsidR="00B54BC4">
        <w:rPr>
          <w:lang w:val="sr-Cyrl-RS"/>
        </w:rPr>
        <w:t>4</w:t>
      </w:r>
      <w:r w:rsidR="00EB5946">
        <w:t>,</w:t>
      </w:r>
      <w:r w:rsidR="00B54BC4">
        <w:rPr>
          <w:lang w:val="sr-Cyrl-RS"/>
        </w:rPr>
        <w:t>2</w:t>
      </w:r>
      <w:r w:rsidR="00EB5946">
        <w:t>%</w:t>
      </w:r>
      <w:r w:rsidR="00EB5946" w:rsidRPr="00D465D6">
        <w:rPr>
          <w:lang w:val="ru-RU"/>
        </w:rPr>
        <w:t xml:space="preserve">. </w:t>
      </w:r>
      <w:r w:rsidR="00EB5946">
        <w:t xml:space="preserve">У структури вредности промета </w:t>
      </w:r>
      <w:r w:rsidR="00EB5946" w:rsidRPr="007D1F86">
        <w:t>пољопривредних производа на пијацама</w:t>
      </w:r>
      <w:r w:rsidR="00EB5946">
        <w:t xml:space="preserve"> </w:t>
      </w:r>
      <w:r w:rsidR="00C729DC">
        <w:rPr>
          <w:lang w:val="sr-Cyrl-RS"/>
        </w:rPr>
        <w:t xml:space="preserve">за првих шест месеци </w:t>
      </w:r>
      <w:r w:rsidR="00ED0BE9">
        <w:t>2020</w:t>
      </w:r>
      <w:r w:rsidR="00EB5946">
        <w:t>.</w:t>
      </w:r>
      <w:r w:rsidR="000A2DA7">
        <w:rPr>
          <w:lang w:val="sr-Cyrl-RS"/>
        </w:rPr>
        <w:t xml:space="preserve"> </w:t>
      </w:r>
      <w:r w:rsidR="00EB5946">
        <w:rPr>
          <w:lang w:val="sr-Cyrl-RS"/>
        </w:rPr>
        <w:t>г</w:t>
      </w:r>
      <w:r w:rsidR="00EB5946">
        <w:t>один</w:t>
      </w:r>
      <w:r w:rsidR="00C729DC">
        <w:rPr>
          <w:lang w:val="sr-Cyrl-RS"/>
        </w:rPr>
        <w:t>е,</w:t>
      </w:r>
      <w:r w:rsidR="00EB5946">
        <w:t xml:space="preserve"> највише учествују </w:t>
      </w:r>
      <w:r w:rsidR="001D18D0">
        <w:t>следеће групе производа: поврће</w:t>
      </w:r>
      <w:r w:rsidR="00EB5946">
        <w:t xml:space="preserve"> </w:t>
      </w:r>
      <w:r w:rsidR="001D18D0" w:rsidRPr="00957DBB">
        <w:rPr>
          <w:lang w:val="ru-RU"/>
        </w:rPr>
        <w:t>(</w:t>
      </w:r>
      <w:r w:rsidR="00B54BC4">
        <w:rPr>
          <w:lang w:val="sr-Cyrl-RS"/>
        </w:rPr>
        <w:t>33</w:t>
      </w:r>
      <w:r w:rsidR="00EB5946">
        <w:t>,</w:t>
      </w:r>
      <w:r w:rsidR="00B54BC4">
        <w:rPr>
          <w:lang w:val="sr-Cyrl-RS"/>
        </w:rPr>
        <w:t>0</w:t>
      </w:r>
      <w:r w:rsidR="00EB5946">
        <w:t>%</w:t>
      </w:r>
      <w:r w:rsidR="001D18D0" w:rsidRPr="00957DBB">
        <w:rPr>
          <w:lang w:val="ru-RU"/>
        </w:rPr>
        <w:t>)</w:t>
      </w:r>
      <w:r w:rsidR="00EB5946">
        <w:t>, воће и грожђе</w:t>
      </w:r>
      <w:r w:rsidR="001D18D0" w:rsidRPr="00957DBB">
        <w:rPr>
          <w:lang w:val="ru-RU"/>
        </w:rPr>
        <w:t xml:space="preserve"> (</w:t>
      </w:r>
      <w:r w:rsidR="00B54BC4">
        <w:rPr>
          <w:lang w:val="sr-Cyrl-RS"/>
        </w:rPr>
        <w:t>22</w:t>
      </w:r>
      <w:r w:rsidR="00EB5946">
        <w:t>,</w:t>
      </w:r>
      <w:r w:rsidR="00B54BC4">
        <w:rPr>
          <w:lang w:val="sr-Cyrl-RS"/>
        </w:rPr>
        <w:t>5</w:t>
      </w:r>
      <w:r w:rsidR="00EB5946">
        <w:t>%</w:t>
      </w:r>
      <w:r w:rsidR="001D18D0" w:rsidRPr="00957DBB">
        <w:rPr>
          <w:lang w:val="ru-RU"/>
        </w:rPr>
        <w:t>)</w:t>
      </w:r>
      <w:r w:rsidR="00B54BC4">
        <w:t xml:space="preserve">, живина и јаја </w:t>
      </w:r>
      <w:r w:rsidR="00B54BC4" w:rsidRPr="00957DBB">
        <w:rPr>
          <w:lang w:val="ru-RU"/>
        </w:rPr>
        <w:t>(</w:t>
      </w:r>
      <w:r w:rsidR="00B54BC4">
        <w:rPr>
          <w:lang w:val="sr-Cyrl-RS"/>
        </w:rPr>
        <w:t>13</w:t>
      </w:r>
      <w:r w:rsidR="00B54BC4">
        <w:t>,</w:t>
      </w:r>
      <w:r w:rsidR="00B54BC4">
        <w:rPr>
          <w:lang w:val="sr-Cyrl-RS"/>
        </w:rPr>
        <w:t>2</w:t>
      </w:r>
      <w:r w:rsidR="00B54BC4">
        <w:t>%</w:t>
      </w:r>
      <w:r w:rsidR="00B54BC4" w:rsidRPr="00957DBB">
        <w:rPr>
          <w:lang w:val="ru-RU"/>
        </w:rPr>
        <w:t>)</w:t>
      </w:r>
      <w:r w:rsidR="00B54BC4">
        <w:t xml:space="preserve"> и </w:t>
      </w:r>
      <w:r w:rsidR="00EB5946">
        <w:t>млеко и млечни произ</w:t>
      </w:r>
      <w:r w:rsidR="001D18D0">
        <w:t>води</w:t>
      </w:r>
      <w:r w:rsidR="00EB5946">
        <w:t xml:space="preserve"> </w:t>
      </w:r>
      <w:r w:rsidR="001D18D0" w:rsidRPr="00957DBB">
        <w:rPr>
          <w:lang w:val="ru-RU"/>
        </w:rPr>
        <w:t>(</w:t>
      </w:r>
      <w:r w:rsidR="00EB5946">
        <w:rPr>
          <w:lang w:val="sr-Cyrl-RS"/>
        </w:rPr>
        <w:t>1</w:t>
      </w:r>
      <w:r w:rsidR="00B54BC4">
        <w:rPr>
          <w:lang w:val="sr-Cyrl-RS"/>
        </w:rPr>
        <w:t>2</w:t>
      </w:r>
      <w:r w:rsidR="00EB5946">
        <w:t>,</w:t>
      </w:r>
      <w:r w:rsidR="00B54BC4">
        <w:rPr>
          <w:lang w:val="sr-Cyrl-RS"/>
        </w:rPr>
        <w:t>8</w:t>
      </w:r>
      <w:r w:rsidR="00EB5946">
        <w:t>%</w:t>
      </w:r>
      <w:r w:rsidR="001D18D0" w:rsidRPr="00957DBB">
        <w:rPr>
          <w:lang w:val="ru-RU"/>
        </w:rPr>
        <w:t>)</w:t>
      </w:r>
      <w:r w:rsidR="00B54BC4">
        <w:t>.</w:t>
      </w:r>
      <w:r w:rsidR="001D18D0">
        <w:t xml:space="preserve"> </w:t>
      </w:r>
    </w:p>
    <w:p w:rsidR="00EB5946" w:rsidRPr="00D50046" w:rsidRDefault="00EB5946" w:rsidP="00EB5946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A45A9C">
        <w:rPr>
          <w:lang w:val="ru-RU"/>
        </w:rPr>
        <w:t xml:space="preserve">1. Промет по </w:t>
      </w:r>
      <w:r w:rsidRPr="00A45A9C">
        <w:rPr>
          <w:lang w:val="sr-Cyrl-CS"/>
        </w:rPr>
        <w:t>регионима</w:t>
      </w:r>
    </w:p>
    <w:tbl>
      <w:tblPr>
        <w:tblW w:w="1015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A45A9C" w:rsidTr="00874A8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 xml:space="preserve"> 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 w:rsidTr="00874A8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134DA3" w:rsidP="009E60A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F67177">
              <w:rPr>
                <w:sz w:val="16"/>
                <w:szCs w:val="16"/>
              </w:rPr>
              <w:t>I</w:t>
            </w:r>
            <w:r w:rsidR="00DF6648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E349CD" w:rsidP="009E60A6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134DA3">
              <w:rPr>
                <w:sz w:val="16"/>
                <w:szCs w:val="16"/>
              </w:rPr>
              <w:t>V</w:t>
            </w:r>
            <w:r w:rsidR="00F67177">
              <w:rPr>
                <w:sz w:val="16"/>
                <w:szCs w:val="16"/>
              </w:rPr>
              <w:t>I</w:t>
            </w:r>
            <w:r w:rsidR="00DF6648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DF6648" w:rsidP="009E60A6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A45A9C" w:rsidTr="00874A8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67177" w:rsidRDefault="00134DA3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134DA3" w:rsidRDefault="00134DA3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134DA3" w:rsidP="00134DA3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67177">
              <w:rPr>
                <w:sz w:val="16"/>
                <w:szCs w:val="16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134DA3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IV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</w:t>
            </w:r>
            <w:r w:rsidR="00F67177">
              <w:rPr>
                <w:sz w:val="16"/>
                <w:szCs w:val="16"/>
                <w:u w:val="single"/>
              </w:rPr>
              <w:t>I</w:t>
            </w:r>
            <w:r w:rsidR="00DF6648">
              <w:rPr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E349CD" w:rsidRPr="00A45A9C" w:rsidRDefault="00134DA3" w:rsidP="009E60A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IV–V</w:t>
            </w:r>
            <w:r w:rsidR="00F67177">
              <w:rPr>
                <w:sz w:val="16"/>
                <w:szCs w:val="16"/>
              </w:rPr>
              <w:t>I</w:t>
            </w:r>
            <w:r w:rsidR="00E349CD" w:rsidRPr="00A45A9C">
              <w:rPr>
                <w:sz w:val="16"/>
                <w:szCs w:val="16"/>
              </w:rPr>
              <w:t xml:space="preserve"> 201</w:t>
            </w:r>
            <w:r w:rsidR="00DF6648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="00134DA3">
              <w:rPr>
                <w:sz w:val="16"/>
                <w:szCs w:val="16"/>
                <w:u w:val="single"/>
              </w:rPr>
              <w:t>–V</w:t>
            </w:r>
            <w:r w:rsidR="00F67177">
              <w:rPr>
                <w:sz w:val="16"/>
                <w:szCs w:val="16"/>
                <w:u w:val="single"/>
              </w:rPr>
              <w:t>I</w:t>
            </w:r>
            <w:r w:rsidR="00DF6648">
              <w:rPr>
                <w:sz w:val="16"/>
                <w:szCs w:val="16"/>
                <w:u w:val="single"/>
              </w:rPr>
              <w:t xml:space="preserve"> 2020</w:t>
            </w:r>
          </w:p>
          <w:p w:rsidR="00E349CD" w:rsidRPr="00A45A9C" w:rsidRDefault="00E349CD" w:rsidP="009E60A6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="00134DA3">
              <w:rPr>
                <w:sz w:val="16"/>
                <w:szCs w:val="16"/>
              </w:rPr>
              <w:t>–V</w:t>
            </w:r>
            <w:r w:rsidR="00F67177">
              <w:rPr>
                <w:sz w:val="16"/>
                <w:szCs w:val="16"/>
              </w:rPr>
              <w:t>I</w:t>
            </w:r>
            <w:r w:rsidRPr="00A45A9C">
              <w:rPr>
                <w:sz w:val="16"/>
                <w:szCs w:val="16"/>
              </w:rPr>
              <w:t xml:space="preserve"> 201</w:t>
            </w:r>
            <w:r w:rsidR="00DF6648">
              <w:rPr>
                <w:sz w:val="16"/>
                <w:szCs w:val="16"/>
              </w:rPr>
              <w:t>9</w:t>
            </w:r>
          </w:p>
        </w:tc>
      </w:tr>
      <w:tr w:rsidR="00E349CD" w:rsidRPr="00A45A9C" w:rsidTr="00874A8C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1D41E8" w:rsidRPr="00627D00" w:rsidTr="00AE533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627D00" w:rsidRDefault="001D41E8" w:rsidP="001D41E8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627D00">
              <w:rPr>
                <w:caps/>
                <w:sz w:val="16"/>
                <w:szCs w:val="16"/>
              </w:rPr>
              <w:t>Република Србија</w:t>
            </w:r>
            <w:r w:rsidRPr="00627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8140681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16746342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1100588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3432019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3608075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85,8</w:t>
            </w:r>
          </w:p>
        </w:tc>
      </w:tr>
      <w:tr w:rsidR="001D41E8" w:rsidRPr="00A45A9C" w:rsidTr="00AE533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A45A9C" w:rsidRDefault="001D41E8" w:rsidP="001D41E8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45A9C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5319942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10796707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620034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2312061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2387847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84,3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91,5</w:t>
            </w:r>
          </w:p>
        </w:tc>
      </w:tr>
      <w:tr w:rsidR="001D41E8" w:rsidRPr="00A45A9C" w:rsidTr="00AE533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A45A9C" w:rsidRDefault="001D41E8" w:rsidP="001D41E8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3821110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7761970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418654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1657923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1744533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91,6</w:t>
            </w:r>
          </w:p>
        </w:tc>
      </w:tr>
      <w:tr w:rsidR="001D41E8" w:rsidRPr="00A45A9C" w:rsidTr="00AE533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A45A9C" w:rsidRDefault="001D41E8" w:rsidP="001D41E8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1498832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3034737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201380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654139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643313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91,2</w:t>
            </w:r>
          </w:p>
        </w:tc>
      </w:tr>
      <w:tr w:rsidR="001D41E8" w:rsidRPr="00A45A9C" w:rsidTr="00AE533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A45A9C" w:rsidRDefault="001D41E8" w:rsidP="001D41E8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2820740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5949635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480554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1119957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1220228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77,2</w:t>
            </w:r>
          </w:p>
        </w:tc>
      </w:tr>
      <w:tr w:rsidR="001D41E8" w:rsidRPr="00A45A9C" w:rsidTr="00AE5330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A45A9C" w:rsidRDefault="001D41E8" w:rsidP="001D41E8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1549924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3291712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308309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613051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628564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71,0</w:t>
            </w:r>
          </w:p>
        </w:tc>
      </w:tr>
      <w:tr w:rsidR="001D41E8" w:rsidRPr="00A45A9C" w:rsidTr="00AE5330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A45A9C" w:rsidRDefault="001D41E8" w:rsidP="001D41E8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1270816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2657924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172246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506906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591664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1E8" w:rsidRPr="001D41E8" w:rsidRDefault="001D41E8" w:rsidP="00B812A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1D41E8">
              <w:rPr>
                <w:color w:val="000000"/>
                <w:sz w:val="16"/>
                <w:szCs w:val="16"/>
              </w:rPr>
              <w:t>86,7</w:t>
            </w:r>
          </w:p>
        </w:tc>
      </w:tr>
      <w:tr w:rsidR="001D41E8" w:rsidRPr="00A45A9C" w:rsidTr="00874A8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D41E8" w:rsidRPr="00A45A9C" w:rsidRDefault="001D41E8" w:rsidP="001D41E8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D41E8" w:rsidRPr="00A45A9C" w:rsidRDefault="001D41E8" w:rsidP="00B812A1">
            <w:pPr>
              <w:spacing w:before="40" w:after="40"/>
              <w:ind w:right="113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1D41E8" w:rsidRPr="00A45A9C" w:rsidRDefault="001D41E8" w:rsidP="00B812A1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1D41E8" w:rsidRPr="00A45A9C" w:rsidRDefault="001D41E8" w:rsidP="00B812A1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1D41E8" w:rsidRPr="00A45A9C" w:rsidRDefault="001D41E8" w:rsidP="00B812A1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1D41E8" w:rsidRPr="00A45A9C" w:rsidRDefault="001D41E8" w:rsidP="00B812A1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1D41E8" w:rsidRPr="00A45A9C" w:rsidRDefault="001D41E8" w:rsidP="00B812A1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1D41E8" w:rsidRPr="00A45A9C" w:rsidRDefault="001D41E8" w:rsidP="00B812A1">
            <w:pPr>
              <w:spacing w:before="40" w:after="40"/>
              <w:ind w:right="113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</w:tr>
    </w:tbl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t xml:space="preserve">2. </w:t>
      </w:r>
      <w:r w:rsidRPr="00A45A9C">
        <w:rPr>
          <w:lang w:val="sr-Cyrl-CS"/>
        </w:rPr>
        <w:t>Промет по групама производа</w:t>
      </w:r>
    </w:p>
    <w:p w:rsidR="00070DA7" w:rsidRDefault="00070DA7" w:rsidP="00070DA7">
      <w:pPr>
        <w:spacing w:line="216" w:lineRule="auto"/>
        <w:rPr>
          <w:b/>
          <w:bCs/>
          <w:sz w:val="16"/>
          <w:szCs w:val="16"/>
          <w:lang w:val="sr-Cyrl-RS"/>
        </w:rPr>
      </w:pPr>
      <w:r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8F6AC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>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  <w:r w:rsidRPr="00A45A9C">
              <w:rPr>
                <w:sz w:val="16"/>
                <w:szCs w:val="16"/>
                <w:lang w:val="ru-RU"/>
              </w:rPr>
              <w:t>,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 w:rsidTr="008F6AC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7E1409" w:rsidP="009E60A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2C5A11">
              <w:rPr>
                <w:sz w:val="16"/>
                <w:szCs w:val="16"/>
              </w:rPr>
              <w:t>I</w:t>
            </w:r>
            <w:r w:rsidR="00DF6648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E349CD" w:rsidP="009E60A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7E1409">
              <w:rPr>
                <w:sz w:val="16"/>
                <w:szCs w:val="16"/>
              </w:rPr>
              <w:t>V</w:t>
            </w:r>
            <w:r w:rsidR="002C5A11">
              <w:rPr>
                <w:sz w:val="16"/>
                <w:szCs w:val="16"/>
              </w:rPr>
              <w:t>I</w:t>
            </w:r>
            <w:r w:rsidR="00DF6648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7E1409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IV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</w:t>
            </w:r>
            <w:r w:rsidR="002C5A11">
              <w:rPr>
                <w:sz w:val="16"/>
                <w:szCs w:val="16"/>
                <w:u w:val="single"/>
              </w:rPr>
              <w:t>I</w:t>
            </w:r>
            <w:r w:rsidR="00DF6648">
              <w:rPr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E349CD" w:rsidRPr="009E60A6" w:rsidRDefault="007E1409" w:rsidP="009E60A6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IV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2C5A11">
              <w:rPr>
                <w:sz w:val="16"/>
                <w:szCs w:val="16"/>
              </w:rPr>
              <w:t>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DF6648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7E1409">
              <w:rPr>
                <w:sz w:val="16"/>
                <w:szCs w:val="16"/>
                <w:u w:val="single"/>
              </w:rPr>
              <w:t>V</w:t>
            </w:r>
            <w:r w:rsidR="002C5A11">
              <w:rPr>
                <w:sz w:val="16"/>
                <w:szCs w:val="16"/>
                <w:u w:val="single"/>
              </w:rPr>
              <w:t>I</w:t>
            </w:r>
            <w:r w:rsidR="00DF6648">
              <w:rPr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E349CD" w:rsidRPr="009E60A6" w:rsidRDefault="00E349CD" w:rsidP="009E60A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7E1409">
              <w:rPr>
                <w:sz w:val="16"/>
                <w:szCs w:val="16"/>
              </w:rPr>
              <w:t>V</w:t>
            </w:r>
            <w:r w:rsidR="002C5A11">
              <w:rPr>
                <w:sz w:val="16"/>
                <w:szCs w:val="16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DF6648">
              <w:rPr>
                <w:sz w:val="16"/>
                <w:szCs w:val="16"/>
              </w:rPr>
              <w:t>9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BF2387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8E57E6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IV</w:t>
            </w:r>
            <w:r w:rsidR="00DF6648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E349CD" w:rsidRPr="00A45A9C" w:rsidRDefault="008E57E6" w:rsidP="009E60A6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IV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DF6648">
              <w:rPr>
                <w:position w:val="-12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8E57E6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DF6648">
              <w:rPr>
                <w:position w:val="-12"/>
                <w:sz w:val="16"/>
                <w:szCs w:val="16"/>
                <w:u w:val="single"/>
              </w:rPr>
              <w:t>2020</w:t>
            </w:r>
          </w:p>
          <w:p w:rsidR="00E349CD" w:rsidRPr="00A45A9C" w:rsidRDefault="008E57E6" w:rsidP="009E60A6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 w:rsidR="00DF6648">
              <w:rPr>
                <w:position w:val="-12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8E57E6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DF6648">
              <w:rPr>
                <w:position w:val="-12"/>
                <w:sz w:val="16"/>
                <w:szCs w:val="16"/>
                <w:u w:val="single"/>
              </w:rPr>
              <w:t xml:space="preserve"> 2020</w:t>
            </w:r>
          </w:p>
          <w:p w:rsidR="00E349CD" w:rsidRPr="00A45A9C" w:rsidRDefault="008E57E6" w:rsidP="009E60A6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2C5A11">
              <w:rPr>
                <w:position w:val="-12"/>
                <w:sz w:val="16"/>
                <w:szCs w:val="16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DF6648">
              <w:rPr>
                <w:position w:val="-12"/>
                <w:sz w:val="16"/>
                <w:szCs w:val="16"/>
              </w:rPr>
              <w:t>9</w:t>
            </w:r>
          </w:p>
        </w:tc>
      </w:tr>
      <w:tr w:rsidR="00E349CD" w:rsidRPr="00A45A9C" w:rsidTr="00060593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185860" w:rsidRDefault="00E349CD" w:rsidP="00D25F1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A45A9C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060593" w:rsidRPr="00627D00" w:rsidTr="0006059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0593" w:rsidRPr="00352F5C" w:rsidRDefault="00060593" w:rsidP="00060593">
            <w:pPr>
              <w:rPr>
                <w:b/>
                <w:bCs/>
                <w:sz w:val="16"/>
                <w:szCs w:val="16"/>
                <w:lang w:val="sr-Cyrl-RS"/>
              </w:rPr>
            </w:pPr>
            <w:r w:rsidRPr="00352F5C">
              <w:rPr>
                <w:b/>
                <w:lang w:val="sr-Cyrl-CS"/>
              </w:rPr>
              <w:t>Укупно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593" w:rsidRPr="00957DBB" w:rsidRDefault="00060593" w:rsidP="00B812A1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957DBB">
              <w:rPr>
                <w:b/>
                <w:color w:val="000000"/>
                <w:sz w:val="16"/>
                <w:szCs w:val="16"/>
              </w:rPr>
              <w:t>8140681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593" w:rsidRPr="00957DBB" w:rsidRDefault="00060593" w:rsidP="00B812A1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957DBB">
              <w:rPr>
                <w:b/>
                <w:color w:val="000000"/>
                <w:sz w:val="16"/>
                <w:szCs w:val="16"/>
              </w:rPr>
              <w:t>16746342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0593" w:rsidRPr="00957DBB" w:rsidRDefault="00060593" w:rsidP="00B812A1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957DBB">
              <w:rPr>
                <w:b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593" w:rsidRPr="00957DBB" w:rsidRDefault="00060593" w:rsidP="00B812A1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957DBB">
              <w:rPr>
                <w:b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593" w:rsidRPr="00957DBB" w:rsidRDefault="00060593" w:rsidP="00B812A1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957DBB">
              <w:rPr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593" w:rsidRPr="00957DBB" w:rsidRDefault="00060593" w:rsidP="00B812A1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957DBB">
              <w:rPr>
                <w:b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593" w:rsidRPr="00957DBB" w:rsidRDefault="00060593" w:rsidP="00B812A1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957DBB">
              <w:rPr>
                <w:b/>
                <w:color w:val="000000"/>
                <w:sz w:val="16"/>
                <w:szCs w:val="16"/>
              </w:rPr>
              <w:t>92,7</w:t>
            </w:r>
          </w:p>
        </w:tc>
      </w:tr>
      <w:tr w:rsidR="00FD256B" w:rsidRPr="00185860" w:rsidTr="00BF2387">
        <w:trPr>
          <w:gridAfter w:val="5"/>
          <w:wAfter w:w="5650" w:type="dxa"/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185860" w:rsidRDefault="00FD256B" w:rsidP="00FD256B">
            <w:pPr>
              <w:rPr>
                <w:b/>
                <w:sz w:val="8"/>
                <w:szCs w:val="8"/>
                <w:lang w:val="sr-Cyrl-C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185860" w:rsidRDefault="00FD256B" w:rsidP="00B812A1">
            <w:pPr>
              <w:ind w:right="170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185860" w:rsidRDefault="00FD256B" w:rsidP="00B812A1">
            <w:pPr>
              <w:ind w:right="170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73191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172533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62,7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80,8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2685473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4809688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86,3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1828508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3380083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74021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294026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1075934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2291805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97,6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1043527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2489226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84,2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156055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381746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614916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1611768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67570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179465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FD256B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D256B" w:rsidRPr="00A45A9C" w:rsidRDefault="00FD256B" w:rsidP="00FD256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521485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1136002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0" w:type="dxa"/>
            <w:vAlign w:val="center"/>
          </w:tcPr>
          <w:p w:rsidR="00FD256B" w:rsidRPr="00FD256B" w:rsidRDefault="00FD256B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106,4</w:t>
            </w:r>
          </w:p>
        </w:tc>
      </w:tr>
    </w:tbl>
    <w:p w:rsidR="00E349CD" w:rsidRPr="00A45A9C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583FA0" w:rsidRPr="00A45A9C" w:rsidRDefault="00583FA0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lastRenderedPageBreak/>
        <w:t xml:space="preserve">3. </w:t>
      </w:r>
      <w:r w:rsidRPr="00A45A9C">
        <w:rPr>
          <w:lang w:val="sr-Cyrl-CS"/>
        </w:rPr>
        <w:t>Промет изабраних производа</w:t>
      </w:r>
    </w:p>
    <w:p w:rsidR="00070DA7" w:rsidRDefault="00070DA7" w:rsidP="00070DA7">
      <w:pPr>
        <w:spacing w:line="216" w:lineRule="auto"/>
        <w:rPr>
          <w:b/>
          <w:bCs/>
          <w:sz w:val="16"/>
          <w:szCs w:val="16"/>
          <w:lang w:val="sr-Cyrl-RS"/>
        </w:rPr>
      </w:pPr>
      <w:r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800D3E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333BD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Количине</w:t>
            </w:r>
            <w:r w:rsidRPr="00A45A9C">
              <w:rPr>
                <w:sz w:val="16"/>
                <w:szCs w:val="16"/>
                <w:lang w:val="ru-RU"/>
              </w:rPr>
              <w:t>,</w:t>
            </w:r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  <w:r w:rsidR="00333BDF" w:rsidRPr="00A45A9C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A45A9C" w:rsidTr="00800D3E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2F6B8E" w:rsidP="009E60A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4C48DE">
              <w:rPr>
                <w:sz w:val="16"/>
                <w:szCs w:val="16"/>
              </w:rPr>
              <w:t>I</w:t>
            </w:r>
            <w:r w:rsidR="00C41A2E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E349CD" w:rsidP="009E60A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2F6B8E">
              <w:rPr>
                <w:sz w:val="16"/>
                <w:szCs w:val="16"/>
              </w:rPr>
              <w:t>V</w:t>
            </w:r>
            <w:r w:rsidR="004C48DE">
              <w:rPr>
                <w:sz w:val="16"/>
                <w:szCs w:val="16"/>
              </w:rPr>
              <w:t>I</w:t>
            </w:r>
            <w:r w:rsidR="00C41A2E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2F6B8E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IV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</w:t>
            </w:r>
            <w:r w:rsidR="004C48DE">
              <w:rPr>
                <w:sz w:val="16"/>
                <w:szCs w:val="16"/>
                <w:u w:val="single"/>
              </w:rPr>
              <w:t>I</w:t>
            </w:r>
            <w:r w:rsidR="00C41A2E">
              <w:rPr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E349CD" w:rsidRPr="009E60A6" w:rsidRDefault="002F6B8E" w:rsidP="009E60A6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IV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4C48DE">
              <w:rPr>
                <w:sz w:val="16"/>
                <w:szCs w:val="16"/>
              </w:rPr>
              <w:t>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C41A2E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2F6B8E">
              <w:rPr>
                <w:sz w:val="16"/>
                <w:szCs w:val="16"/>
                <w:u w:val="single"/>
              </w:rPr>
              <w:t>V</w:t>
            </w:r>
            <w:r w:rsidR="004C48DE">
              <w:rPr>
                <w:sz w:val="16"/>
                <w:szCs w:val="16"/>
                <w:u w:val="single"/>
              </w:rPr>
              <w:t>I</w:t>
            </w:r>
            <w:r w:rsidR="00C41A2E">
              <w:rPr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E349CD" w:rsidRPr="009E60A6" w:rsidRDefault="00E349CD" w:rsidP="009E60A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2F6B8E">
              <w:rPr>
                <w:sz w:val="16"/>
                <w:szCs w:val="16"/>
              </w:rPr>
              <w:t>V</w:t>
            </w:r>
            <w:r w:rsidR="004C48DE">
              <w:rPr>
                <w:sz w:val="16"/>
                <w:szCs w:val="16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C41A2E">
              <w:rPr>
                <w:sz w:val="16"/>
                <w:szCs w:val="16"/>
              </w:rPr>
              <w:t>9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716349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FD53E5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IV</w:t>
            </w:r>
            <w:r w:rsidR="00C41A2E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2020</w:t>
            </w:r>
          </w:p>
          <w:p w:rsidR="00E349CD" w:rsidRPr="009E60A6" w:rsidRDefault="00FD53E5" w:rsidP="009E60A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IV</w:t>
            </w:r>
            <w:r w:rsidR="00E349CD" w:rsidRPr="00A45A9C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 w:rsidR="00C41A2E">
              <w:rPr>
                <w:position w:val="-12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E60A6" w:rsidRDefault="00FD53E5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C41A2E">
              <w:rPr>
                <w:position w:val="-12"/>
                <w:sz w:val="16"/>
                <w:szCs w:val="16"/>
                <w:u w:val="single"/>
                <w:lang w:val="ru-RU"/>
              </w:rPr>
              <w:t>2020</w:t>
            </w:r>
          </w:p>
          <w:p w:rsidR="00E349CD" w:rsidRPr="00A45A9C" w:rsidRDefault="00FD53E5" w:rsidP="009E60A6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 w:rsidR="00C41A2E">
              <w:rPr>
                <w:position w:val="-12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FD53E5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A419F3">
              <w:rPr>
                <w:position w:val="-12"/>
                <w:sz w:val="16"/>
                <w:szCs w:val="16"/>
                <w:u w:val="single"/>
              </w:rPr>
              <w:t>I</w:t>
            </w:r>
            <w:r w:rsidR="00C41A2E">
              <w:rPr>
                <w:position w:val="-12"/>
                <w:sz w:val="16"/>
                <w:szCs w:val="16"/>
                <w:u w:val="single"/>
              </w:rPr>
              <w:t xml:space="preserve"> 2020</w:t>
            </w:r>
          </w:p>
          <w:p w:rsidR="00E349CD" w:rsidRPr="00A45A9C" w:rsidRDefault="00FD53E5" w:rsidP="009E60A6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A419F3">
              <w:rPr>
                <w:position w:val="-12"/>
                <w:sz w:val="16"/>
                <w:szCs w:val="16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C41A2E">
              <w:rPr>
                <w:position w:val="-12"/>
                <w:sz w:val="16"/>
                <w:szCs w:val="16"/>
              </w:rPr>
              <w:t>9</w:t>
            </w:r>
          </w:p>
        </w:tc>
      </w:tr>
      <w:tr w:rsidR="00A45A9C" w:rsidRPr="00A45A9C" w:rsidTr="0057103F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9C" w:rsidRPr="00A45A9C" w:rsidRDefault="00A45A9C" w:rsidP="00F23D10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A9C" w:rsidRPr="00A45A9C" w:rsidRDefault="00A45A9C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bookmarkStart w:id="0" w:name="_GoBack" w:colFirst="1" w:colLast="7"/>
            <w:r w:rsidRPr="00A45A9C">
              <w:rPr>
                <w:sz w:val="16"/>
                <w:szCs w:val="16"/>
                <w:lang w:val="sr-Cyrl-CS"/>
              </w:rPr>
              <w:t>Пшеница</w:t>
            </w:r>
            <w:r w:rsidRPr="00A45A9C">
              <w:rPr>
                <w:sz w:val="16"/>
                <w:szCs w:val="16"/>
              </w:rPr>
              <w:t xml:space="preserve"> </w:t>
            </w:r>
            <w:r w:rsidRPr="00A45A9C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76,5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81,7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80,1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98,2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5691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12691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92,6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115,1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Паприка, св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2504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82,8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2115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69,1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2215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4527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104,9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Шаргарепа (мрква)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3771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4918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3A1AB7" w:rsidRDefault="00E21D39" w:rsidP="00E21D39">
            <w:pPr>
              <w:spacing w:before="40" w:after="40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7494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71,5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Трешње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FD256B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FD256B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88491E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104,1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Јагоде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77,4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2869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30,7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97,9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59042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123261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95,8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4580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77,3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45A9C">
              <w:rPr>
                <w:sz w:val="16"/>
                <w:szCs w:val="16"/>
              </w:rPr>
              <w:t>m</w:t>
            </w:r>
            <w:r w:rsidRPr="00A45A9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92,0</w:t>
            </w:r>
          </w:p>
        </w:tc>
      </w:tr>
      <w:tr w:rsidR="00E21D39" w:rsidRPr="00A45A9C" w:rsidTr="00AE533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21D39" w:rsidRPr="00A45A9C" w:rsidRDefault="00E21D39" w:rsidP="00E21D3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39" w:rsidRPr="0057103F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57103F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39" w:rsidRPr="00E21D39" w:rsidRDefault="00E21D39" w:rsidP="00B812A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21D39">
              <w:rPr>
                <w:color w:val="000000"/>
                <w:sz w:val="16"/>
                <w:szCs w:val="16"/>
              </w:rPr>
              <w:t>99,7</w:t>
            </w:r>
          </w:p>
        </w:tc>
      </w:tr>
      <w:bookmarkEnd w:id="0"/>
    </w:tbl>
    <w:p w:rsidR="00E349CD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pStyle w:val="NaslovMetodologijaiNapomena"/>
        <w:rPr>
          <w:lang w:val="sr-Cyrl-CS"/>
        </w:rPr>
      </w:pPr>
      <w:r w:rsidRPr="00A45A9C">
        <w:rPr>
          <w:lang w:val="sr-Cyrl-CS"/>
        </w:rPr>
        <w:t>Методолошка објашњења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 xml:space="preserve">Подаци се </w:t>
      </w:r>
      <w:r w:rsidR="00BB61B6" w:rsidRPr="00A45A9C">
        <w:rPr>
          <w:lang w:val="ru-RU"/>
        </w:rPr>
        <w:t xml:space="preserve">прикупљају </w:t>
      </w:r>
      <w:r w:rsidRPr="00A45A9C">
        <w:rPr>
          <w:lang w:val="ru-RU"/>
        </w:rPr>
        <w:t>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 </w:t>
      </w:r>
      <w:r w:rsidR="00BB61B6" w:rsidRPr="00A45A9C">
        <w:rPr>
          <w:lang w:val="sr-Cyrl-CS"/>
        </w:rPr>
        <w:t>овом с</w:t>
      </w:r>
      <w:r w:rsidRPr="00A45A9C">
        <w:rPr>
          <w:lang w:val="ru-RU"/>
        </w:rPr>
        <w:t>аопштењ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. </w:t>
      </w:r>
    </w:p>
    <w:p w:rsidR="00E349CD" w:rsidRPr="00A45A9C" w:rsidRDefault="00E349CD" w:rsidP="00A45A9C">
      <w:pPr>
        <w:pStyle w:val="TekstMetodologijaiNapomena"/>
        <w:spacing w:after="120"/>
        <w:ind w:firstLine="403"/>
      </w:pPr>
      <w:r w:rsidRPr="00A45A9C">
        <w:t xml:space="preserve"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r w:rsidR="00C87C8D">
        <w:rPr>
          <w:color w:val="000000"/>
          <w:lang w:val="sr-Cyrl-CS"/>
        </w:rPr>
        <w:t xml:space="preserve">: </w:t>
      </w:r>
      <w:hyperlink r:id="rId10" w:history="1">
        <w:r w:rsidR="00C87C8D" w:rsidRPr="0034550E">
          <w:rPr>
            <w:rStyle w:val="Hyperlink"/>
            <w:rFonts w:cs="Arial"/>
            <w:lang w:val="sr-Cyrl-CS"/>
          </w:rPr>
          <w:t>http://www.stat.gov.rs/istrazivanja/methodology-and-documents/?a=21&amp;s=0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A45A9C" w:rsidRPr="00957DBB" w:rsidTr="00716349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45A9C" w:rsidRDefault="00A45A9C" w:rsidP="00716349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slavica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jotanovic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sz w:val="18"/>
                  <w:szCs w:val="18"/>
                </w:rPr>
                <w:t>stat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gov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0A2DA7">
              <w:rPr>
                <w:i/>
                <w:iCs/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тел.: 011 2412-922, локал 330</w:t>
            </w:r>
          </w:p>
          <w:p w:rsidR="00A45A9C" w:rsidRPr="00957DBB" w:rsidRDefault="00A45A9C" w:rsidP="00716349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A45A9C" w:rsidRPr="00EC4507" w:rsidRDefault="00A45A9C" w:rsidP="00716349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349CD" w:rsidRPr="00A45A9C" w:rsidRDefault="00E349CD" w:rsidP="006A7E8E">
      <w:pPr>
        <w:rPr>
          <w:lang w:val="sr-Latn-CS"/>
        </w:rPr>
      </w:pPr>
    </w:p>
    <w:sectPr w:rsidR="00E349CD" w:rsidRPr="00A45A9C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BB" w:rsidRDefault="000565BB">
      <w:r>
        <w:separator/>
      </w:r>
    </w:p>
  </w:endnote>
  <w:endnote w:type="continuationSeparator" w:id="0">
    <w:p w:rsidR="000565BB" w:rsidRDefault="0005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9"/>
      <w:gridCol w:w="5058"/>
    </w:tblGrid>
    <w:tr w:rsidR="00AE5330">
      <w:tc>
        <w:tcPr>
          <w:tcW w:w="5210" w:type="dxa"/>
          <w:tcBorders>
            <w:bottom w:val="nil"/>
            <w:right w:val="nil"/>
          </w:tcBorders>
        </w:tcPr>
        <w:p w:rsidR="00AE5330" w:rsidRPr="00851E70" w:rsidRDefault="00AE5330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B812A1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5330" w:rsidRPr="000A1BEB" w:rsidRDefault="008174E0" w:rsidP="00690CC5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СРБ235</w:t>
          </w:r>
          <w:r w:rsidR="00AE5330" w:rsidRPr="00851E70">
            <w:rPr>
              <w:sz w:val="16"/>
              <w:szCs w:val="16"/>
            </w:rPr>
            <w:t xml:space="preserve"> ПМ1</w:t>
          </w:r>
          <w:r w:rsidR="00AE5330">
            <w:rPr>
              <w:sz w:val="16"/>
              <w:szCs w:val="16"/>
              <w:lang w:val="sr-Cyrl-RS"/>
            </w:rPr>
            <w:t>3</w:t>
          </w:r>
          <w:r w:rsidR="00AE5330" w:rsidRPr="00851E70">
            <w:rPr>
              <w:sz w:val="16"/>
              <w:szCs w:val="16"/>
            </w:rPr>
            <w:t xml:space="preserve"> </w:t>
          </w:r>
          <w:r w:rsidR="00AE5330" w:rsidRPr="00851E70">
            <w:rPr>
              <w:sz w:val="16"/>
              <w:szCs w:val="16"/>
              <w:lang w:val="sr-Cyrl-CS"/>
            </w:rPr>
            <w:t>0</w:t>
          </w:r>
          <w:r w:rsidR="00AE5330">
            <w:rPr>
              <w:sz w:val="16"/>
              <w:szCs w:val="16"/>
            </w:rPr>
            <w:t>109</w:t>
          </w:r>
          <w:r w:rsidR="00AE5330">
            <w:rPr>
              <w:sz w:val="16"/>
              <w:szCs w:val="16"/>
              <w:lang w:val="sr-Cyrl-CS"/>
            </w:rPr>
            <w:t>20</w:t>
          </w:r>
        </w:p>
      </w:tc>
    </w:tr>
  </w:tbl>
  <w:p w:rsidR="00AE5330" w:rsidRPr="008B4C5A" w:rsidRDefault="00AE533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54"/>
      <w:gridCol w:w="5043"/>
    </w:tblGrid>
    <w:tr w:rsidR="00AE5330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5330" w:rsidRPr="00851E70" w:rsidRDefault="00AE5330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5330" w:rsidRPr="00851E70" w:rsidRDefault="00AE5330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957DBB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5330" w:rsidRDefault="00AE53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BB" w:rsidRDefault="000565BB">
      <w:r>
        <w:separator/>
      </w:r>
    </w:p>
  </w:footnote>
  <w:footnote w:type="continuationSeparator" w:id="0">
    <w:p w:rsidR="000565BB" w:rsidRDefault="0005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000C"/>
    <w:rsid w:val="000049E7"/>
    <w:rsid w:val="0002113F"/>
    <w:rsid w:val="00021C9B"/>
    <w:rsid w:val="000325B6"/>
    <w:rsid w:val="00032EC0"/>
    <w:rsid w:val="000333D6"/>
    <w:rsid w:val="0003589F"/>
    <w:rsid w:val="0003593D"/>
    <w:rsid w:val="00036343"/>
    <w:rsid w:val="00043048"/>
    <w:rsid w:val="000466CD"/>
    <w:rsid w:val="000541D7"/>
    <w:rsid w:val="000565BB"/>
    <w:rsid w:val="00060593"/>
    <w:rsid w:val="000666D5"/>
    <w:rsid w:val="00070DA7"/>
    <w:rsid w:val="00077562"/>
    <w:rsid w:val="00084869"/>
    <w:rsid w:val="0009330F"/>
    <w:rsid w:val="00095DBF"/>
    <w:rsid w:val="000A1BEB"/>
    <w:rsid w:val="000A2DA7"/>
    <w:rsid w:val="000A36AF"/>
    <w:rsid w:val="000A3E3C"/>
    <w:rsid w:val="000A4135"/>
    <w:rsid w:val="000A77F5"/>
    <w:rsid w:val="000B044A"/>
    <w:rsid w:val="000B0E42"/>
    <w:rsid w:val="000B20CE"/>
    <w:rsid w:val="000B3EB9"/>
    <w:rsid w:val="000B7B0F"/>
    <w:rsid w:val="000C0D55"/>
    <w:rsid w:val="000D359E"/>
    <w:rsid w:val="000D481B"/>
    <w:rsid w:val="000E2855"/>
    <w:rsid w:val="000E36C9"/>
    <w:rsid w:val="000E5ECC"/>
    <w:rsid w:val="000F28F8"/>
    <w:rsid w:val="000F6FDA"/>
    <w:rsid w:val="001034CA"/>
    <w:rsid w:val="001057A8"/>
    <w:rsid w:val="00110976"/>
    <w:rsid w:val="00120DC5"/>
    <w:rsid w:val="001245F5"/>
    <w:rsid w:val="00125BDE"/>
    <w:rsid w:val="00130F39"/>
    <w:rsid w:val="0013215A"/>
    <w:rsid w:val="00134DA3"/>
    <w:rsid w:val="001350DA"/>
    <w:rsid w:val="0014018B"/>
    <w:rsid w:val="00142E44"/>
    <w:rsid w:val="0014306F"/>
    <w:rsid w:val="00144FF8"/>
    <w:rsid w:val="00147B71"/>
    <w:rsid w:val="001536EE"/>
    <w:rsid w:val="00153F73"/>
    <w:rsid w:val="00155FFD"/>
    <w:rsid w:val="0015651E"/>
    <w:rsid w:val="00161605"/>
    <w:rsid w:val="00161C21"/>
    <w:rsid w:val="00164C52"/>
    <w:rsid w:val="00165B24"/>
    <w:rsid w:val="00171067"/>
    <w:rsid w:val="00174E1D"/>
    <w:rsid w:val="001807DA"/>
    <w:rsid w:val="00181443"/>
    <w:rsid w:val="00182500"/>
    <w:rsid w:val="00185860"/>
    <w:rsid w:val="0019728B"/>
    <w:rsid w:val="001A38FE"/>
    <w:rsid w:val="001A6E3D"/>
    <w:rsid w:val="001A7340"/>
    <w:rsid w:val="001C5785"/>
    <w:rsid w:val="001D18D0"/>
    <w:rsid w:val="001D30C5"/>
    <w:rsid w:val="001D41E8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5792"/>
    <w:rsid w:val="0024632B"/>
    <w:rsid w:val="002502DD"/>
    <w:rsid w:val="00251146"/>
    <w:rsid w:val="00252723"/>
    <w:rsid w:val="002577D1"/>
    <w:rsid w:val="00260FDC"/>
    <w:rsid w:val="00266953"/>
    <w:rsid w:val="00270F98"/>
    <w:rsid w:val="00273FAA"/>
    <w:rsid w:val="00275BC2"/>
    <w:rsid w:val="002809E1"/>
    <w:rsid w:val="00280BFB"/>
    <w:rsid w:val="00285344"/>
    <w:rsid w:val="0029206E"/>
    <w:rsid w:val="002B6B10"/>
    <w:rsid w:val="002B6ED7"/>
    <w:rsid w:val="002B7667"/>
    <w:rsid w:val="002C56C8"/>
    <w:rsid w:val="002C5A11"/>
    <w:rsid w:val="002C6D2D"/>
    <w:rsid w:val="002D2751"/>
    <w:rsid w:val="002D6C12"/>
    <w:rsid w:val="002E16C8"/>
    <w:rsid w:val="002E46D9"/>
    <w:rsid w:val="002E747E"/>
    <w:rsid w:val="002F0B3F"/>
    <w:rsid w:val="002F3EE3"/>
    <w:rsid w:val="002F6B8E"/>
    <w:rsid w:val="003067F4"/>
    <w:rsid w:val="003115F8"/>
    <w:rsid w:val="00326566"/>
    <w:rsid w:val="00333BDF"/>
    <w:rsid w:val="0033671C"/>
    <w:rsid w:val="00341429"/>
    <w:rsid w:val="003424A9"/>
    <w:rsid w:val="0034563F"/>
    <w:rsid w:val="003472A6"/>
    <w:rsid w:val="00347334"/>
    <w:rsid w:val="00347A90"/>
    <w:rsid w:val="00347D5F"/>
    <w:rsid w:val="00351F93"/>
    <w:rsid w:val="00352F5C"/>
    <w:rsid w:val="003557FA"/>
    <w:rsid w:val="003722CC"/>
    <w:rsid w:val="00374A53"/>
    <w:rsid w:val="00375FF5"/>
    <w:rsid w:val="00387837"/>
    <w:rsid w:val="003A1834"/>
    <w:rsid w:val="003A1AB7"/>
    <w:rsid w:val="003A1C4A"/>
    <w:rsid w:val="003A2F46"/>
    <w:rsid w:val="003B7A9F"/>
    <w:rsid w:val="003C3639"/>
    <w:rsid w:val="003C4653"/>
    <w:rsid w:val="003D26F5"/>
    <w:rsid w:val="003D3BAD"/>
    <w:rsid w:val="003D7789"/>
    <w:rsid w:val="003E06F2"/>
    <w:rsid w:val="003E3C34"/>
    <w:rsid w:val="003F5EF0"/>
    <w:rsid w:val="003F6336"/>
    <w:rsid w:val="004105FD"/>
    <w:rsid w:val="00412E9F"/>
    <w:rsid w:val="0041739D"/>
    <w:rsid w:val="00420CDE"/>
    <w:rsid w:val="00422A1D"/>
    <w:rsid w:val="004272AA"/>
    <w:rsid w:val="004304D4"/>
    <w:rsid w:val="00432985"/>
    <w:rsid w:val="00432F75"/>
    <w:rsid w:val="004340E6"/>
    <w:rsid w:val="00442BCC"/>
    <w:rsid w:val="004432A9"/>
    <w:rsid w:val="00444D76"/>
    <w:rsid w:val="0045366F"/>
    <w:rsid w:val="004544B1"/>
    <w:rsid w:val="0045451B"/>
    <w:rsid w:val="00457DFC"/>
    <w:rsid w:val="00464DDB"/>
    <w:rsid w:val="00473D3F"/>
    <w:rsid w:val="00482D4A"/>
    <w:rsid w:val="00483EFF"/>
    <w:rsid w:val="00491FCB"/>
    <w:rsid w:val="00492925"/>
    <w:rsid w:val="004946DA"/>
    <w:rsid w:val="004958A5"/>
    <w:rsid w:val="004A0828"/>
    <w:rsid w:val="004A153D"/>
    <w:rsid w:val="004A54AA"/>
    <w:rsid w:val="004A6F58"/>
    <w:rsid w:val="004A722B"/>
    <w:rsid w:val="004B09D0"/>
    <w:rsid w:val="004C48DE"/>
    <w:rsid w:val="004D133C"/>
    <w:rsid w:val="004E266D"/>
    <w:rsid w:val="004E3DC6"/>
    <w:rsid w:val="004E5ADD"/>
    <w:rsid w:val="004E5C37"/>
    <w:rsid w:val="004E5CCD"/>
    <w:rsid w:val="004F2350"/>
    <w:rsid w:val="004F4876"/>
    <w:rsid w:val="004F4A78"/>
    <w:rsid w:val="00501EC0"/>
    <w:rsid w:val="00502DAA"/>
    <w:rsid w:val="00505E38"/>
    <w:rsid w:val="005062DF"/>
    <w:rsid w:val="0051008C"/>
    <w:rsid w:val="00514DCC"/>
    <w:rsid w:val="0052764B"/>
    <w:rsid w:val="0053508C"/>
    <w:rsid w:val="005452E1"/>
    <w:rsid w:val="005454BE"/>
    <w:rsid w:val="00545B8B"/>
    <w:rsid w:val="00545B96"/>
    <w:rsid w:val="005579B7"/>
    <w:rsid w:val="005601C0"/>
    <w:rsid w:val="005605E2"/>
    <w:rsid w:val="00560DC7"/>
    <w:rsid w:val="00567595"/>
    <w:rsid w:val="0057103F"/>
    <w:rsid w:val="005719B8"/>
    <w:rsid w:val="00576F87"/>
    <w:rsid w:val="00577B5B"/>
    <w:rsid w:val="00581191"/>
    <w:rsid w:val="00582128"/>
    <w:rsid w:val="005825C8"/>
    <w:rsid w:val="0058336E"/>
    <w:rsid w:val="005833EB"/>
    <w:rsid w:val="00583FA0"/>
    <w:rsid w:val="0058536C"/>
    <w:rsid w:val="005901E0"/>
    <w:rsid w:val="00591F3B"/>
    <w:rsid w:val="00596A18"/>
    <w:rsid w:val="00597197"/>
    <w:rsid w:val="00597980"/>
    <w:rsid w:val="005A157A"/>
    <w:rsid w:val="005A5F8C"/>
    <w:rsid w:val="005C10E4"/>
    <w:rsid w:val="005C4034"/>
    <w:rsid w:val="005D036B"/>
    <w:rsid w:val="005D3EE5"/>
    <w:rsid w:val="005D4364"/>
    <w:rsid w:val="005D5829"/>
    <w:rsid w:val="005E1DCB"/>
    <w:rsid w:val="005F408E"/>
    <w:rsid w:val="005F50CE"/>
    <w:rsid w:val="0060252D"/>
    <w:rsid w:val="006132A8"/>
    <w:rsid w:val="00613C6A"/>
    <w:rsid w:val="00617AFC"/>
    <w:rsid w:val="006203B6"/>
    <w:rsid w:val="006213CF"/>
    <w:rsid w:val="006247F0"/>
    <w:rsid w:val="00624E41"/>
    <w:rsid w:val="00626DB8"/>
    <w:rsid w:val="00627D00"/>
    <w:rsid w:val="00627E99"/>
    <w:rsid w:val="00631F76"/>
    <w:rsid w:val="006345C4"/>
    <w:rsid w:val="00635C53"/>
    <w:rsid w:val="00636AA7"/>
    <w:rsid w:val="00636BC6"/>
    <w:rsid w:val="00652537"/>
    <w:rsid w:val="00653260"/>
    <w:rsid w:val="00657F85"/>
    <w:rsid w:val="0066083D"/>
    <w:rsid w:val="00663312"/>
    <w:rsid w:val="006646F5"/>
    <w:rsid w:val="0067119B"/>
    <w:rsid w:val="00671E4A"/>
    <w:rsid w:val="00675976"/>
    <w:rsid w:val="00677A51"/>
    <w:rsid w:val="0068218B"/>
    <w:rsid w:val="00686881"/>
    <w:rsid w:val="00690CC5"/>
    <w:rsid w:val="00690CEB"/>
    <w:rsid w:val="006A2B4A"/>
    <w:rsid w:val="006A32A3"/>
    <w:rsid w:val="006A7E8E"/>
    <w:rsid w:val="006B015A"/>
    <w:rsid w:val="006B7517"/>
    <w:rsid w:val="006C078D"/>
    <w:rsid w:val="006C732B"/>
    <w:rsid w:val="006D5E3B"/>
    <w:rsid w:val="006E5DB8"/>
    <w:rsid w:val="006E6132"/>
    <w:rsid w:val="006E7AF4"/>
    <w:rsid w:val="006F35D2"/>
    <w:rsid w:val="006F54AD"/>
    <w:rsid w:val="006F57A5"/>
    <w:rsid w:val="00703376"/>
    <w:rsid w:val="0071202C"/>
    <w:rsid w:val="007153FE"/>
    <w:rsid w:val="00716349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74D37"/>
    <w:rsid w:val="00776B8C"/>
    <w:rsid w:val="00780889"/>
    <w:rsid w:val="0078146A"/>
    <w:rsid w:val="0078342C"/>
    <w:rsid w:val="0078620F"/>
    <w:rsid w:val="00790C37"/>
    <w:rsid w:val="007931B9"/>
    <w:rsid w:val="00793B96"/>
    <w:rsid w:val="007A1B53"/>
    <w:rsid w:val="007A2476"/>
    <w:rsid w:val="007A551E"/>
    <w:rsid w:val="007B1EF2"/>
    <w:rsid w:val="007D1F86"/>
    <w:rsid w:val="007D380F"/>
    <w:rsid w:val="007D410C"/>
    <w:rsid w:val="007D4AF9"/>
    <w:rsid w:val="007E0116"/>
    <w:rsid w:val="007E1409"/>
    <w:rsid w:val="007E2782"/>
    <w:rsid w:val="007E2BD1"/>
    <w:rsid w:val="007E3FD2"/>
    <w:rsid w:val="007E4DB4"/>
    <w:rsid w:val="007E6D21"/>
    <w:rsid w:val="007E6E68"/>
    <w:rsid w:val="007F1EB5"/>
    <w:rsid w:val="007F63EA"/>
    <w:rsid w:val="00800D3E"/>
    <w:rsid w:val="00805C37"/>
    <w:rsid w:val="008174D7"/>
    <w:rsid w:val="008174E0"/>
    <w:rsid w:val="00821315"/>
    <w:rsid w:val="008230BA"/>
    <w:rsid w:val="00824B70"/>
    <w:rsid w:val="008256E8"/>
    <w:rsid w:val="00826967"/>
    <w:rsid w:val="00831D6D"/>
    <w:rsid w:val="008335AA"/>
    <w:rsid w:val="00835207"/>
    <w:rsid w:val="008363AD"/>
    <w:rsid w:val="00836CD9"/>
    <w:rsid w:val="008517FC"/>
    <w:rsid w:val="00851E70"/>
    <w:rsid w:val="0086116D"/>
    <w:rsid w:val="00865950"/>
    <w:rsid w:val="00866946"/>
    <w:rsid w:val="00867AC5"/>
    <w:rsid w:val="00871541"/>
    <w:rsid w:val="0087350C"/>
    <w:rsid w:val="00874A8C"/>
    <w:rsid w:val="00880D2B"/>
    <w:rsid w:val="008848F3"/>
    <w:rsid w:val="0088491E"/>
    <w:rsid w:val="00885686"/>
    <w:rsid w:val="00887156"/>
    <w:rsid w:val="008B45A8"/>
    <w:rsid w:val="008B4C5A"/>
    <w:rsid w:val="008C3B72"/>
    <w:rsid w:val="008C44B8"/>
    <w:rsid w:val="008C7FF7"/>
    <w:rsid w:val="008D0368"/>
    <w:rsid w:val="008D22C4"/>
    <w:rsid w:val="008D3FFB"/>
    <w:rsid w:val="008E22C6"/>
    <w:rsid w:val="008E57E6"/>
    <w:rsid w:val="008E62DA"/>
    <w:rsid w:val="008E7950"/>
    <w:rsid w:val="008F0736"/>
    <w:rsid w:val="008F653A"/>
    <w:rsid w:val="008F6AC4"/>
    <w:rsid w:val="00904BEC"/>
    <w:rsid w:val="00915935"/>
    <w:rsid w:val="0091780F"/>
    <w:rsid w:val="00922D33"/>
    <w:rsid w:val="00922DC9"/>
    <w:rsid w:val="00925181"/>
    <w:rsid w:val="00931A90"/>
    <w:rsid w:val="009324E6"/>
    <w:rsid w:val="00935F76"/>
    <w:rsid w:val="00940DEA"/>
    <w:rsid w:val="00945F88"/>
    <w:rsid w:val="00953B72"/>
    <w:rsid w:val="00954244"/>
    <w:rsid w:val="00957DBB"/>
    <w:rsid w:val="00960753"/>
    <w:rsid w:val="0096553A"/>
    <w:rsid w:val="00965728"/>
    <w:rsid w:val="00966752"/>
    <w:rsid w:val="009B6B43"/>
    <w:rsid w:val="009C3D06"/>
    <w:rsid w:val="009C58E5"/>
    <w:rsid w:val="009C7012"/>
    <w:rsid w:val="009D0C4D"/>
    <w:rsid w:val="009D28E8"/>
    <w:rsid w:val="009D3274"/>
    <w:rsid w:val="009E4CF4"/>
    <w:rsid w:val="009E60A6"/>
    <w:rsid w:val="009E635E"/>
    <w:rsid w:val="009F402F"/>
    <w:rsid w:val="009F551C"/>
    <w:rsid w:val="00A007DE"/>
    <w:rsid w:val="00A075B5"/>
    <w:rsid w:val="00A17EF6"/>
    <w:rsid w:val="00A20D67"/>
    <w:rsid w:val="00A2375E"/>
    <w:rsid w:val="00A27106"/>
    <w:rsid w:val="00A419F3"/>
    <w:rsid w:val="00A432C9"/>
    <w:rsid w:val="00A45A9C"/>
    <w:rsid w:val="00A460BC"/>
    <w:rsid w:val="00A4750E"/>
    <w:rsid w:val="00A51097"/>
    <w:rsid w:val="00A613B4"/>
    <w:rsid w:val="00A62452"/>
    <w:rsid w:val="00A66B90"/>
    <w:rsid w:val="00A71AA5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244E"/>
    <w:rsid w:val="00AB5596"/>
    <w:rsid w:val="00AB6D18"/>
    <w:rsid w:val="00AC031A"/>
    <w:rsid w:val="00AC30D0"/>
    <w:rsid w:val="00AC43D9"/>
    <w:rsid w:val="00AE31C9"/>
    <w:rsid w:val="00AE5330"/>
    <w:rsid w:val="00AF22AE"/>
    <w:rsid w:val="00B00040"/>
    <w:rsid w:val="00B07C8F"/>
    <w:rsid w:val="00B26359"/>
    <w:rsid w:val="00B30FA1"/>
    <w:rsid w:val="00B34FC6"/>
    <w:rsid w:val="00B40717"/>
    <w:rsid w:val="00B4463D"/>
    <w:rsid w:val="00B46651"/>
    <w:rsid w:val="00B51C97"/>
    <w:rsid w:val="00B5201A"/>
    <w:rsid w:val="00B5471B"/>
    <w:rsid w:val="00B54BC4"/>
    <w:rsid w:val="00B5536F"/>
    <w:rsid w:val="00B55EA3"/>
    <w:rsid w:val="00B609F6"/>
    <w:rsid w:val="00B63C99"/>
    <w:rsid w:val="00B812A1"/>
    <w:rsid w:val="00B819E0"/>
    <w:rsid w:val="00B8554E"/>
    <w:rsid w:val="00B8740C"/>
    <w:rsid w:val="00B9369C"/>
    <w:rsid w:val="00B95CD7"/>
    <w:rsid w:val="00B967F5"/>
    <w:rsid w:val="00BA20A7"/>
    <w:rsid w:val="00BA2A4A"/>
    <w:rsid w:val="00BA3B44"/>
    <w:rsid w:val="00BA45DF"/>
    <w:rsid w:val="00BB3403"/>
    <w:rsid w:val="00BB3AC9"/>
    <w:rsid w:val="00BB3B76"/>
    <w:rsid w:val="00BB5A9C"/>
    <w:rsid w:val="00BB60EE"/>
    <w:rsid w:val="00BB61B6"/>
    <w:rsid w:val="00BC2002"/>
    <w:rsid w:val="00BC3B91"/>
    <w:rsid w:val="00BC49BC"/>
    <w:rsid w:val="00BC5F23"/>
    <w:rsid w:val="00BE0489"/>
    <w:rsid w:val="00BE5CB5"/>
    <w:rsid w:val="00BE6485"/>
    <w:rsid w:val="00BF2387"/>
    <w:rsid w:val="00BF3511"/>
    <w:rsid w:val="00C02C7F"/>
    <w:rsid w:val="00C02DAD"/>
    <w:rsid w:val="00C06957"/>
    <w:rsid w:val="00C13D19"/>
    <w:rsid w:val="00C149A4"/>
    <w:rsid w:val="00C21511"/>
    <w:rsid w:val="00C21EB0"/>
    <w:rsid w:val="00C2209C"/>
    <w:rsid w:val="00C244B7"/>
    <w:rsid w:val="00C31B55"/>
    <w:rsid w:val="00C33DC8"/>
    <w:rsid w:val="00C367E3"/>
    <w:rsid w:val="00C37F67"/>
    <w:rsid w:val="00C40AB3"/>
    <w:rsid w:val="00C41A2E"/>
    <w:rsid w:val="00C45430"/>
    <w:rsid w:val="00C530DF"/>
    <w:rsid w:val="00C56DB6"/>
    <w:rsid w:val="00C606A3"/>
    <w:rsid w:val="00C64CF4"/>
    <w:rsid w:val="00C66FC5"/>
    <w:rsid w:val="00C729DC"/>
    <w:rsid w:val="00C73371"/>
    <w:rsid w:val="00C74EF3"/>
    <w:rsid w:val="00C8464B"/>
    <w:rsid w:val="00C849C8"/>
    <w:rsid w:val="00C87C8D"/>
    <w:rsid w:val="00C9218D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659"/>
    <w:rsid w:val="00CD40C9"/>
    <w:rsid w:val="00CD5DAA"/>
    <w:rsid w:val="00CD63D5"/>
    <w:rsid w:val="00CD6DB8"/>
    <w:rsid w:val="00CE2062"/>
    <w:rsid w:val="00CE36B1"/>
    <w:rsid w:val="00CE4BCE"/>
    <w:rsid w:val="00CE532E"/>
    <w:rsid w:val="00CE72BB"/>
    <w:rsid w:val="00CF20F9"/>
    <w:rsid w:val="00CF6914"/>
    <w:rsid w:val="00CF74C4"/>
    <w:rsid w:val="00D02A56"/>
    <w:rsid w:val="00D04C4F"/>
    <w:rsid w:val="00D05267"/>
    <w:rsid w:val="00D075D6"/>
    <w:rsid w:val="00D1003C"/>
    <w:rsid w:val="00D14B6A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4E25"/>
    <w:rsid w:val="00D5713A"/>
    <w:rsid w:val="00D60AA5"/>
    <w:rsid w:val="00D66549"/>
    <w:rsid w:val="00D66EB9"/>
    <w:rsid w:val="00D70A00"/>
    <w:rsid w:val="00D73659"/>
    <w:rsid w:val="00D7375C"/>
    <w:rsid w:val="00D810FE"/>
    <w:rsid w:val="00D8602A"/>
    <w:rsid w:val="00D86F59"/>
    <w:rsid w:val="00D86FE6"/>
    <w:rsid w:val="00D94AA9"/>
    <w:rsid w:val="00D95F97"/>
    <w:rsid w:val="00DA076E"/>
    <w:rsid w:val="00DA14AE"/>
    <w:rsid w:val="00DA1871"/>
    <w:rsid w:val="00DA2FB5"/>
    <w:rsid w:val="00DA555E"/>
    <w:rsid w:val="00DB44C0"/>
    <w:rsid w:val="00DB5342"/>
    <w:rsid w:val="00DC15BF"/>
    <w:rsid w:val="00DC345C"/>
    <w:rsid w:val="00DD0A97"/>
    <w:rsid w:val="00DE233E"/>
    <w:rsid w:val="00DE53B7"/>
    <w:rsid w:val="00DF34BB"/>
    <w:rsid w:val="00DF606E"/>
    <w:rsid w:val="00DF6648"/>
    <w:rsid w:val="00DF7ADB"/>
    <w:rsid w:val="00E03C84"/>
    <w:rsid w:val="00E07076"/>
    <w:rsid w:val="00E1223A"/>
    <w:rsid w:val="00E1761C"/>
    <w:rsid w:val="00E2080D"/>
    <w:rsid w:val="00E2191D"/>
    <w:rsid w:val="00E21CC6"/>
    <w:rsid w:val="00E21D39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70379"/>
    <w:rsid w:val="00E70E1F"/>
    <w:rsid w:val="00E74E40"/>
    <w:rsid w:val="00E81488"/>
    <w:rsid w:val="00E91360"/>
    <w:rsid w:val="00E943EE"/>
    <w:rsid w:val="00E96E45"/>
    <w:rsid w:val="00EA4EC5"/>
    <w:rsid w:val="00EA7EAF"/>
    <w:rsid w:val="00EB0319"/>
    <w:rsid w:val="00EB2BE5"/>
    <w:rsid w:val="00EB5946"/>
    <w:rsid w:val="00EC2160"/>
    <w:rsid w:val="00EC223C"/>
    <w:rsid w:val="00EC2656"/>
    <w:rsid w:val="00EC2FA7"/>
    <w:rsid w:val="00EC4507"/>
    <w:rsid w:val="00EC4F79"/>
    <w:rsid w:val="00ED0509"/>
    <w:rsid w:val="00ED0BE9"/>
    <w:rsid w:val="00ED4D54"/>
    <w:rsid w:val="00ED68B8"/>
    <w:rsid w:val="00EE148F"/>
    <w:rsid w:val="00EE246B"/>
    <w:rsid w:val="00EF3E24"/>
    <w:rsid w:val="00F06834"/>
    <w:rsid w:val="00F14EE7"/>
    <w:rsid w:val="00F23059"/>
    <w:rsid w:val="00F23D10"/>
    <w:rsid w:val="00F2521F"/>
    <w:rsid w:val="00F3100B"/>
    <w:rsid w:val="00F353F2"/>
    <w:rsid w:val="00F35566"/>
    <w:rsid w:val="00F37D61"/>
    <w:rsid w:val="00F50635"/>
    <w:rsid w:val="00F554F4"/>
    <w:rsid w:val="00F5582F"/>
    <w:rsid w:val="00F5596C"/>
    <w:rsid w:val="00F60C53"/>
    <w:rsid w:val="00F67177"/>
    <w:rsid w:val="00F72C19"/>
    <w:rsid w:val="00F7596C"/>
    <w:rsid w:val="00F801A0"/>
    <w:rsid w:val="00F83898"/>
    <w:rsid w:val="00F86959"/>
    <w:rsid w:val="00F97B1C"/>
    <w:rsid w:val="00FB23C4"/>
    <w:rsid w:val="00FB4B00"/>
    <w:rsid w:val="00FB5F92"/>
    <w:rsid w:val="00FC021A"/>
    <w:rsid w:val="00FC1439"/>
    <w:rsid w:val="00FC3B34"/>
    <w:rsid w:val="00FC451C"/>
    <w:rsid w:val="00FC71B9"/>
    <w:rsid w:val="00FD13A9"/>
    <w:rsid w:val="00FD1B75"/>
    <w:rsid w:val="00FD256B"/>
    <w:rsid w:val="00FD39FA"/>
    <w:rsid w:val="00FD53E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DD611-F513-420B-B26B-7DDF039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ca.jotano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21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293B-2046-4B85-B1A0-5171786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4469</Characters>
  <Application>Microsoft Office Word</Application>
  <DocSecurity>0</DocSecurity>
  <Lines>558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4734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Dragana Steljic</cp:lastModifiedBy>
  <cp:revision>6</cp:revision>
  <cp:lastPrinted>2015-08-27T11:12:00Z</cp:lastPrinted>
  <dcterms:created xsi:type="dcterms:W3CDTF">2020-08-27T08:08:00Z</dcterms:created>
  <dcterms:modified xsi:type="dcterms:W3CDTF">2020-09-01T05:31:00Z</dcterms:modified>
</cp:coreProperties>
</file>