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7"/>
        <w:gridCol w:w="5223"/>
        <w:gridCol w:w="3325"/>
      </w:tblGrid>
      <w:tr w:rsidR="00E409D0" w:rsidRPr="00E409D0" w14:paraId="021897B2" w14:textId="77777777">
        <w:trPr>
          <w:cantSplit/>
          <w:trHeight w:val="631"/>
          <w:jc w:val="center"/>
        </w:trPr>
        <w:tc>
          <w:tcPr>
            <w:tcW w:w="812" w:type="pct"/>
            <w:tcBorders>
              <w:top w:val="single" w:sz="12" w:space="0" w:color="808080"/>
              <w:left w:val="nil"/>
              <w:bottom w:val="nil"/>
            </w:tcBorders>
            <w:vAlign w:val="center"/>
          </w:tcPr>
          <w:p w14:paraId="73F99EB6" w14:textId="77777777" w:rsidR="00E719E6" w:rsidRPr="00E409D0" w:rsidRDefault="00E719E6" w:rsidP="00830017">
            <w:pPr>
              <w:rPr>
                <w:rFonts w:ascii="Arial" w:hAnsi="Arial" w:cs="Arial"/>
                <w:sz w:val="20"/>
                <w:szCs w:val="20"/>
              </w:rPr>
            </w:pPr>
            <w:r w:rsidRPr="00E409D0">
              <w:rPr>
                <w:rFonts w:ascii="Arial" w:hAnsi="Arial" w:cs="Arial"/>
                <w:sz w:val="20"/>
                <w:szCs w:val="20"/>
              </w:rPr>
              <w:t xml:space="preserve">                    </w:t>
            </w:r>
            <w:r w:rsidR="00B12B66" w:rsidRPr="00E409D0">
              <w:rPr>
                <w:rFonts w:ascii="Arial" w:hAnsi="Arial" w:cs="Arial"/>
                <w:noProof/>
                <w:sz w:val="20"/>
                <w:szCs w:val="20"/>
                <w:lang w:val="en-US"/>
              </w:rPr>
              <w:drawing>
                <wp:anchor distT="0" distB="0" distL="114300" distR="114300" simplePos="0" relativeHeight="251657728" behindDoc="0" locked="0" layoutInCell="1" allowOverlap="1" wp14:anchorId="321E72C7" wp14:editId="55261382">
                  <wp:simplePos x="0" y="0"/>
                  <wp:positionH relativeFrom="character">
                    <wp:posOffset>0</wp:posOffset>
                  </wp:positionH>
                  <wp:positionV relativeFrom="line">
                    <wp:posOffset>0</wp:posOffset>
                  </wp:positionV>
                  <wp:extent cx="904875" cy="219075"/>
                  <wp:effectExtent l="0" t="0" r="9525" b="9525"/>
                  <wp:wrapNone/>
                  <wp:docPr id="2"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B12B66" w:rsidRPr="00E409D0">
              <w:rPr>
                <w:rFonts w:ascii="Arial" w:hAnsi="Arial" w:cs="Arial"/>
                <w:noProof/>
                <w:sz w:val="20"/>
                <w:szCs w:val="20"/>
                <w:lang w:val="en-US"/>
              </w:rPr>
              <mc:AlternateContent>
                <mc:Choice Requires="wps">
                  <w:drawing>
                    <wp:inline distT="0" distB="0" distL="0" distR="0" wp14:anchorId="30C74C8D" wp14:editId="68D08D65">
                      <wp:extent cx="907415" cy="21844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74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8C4184" id="AutoShape 1" o:spid="_x0000_s1026" style="width:71.4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14:paraId="4A4AA474" w14:textId="77777777" w:rsidR="00E719E6" w:rsidRPr="00E409D0" w:rsidRDefault="00E719E6" w:rsidP="00830017">
            <w:pPr>
              <w:rPr>
                <w:rFonts w:ascii="Arial" w:hAnsi="Arial" w:cs="Arial"/>
                <w:sz w:val="20"/>
                <w:szCs w:val="20"/>
              </w:rPr>
            </w:pPr>
            <w:r w:rsidRPr="00E409D0">
              <w:rPr>
                <w:rFonts w:ascii="Arial" w:hAnsi="Arial" w:cs="Arial"/>
                <w:sz w:val="20"/>
                <w:szCs w:val="20"/>
              </w:rPr>
              <w:t>Република Србија</w:t>
            </w:r>
          </w:p>
          <w:p w14:paraId="2C93C531" w14:textId="77777777" w:rsidR="00E719E6" w:rsidRPr="00E409D0" w:rsidRDefault="00E719E6" w:rsidP="00830017">
            <w:pPr>
              <w:rPr>
                <w:rFonts w:ascii="Arial" w:hAnsi="Arial" w:cs="Arial"/>
                <w:sz w:val="20"/>
                <w:szCs w:val="20"/>
              </w:rPr>
            </w:pPr>
            <w:r w:rsidRPr="00E409D0">
              <w:rPr>
                <w:rFonts w:ascii="Arial" w:hAnsi="Arial" w:cs="Arial"/>
                <w:sz w:val="20"/>
                <w:szCs w:val="20"/>
              </w:rPr>
              <w:t>Републички завод за статистику</w:t>
            </w:r>
          </w:p>
        </w:tc>
        <w:tc>
          <w:tcPr>
            <w:tcW w:w="0" w:type="auto"/>
            <w:tcBorders>
              <w:top w:val="single" w:sz="12" w:space="0" w:color="808080"/>
              <w:bottom w:val="nil"/>
              <w:right w:val="nil"/>
            </w:tcBorders>
            <w:vAlign w:val="center"/>
          </w:tcPr>
          <w:p w14:paraId="3C00B47B" w14:textId="77777777" w:rsidR="00E719E6" w:rsidRPr="00E409D0" w:rsidRDefault="00E719E6" w:rsidP="00830017">
            <w:pPr>
              <w:jc w:val="right"/>
              <w:rPr>
                <w:rFonts w:ascii="Arial" w:hAnsi="Arial" w:cs="Arial"/>
                <w:b/>
                <w:sz w:val="20"/>
                <w:szCs w:val="20"/>
              </w:rPr>
            </w:pPr>
            <w:r w:rsidRPr="00E409D0">
              <w:rPr>
                <w:rFonts w:ascii="Arial" w:hAnsi="Arial" w:cs="Arial"/>
                <w:sz w:val="20"/>
                <w:szCs w:val="20"/>
              </w:rPr>
              <w:t>ISSN 0353-9555</w:t>
            </w:r>
          </w:p>
        </w:tc>
      </w:tr>
      <w:tr w:rsidR="0071708A" w:rsidRPr="0071708A" w14:paraId="0D0448D8" w14:textId="77777777">
        <w:trPr>
          <w:cantSplit/>
          <w:trHeight w:val="836"/>
          <w:jc w:val="center"/>
        </w:trPr>
        <w:tc>
          <w:tcPr>
            <w:tcW w:w="0" w:type="auto"/>
            <w:gridSpan w:val="2"/>
            <w:tcBorders>
              <w:top w:val="nil"/>
              <w:left w:val="nil"/>
              <w:right w:val="nil"/>
            </w:tcBorders>
            <w:vAlign w:val="center"/>
          </w:tcPr>
          <w:p w14:paraId="0480464F" w14:textId="77777777" w:rsidR="00E719E6" w:rsidRPr="0071708A" w:rsidRDefault="00E719E6" w:rsidP="00830017">
            <w:pPr>
              <w:rPr>
                <w:rFonts w:ascii="Arial" w:hAnsi="Arial" w:cs="Arial"/>
                <w:color w:val="A6A6A6" w:themeColor="background1" w:themeShade="A6"/>
                <w:szCs w:val="20"/>
              </w:rPr>
            </w:pPr>
            <w:r w:rsidRPr="0071708A">
              <w:rPr>
                <w:rFonts w:ascii="Arial" w:hAnsi="Arial" w:cs="Arial"/>
                <w:b/>
                <w:color w:val="A6A6A6" w:themeColor="background1" w:themeShade="A6"/>
                <w:sz w:val="48"/>
                <w:szCs w:val="48"/>
              </w:rPr>
              <w:t>САОПШТЕЊЕ</w:t>
            </w:r>
          </w:p>
        </w:tc>
        <w:tc>
          <w:tcPr>
            <w:tcW w:w="0" w:type="auto"/>
            <w:tcBorders>
              <w:top w:val="nil"/>
              <w:left w:val="nil"/>
              <w:right w:val="nil"/>
            </w:tcBorders>
            <w:shd w:val="clear" w:color="auto" w:fill="auto"/>
            <w:vAlign w:val="center"/>
          </w:tcPr>
          <w:p w14:paraId="4815F27C" w14:textId="77777777" w:rsidR="00E719E6" w:rsidRPr="0071708A" w:rsidRDefault="004C5423" w:rsidP="00275B3C">
            <w:pPr>
              <w:jc w:val="right"/>
              <w:rPr>
                <w:rFonts w:ascii="Arial" w:hAnsi="Arial" w:cs="Arial"/>
                <w:b/>
                <w:color w:val="A6A6A6" w:themeColor="background1" w:themeShade="A6"/>
                <w:sz w:val="48"/>
                <w:szCs w:val="48"/>
              </w:rPr>
            </w:pPr>
            <w:r w:rsidRPr="0071708A">
              <w:rPr>
                <w:rFonts w:ascii="Arial" w:hAnsi="Arial" w:cs="Arial"/>
                <w:b/>
                <w:color w:val="A6A6A6" w:themeColor="background1" w:themeShade="A6"/>
                <w:sz w:val="48"/>
                <w:szCs w:val="48"/>
              </w:rPr>
              <w:t>СН</w:t>
            </w:r>
            <w:r w:rsidR="00275B3C" w:rsidRPr="0071708A">
              <w:rPr>
                <w:rFonts w:ascii="Arial" w:hAnsi="Arial" w:cs="Arial"/>
                <w:b/>
                <w:color w:val="A6A6A6" w:themeColor="background1" w:themeShade="A6"/>
                <w:sz w:val="48"/>
                <w:szCs w:val="48"/>
              </w:rPr>
              <w:t>7</w:t>
            </w:r>
            <w:r w:rsidRPr="0071708A">
              <w:rPr>
                <w:rFonts w:ascii="Arial" w:hAnsi="Arial" w:cs="Arial"/>
                <w:b/>
                <w:color w:val="A6A6A6" w:themeColor="background1" w:themeShade="A6"/>
                <w:sz w:val="48"/>
                <w:szCs w:val="48"/>
              </w:rPr>
              <w:t>0</w:t>
            </w:r>
          </w:p>
        </w:tc>
      </w:tr>
      <w:tr w:rsidR="00E409D0" w:rsidRPr="00E409D0" w14:paraId="283E52FC" w14:textId="77777777">
        <w:trPr>
          <w:cantSplit/>
          <w:trHeight w:hRule="exact" w:val="279"/>
          <w:jc w:val="center"/>
        </w:trPr>
        <w:tc>
          <w:tcPr>
            <w:tcW w:w="0" w:type="auto"/>
            <w:gridSpan w:val="2"/>
            <w:tcBorders>
              <w:top w:val="nil"/>
              <w:left w:val="nil"/>
              <w:bottom w:val="nil"/>
              <w:right w:val="nil"/>
            </w:tcBorders>
            <w:vAlign w:val="center"/>
          </w:tcPr>
          <w:p w14:paraId="786B4DCC" w14:textId="77777777" w:rsidR="00E719E6" w:rsidRPr="00E409D0" w:rsidRDefault="00E719E6" w:rsidP="00BB3D1B">
            <w:pPr>
              <w:rPr>
                <w:rFonts w:ascii="Arial" w:hAnsi="Arial" w:cs="Arial"/>
                <w:sz w:val="20"/>
                <w:szCs w:val="20"/>
              </w:rPr>
            </w:pPr>
            <w:r w:rsidRPr="00E409D0">
              <w:rPr>
                <w:rFonts w:ascii="Arial" w:hAnsi="Arial" w:cs="Arial"/>
                <w:sz w:val="20"/>
                <w:szCs w:val="20"/>
              </w:rPr>
              <w:t xml:space="preserve">број </w:t>
            </w:r>
            <w:r w:rsidR="00E31145">
              <w:rPr>
                <w:rFonts w:ascii="Arial" w:hAnsi="Arial" w:cs="Arial"/>
                <w:sz w:val="20"/>
                <w:szCs w:val="20"/>
                <w:lang w:val="sr-Latn-RS"/>
              </w:rPr>
              <w:t>172</w:t>
            </w:r>
            <w:r w:rsidRPr="00E409D0">
              <w:rPr>
                <w:rFonts w:ascii="Arial" w:hAnsi="Arial" w:cs="Arial"/>
                <w:sz w:val="20"/>
                <w:szCs w:val="20"/>
              </w:rPr>
              <w:t xml:space="preserve"> - год. LX</w:t>
            </w:r>
            <w:r w:rsidR="004A1088" w:rsidRPr="00E409D0">
              <w:rPr>
                <w:rFonts w:ascii="Arial" w:hAnsi="Arial" w:cs="Arial"/>
                <w:sz w:val="20"/>
                <w:szCs w:val="20"/>
                <w:lang w:val="sr-Latn-RS"/>
              </w:rPr>
              <w:t>X</w:t>
            </w:r>
            <w:r w:rsidRPr="00E409D0">
              <w:rPr>
                <w:rFonts w:ascii="Arial" w:hAnsi="Arial" w:cs="Arial"/>
                <w:sz w:val="20"/>
                <w:szCs w:val="20"/>
              </w:rPr>
              <w:t xml:space="preserve">, </w:t>
            </w:r>
            <w:r w:rsidR="0071708A">
              <w:rPr>
                <w:rFonts w:ascii="Arial" w:hAnsi="Arial" w:cs="Arial"/>
                <w:sz w:val="20"/>
                <w:szCs w:val="20"/>
              </w:rPr>
              <w:t>01</w:t>
            </w:r>
            <w:r w:rsidRPr="00E409D0">
              <w:rPr>
                <w:rFonts w:ascii="Arial" w:hAnsi="Arial" w:cs="Arial"/>
                <w:sz w:val="20"/>
                <w:szCs w:val="20"/>
              </w:rPr>
              <w:t>.0</w:t>
            </w:r>
            <w:r w:rsidR="0071708A">
              <w:rPr>
                <w:rFonts w:ascii="Arial" w:hAnsi="Arial" w:cs="Arial"/>
                <w:sz w:val="20"/>
                <w:szCs w:val="20"/>
              </w:rPr>
              <w:t>7</w:t>
            </w:r>
            <w:r w:rsidRPr="00E409D0">
              <w:rPr>
                <w:rFonts w:ascii="Arial" w:hAnsi="Arial" w:cs="Arial"/>
                <w:sz w:val="20"/>
                <w:szCs w:val="20"/>
              </w:rPr>
              <w:t>.20</w:t>
            </w:r>
            <w:r w:rsidR="00BB3D1B">
              <w:rPr>
                <w:rFonts w:ascii="Arial" w:hAnsi="Arial" w:cs="Arial"/>
                <w:sz w:val="20"/>
                <w:szCs w:val="20"/>
                <w:lang w:val="sr-Latn-RS"/>
              </w:rPr>
              <w:t>20</w:t>
            </w:r>
            <w:r w:rsidRPr="00E409D0">
              <w:rPr>
                <w:rFonts w:ascii="Arial" w:hAnsi="Arial" w:cs="Arial"/>
                <w:sz w:val="20"/>
                <w:szCs w:val="20"/>
              </w:rPr>
              <w:t>.</w:t>
            </w:r>
          </w:p>
        </w:tc>
        <w:tc>
          <w:tcPr>
            <w:tcW w:w="0" w:type="auto"/>
            <w:tcBorders>
              <w:left w:val="nil"/>
              <w:bottom w:val="nil"/>
              <w:right w:val="nil"/>
            </w:tcBorders>
            <w:shd w:val="clear" w:color="auto" w:fill="auto"/>
            <w:vAlign w:val="center"/>
          </w:tcPr>
          <w:p w14:paraId="47948850" w14:textId="77777777" w:rsidR="00E719E6" w:rsidRPr="00E409D0" w:rsidRDefault="00E719E6" w:rsidP="00830017">
            <w:pPr>
              <w:jc w:val="right"/>
              <w:rPr>
                <w:rFonts w:ascii="Arial" w:hAnsi="Arial" w:cs="Arial"/>
                <w:b/>
                <w:sz w:val="20"/>
                <w:szCs w:val="20"/>
              </w:rPr>
            </w:pPr>
          </w:p>
        </w:tc>
      </w:tr>
      <w:tr w:rsidR="00E409D0" w:rsidRPr="00E409D0" w14:paraId="60D1E487" w14:textId="77777777">
        <w:trPr>
          <w:cantSplit/>
          <w:trHeight w:val="411"/>
          <w:jc w:val="center"/>
        </w:trPr>
        <w:tc>
          <w:tcPr>
            <w:tcW w:w="0" w:type="auto"/>
            <w:gridSpan w:val="2"/>
            <w:tcBorders>
              <w:top w:val="nil"/>
              <w:left w:val="nil"/>
              <w:bottom w:val="single" w:sz="12" w:space="0" w:color="808080"/>
              <w:right w:val="nil"/>
            </w:tcBorders>
            <w:vAlign w:val="center"/>
          </w:tcPr>
          <w:p w14:paraId="7A0252ED" w14:textId="77777777" w:rsidR="00E719E6" w:rsidRPr="00E409D0" w:rsidRDefault="00E719E6" w:rsidP="004C5423">
            <w:pPr>
              <w:rPr>
                <w:rFonts w:ascii="Arial" w:hAnsi="Arial" w:cs="Arial"/>
                <w:bCs/>
              </w:rPr>
            </w:pPr>
            <w:r w:rsidRPr="00E409D0">
              <w:rPr>
                <w:rFonts w:ascii="Arial" w:hAnsi="Arial" w:cs="Arial"/>
                <w:noProof/>
              </w:rPr>
              <w:t xml:space="preserve">Статистика </w:t>
            </w:r>
            <w:r w:rsidR="004C5423" w:rsidRPr="00E409D0">
              <w:rPr>
                <w:rFonts w:ascii="Arial" w:hAnsi="Arial" w:cs="Arial"/>
                <w:noProof/>
              </w:rPr>
              <w:t>становништва</w:t>
            </w:r>
          </w:p>
        </w:tc>
        <w:tc>
          <w:tcPr>
            <w:tcW w:w="0" w:type="auto"/>
            <w:tcBorders>
              <w:top w:val="nil"/>
              <w:left w:val="nil"/>
              <w:bottom w:val="single" w:sz="12" w:space="0" w:color="808080"/>
              <w:right w:val="nil"/>
            </w:tcBorders>
            <w:vAlign w:val="center"/>
          </w:tcPr>
          <w:p w14:paraId="463455F1" w14:textId="77777777" w:rsidR="00E719E6" w:rsidRPr="00E409D0" w:rsidRDefault="00E719E6" w:rsidP="00E31145">
            <w:pPr>
              <w:jc w:val="right"/>
              <w:rPr>
                <w:rFonts w:ascii="Arial" w:hAnsi="Arial" w:cs="Arial"/>
                <w:b/>
                <w:szCs w:val="20"/>
                <w:lang w:val="sr-Latn-RS"/>
              </w:rPr>
            </w:pPr>
            <w:r w:rsidRPr="00E409D0">
              <w:rPr>
                <w:rFonts w:ascii="Arial" w:hAnsi="Arial" w:cs="Arial"/>
                <w:szCs w:val="20"/>
              </w:rPr>
              <w:t>СРБ</w:t>
            </w:r>
            <w:r w:rsidR="00E31145">
              <w:rPr>
                <w:rFonts w:ascii="Arial" w:hAnsi="Arial" w:cs="Arial"/>
                <w:szCs w:val="20"/>
                <w:lang w:val="sr-Latn-RS"/>
              </w:rPr>
              <w:t>172</w:t>
            </w:r>
            <w:r w:rsidRPr="00E409D0">
              <w:rPr>
                <w:rFonts w:ascii="Arial" w:hAnsi="Arial" w:cs="Arial"/>
                <w:szCs w:val="20"/>
              </w:rPr>
              <w:t xml:space="preserve"> </w:t>
            </w:r>
            <w:r w:rsidR="000F573E" w:rsidRPr="00E409D0">
              <w:rPr>
                <w:rFonts w:ascii="Arial" w:hAnsi="Arial" w:cs="Arial"/>
                <w:szCs w:val="20"/>
              </w:rPr>
              <w:t>СН</w:t>
            </w:r>
            <w:r w:rsidR="00275B3C" w:rsidRPr="00E409D0">
              <w:rPr>
                <w:rFonts w:ascii="Arial" w:hAnsi="Arial" w:cs="Arial"/>
                <w:szCs w:val="20"/>
              </w:rPr>
              <w:t>7</w:t>
            </w:r>
            <w:r w:rsidR="000F573E" w:rsidRPr="00E409D0">
              <w:rPr>
                <w:rFonts w:ascii="Arial" w:hAnsi="Arial" w:cs="Arial"/>
                <w:szCs w:val="20"/>
              </w:rPr>
              <w:t xml:space="preserve">0 </w:t>
            </w:r>
            <w:r w:rsidR="0071708A">
              <w:rPr>
                <w:rFonts w:ascii="Arial" w:hAnsi="Arial" w:cs="Arial"/>
                <w:szCs w:val="20"/>
              </w:rPr>
              <w:t>01072020</w:t>
            </w:r>
          </w:p>
        </w:tc>
      </w:tr>
    </w:tbl>
    <w:p w14:paraId="6F38F10C" w14:textId="77777777" w:rsidR="004A1088" w:rsidRPr="0071026F" w:rsidRDefault="004A1088" w:rsidP="004A1088">
      <w:pPr>
        <w:spacing w:before="600" w:after="360"/>
        <w:jc w:val="center"/>
        <w:rPr>
          <w:rFonts w:ascii="Arial" w:hAnsi="Arial" w:cs="Arial"/>
          <w:b/>
        </w:rPr>
      </w:pPr>
      <w:r w:rsidRPr="0071026F">
        <w:rPr>
          <w:rFonts w:ascii="Arial" w:hAnsi="Arial" w:cs="Arial"/>
          <w:b/>
        </w:rPr>
        <w:t>Процене становништва, 201</w:t>
      </w:r>
      <w:r w:rsidR="006C30B6" w:rsidRPr="0071026F">
        <w:rPr>
          <w:rFonts w:ascii="Arial" w:hAnsi="Arial" w:cs="Arial"/>
          <w:b/>
          <w:lang w:val="sr-Latn-RS"/>
        </w:rPr>
        <w:t>9</w:t>
      </w:r>
      <w:r w:rsidRPr="0071026F">
        <w:rPr>
          <w:rFonts w:ascii="Arial" w:hAnsi="Arial" w:cs="Arial"/>
          <w:b/>
        </w:rPr>
        <w:t xml:space="preserve">. </w:t>
      </w:r>
    </w:p>
    <w:p w14:paraId="768449AD" w14:textId="45CA1145" w:rsidR="00C42B50" w:rsidRDefault="008F2E12" w:rsidP="0071708A">
      <w:pPr>
        <w:spacing w:before="120" w:after="120" w:line="264" w:lineRule="auto"/>
        <w:jc w:val="both"/>
        <w:rPr>
          <w:rFonts w:ascii="Arial" w:hAnsi="Arial" w:cs="Arial"/>
          <w:sz w:val="20"/>
          <w:szCs w:val="20"/>
        </w:rPr>
      </w:pPr>
      <w:r w:rsidRPr="0071026F">
        <w:rPr>
          <w:rFonts w:ascii="Arial" w:hAnsi="Arial" w:cs="Arial"/>
          <w:sz w:val="20"/>
          <w:szCs w:val="20"/>
        </w:rPr>
        <w:t>П</w:t>
      </w:r>
      <w:r w:rsidR="00FB2A8F" w:rsidRPr="0071026F">
        <w:rPr>
          <w:rFonts w:ascii="Arial" w:hAnsi="Arial" w:cs="Arial"/>
          <w:sz w:val="20"/>
          <w:szCs w:val="20"/>
        </w:rPr>
        <w:t>роцењен број становник</w:t>
      </w:r>
      <w:r w:rsidRPr="0071026F">
        <w:rPr>
          <w:rFonts w:ascii="Arial" w:hAnsi="Arial" w:cs="Arial"/>
          <w:sz w:val="20"/>
          <w:szCs w:val="20"/>
        </w:rPr>
        <w:t xml:space="preserve">а </w:t>
      </w:r>
      <w:r w:rsidR="004A1088" w:rsidRPr="0071026F">
        <w:rPr>
          <w:rFonts w:ascii="Arial" w:hAnsi="Arial" w:cs="Arial"/>
          <w:sz w:val="20"/>
          <w:szCs w:val="20"/>
        </w:rPr>
        <w:t>у Републици Србији у 201</w:t>
      </w:r>
      <w:r w:rsidR="006C30B6" w:rsidRPr="0071026F">
        <w:rPr>
          <w:rFonts w:ascii="Arial" w:hAnsi="Arial" w:cs="Arial"/>
          <w:sz w:val="20"/>
          <w:szCs w:val="20"/>
        </w:rPr>
        <w:t>9</w:t>
      </w:r>
      <w:r w:rsidR="004A1088" w:rsidRPr="0071026F">
        <w:rPr>
          <w:rFonts w:ascii="Arial" w:hAnsi="Arial" w:cs="Arial"/>
          <w:sz w:val="20"/>
          <w:szCs w:val="20"/>
        </w:rPr>
        <w:t xml:space="preserve">. години је </w:t>
      </w:r>
      <w:r w:rsidR="00C42B50" w:rsidRPr="0071026F">
        <w:rPr>
          <w:rFonts w:ascii="Arial" w:hAnsi="Arial" w:cs="Arial"/>
          <w:sz w:val="20"/>
          <w:szCs w:val="20"/>
        </w:rPr>
        <w:t>6</w:t>
      </w:r>
      <w:r w:rsidR="009B3576">
        <w:rPr>
          <w:rFonts w:ascii="Arial" w:hAnsi="Arial" w:cs="Arial"/>
          <w:sz w:val="20"/>
          <w:szCs w:val="20"/>
          <w:lang w:val="sr-Latn-RS"/>
        </w:rPr>
        <w:t> </w:t>
      </w:r>
      <w:r w:rsidR="00C42B50" w:rsidRPr="0071026F">
        <w:rPr>
          <w:rFonts w:ascii="Arial" w:hAnsi="Arial" w:cs="Arial"/>
          <w:sz w:val="20"/>
          <w:szCs w:val="20"/>
        </w:rPr>
        <w:t>9</w:t>
      </w:r>
      <w:r w:rsidR="009B12C8" w:rsidRPr="009B3576">
        <w:rPr>
          <w:rFonts w:ascii="Arial" w:hAnsi="Arial" w:cs="Arial"/>
          <w:sz w:val="20"/>
          <w:szCs w:val="20"/>
        </w:rPr>
        <w:t>45</w:t>
      </w:r>
      <w:r w:rsidR="009B3576">
        <w:rPr>
          <w:rFonts w:ascii="Arial" w:hAnsi="Arial" w:cs="Arial"/>
          <w:sz w:val="20"/>
          <w:szCs w:val="20"/>
          <w:lang w:val="sr-Latn-RS"/>
        </w:rPr>
        <w:t> </w:t>
      </w:r>
      <w:r w:rsidR="009B12C8" w:rsidRPr="009B3576">
        <w:rPr>
          <w:rFonts w:ascii="Arial" w:hAnsi="Arial" w:cs="Arial"/>
          <w:sz w:val="20"/>
          <w:szCs w:val="20"/>
        </w:rPr>
        <w:t>235</w:t>
      </w:r>
      <w:r w:rsidR="009B3576">
        <w:rPr>
          <w:rFonts w:ascii="Arial" w:hAnsi="Arial" w:cs="Arial"/>
          <w:sz w:val="20"/>
          <w:szCs w:val="20"/>
          <w:lang w:val="sr-Latn-RS"/>
        </w:rPr>
        <w:t xml:space="preserve"> </w:t>
      </w:r>
      <w:r w:rsidR="009B3576" w:rsidRPr="009B3576">
        <w:rPr>
          <w:rFonts w:ascii="Arial" w:hAnsi="Arial" w:cs="Arial"/>
          <w:sz w:val="20"/>
          <w:szCs w:val="20"/>
        </w:rPr>
        <w:t>(процене су засноване на резултатима статистике природног кретања и унутрашњих миграција становништва)</w:t>
      </w:r>
      <w:r w:rsidR="009B3576" w:rsidRPr="009B3576">
        <w:rPr>
          <w:rFonts w:ascii="Arial" w:hAnsi="Arial" w:cs="Arial"/>
          <w:sz w:val="20"/>
          <w:szCs w:val="20"/>
        </w:rPr>
        <w:t>.</w:t>
      </w:r>
      <w:r w:rsidR="009B3576">
        <w:rPr>
          <w:rFonts w:ascii="Arial" w:hAnsi="Arial" w:cs="Arial"/>
          <w:sz w:val="20"/>
          <w:szCs w:val="20"/>
          <w:lang w:val="sr-Latn-RS"/>
        </w:rPr>
        <w:t xml:space="preserve"> </w:t>
      </w:r>
      <w:r w:rsidR="00C42B50" w:rsidRPr="0071026F">
        <w:rPr>
          <w:rFonts w:ascii="Arial" w:hAnsi="Arial" w:cs="Arial"/>
          <w:sz w:val="20"/>
          <w:szCs w:val="20"/>
        </w:rPr>
        <w:t xml:space="preserve">Посматрано по полу, </w:t>
      </w:r>
      <w:r w:rsidR="00FB2A8F" w:rsidRPr="009B3576">
        <w:rPr>
          <w:rFonts w:ascii="Arial" w:hAnsi="Arial" w:cs="Arial"/>
          <w:b/>
          <w:sz w:val="20"/>
          <w:szCs w:val="20"/>
        </w:rPr>
        <w:t>51,3%</w:t>
      </w:r>
      <w:r w:rsidR="00FB2A8F" w:rsidRPr="0071026F">
        <w:rPr>
          <w:rFonts w:ascii="Arial" w:hAnsi="Arial" w:cs="Arial"/>
          <w:sz w:val="20"/>
          <w:szCs w:val="20"/>
        </w:rPr>
        <w:t xml:space="preserve"> чине жене (3 5</w:t>
      </w:r>
      <w:r w:rsidR="0044794B" w:rsidRPr="0071026F">
        <w:rPr>
          <w:rFonts w:ascii="Arial" w:hAnsi="Arial" w:cs="Arial"/>
          <w:sz w:val="20"/>
          <w:szCs w:val="20"/>
        </w:rPr>
        <w:t>61</w:t>
      </w:r>
      <w:r w:rsidR="00FB2A8F" w:rsidRPr="0071026F">
        <w:rPr>
          <w:rFonts w:ascii="Arial" w:hAnsi="Arial" w:cs="Arial"/>
          <w:sz w:val="20"/>
          <w:szCs w:val="20"/>
        </w:rPr>
        <w:t> </w:t>
      </w:r>
      <w:r w:rsidR="0044794B" w:rsidRPr="009B3576">
        <w:rPr>
          <w:rFonts w:ascii="Arial" w:hAnsi="Arial" w:cs="Arial"/>
          <w:sz w:val="20"/>
          <w:szCs w:val="20"/>
        </w:rPr>
        <w:t>5</w:t>
      </w:r>
      <w:r w:rsidR="004D3B4E" w:rsidRPr="009B3576">
        <w:rPr>
          <w:rFonts w:ascii="Arial" w:hAnsi="Arial" w:cs="Arial"/>
          <w:sz w:val="20"/>
          <w:szCs w:val="20"/>
        </w:rPr>
        <w:t>03</w:t>
      </w:r>
      <w:r w:rsidR="00FB2A8F" w:rsidRPr="0071026F">
        <w:rPr>
          <w:rFonts w:ascii="Arial" w:hAnsi="Arial" w:cs="Arial"/>
          <w:sz w:val="20"/>
          <w:szCs w:val="20"/>
        </w:rPr>
        <w:t>)</w:t>
      </w:r>
      <w:r w:rsidR="00C42B50" w:rsidRPr="0071026F">
        <w:rPr>
          <w:rFonts w:ascii="Arial" w:hAnsi="Arial" w:cs="Arial"/>
          <w:sz w:val="20"/>
          <w:szCs w:val="20"/>
        </w:rPr>
        <w:t>,</w:t>
      </w:r>
      <w:r w:rsidR="00FB2A8F" w:rsidRPr="0071026F">
        <w:rPr>
          <w:rFonts w:ascii="Arial" w:hAnsi="Arial" w:cs="Arial"/>
          <w:sz w:val="20"/>
          <w:szCs w:val="20"/>
        </w:rPr>
        <w:t xml:space="preserve"> а </w:t>
      </w:r>
      <w:r w:rsidR="00FB2A8F" w:rsidRPr="009B3576">
        <w:rPr>
          <w:rFonts w:ascii="Arial" w:hAnsi="Arial" w:cs="Arial"/>
          <w:b/>
          <w:sz w:val="20"/>
          <w:szCs w:val="20"/>
        </w:rPr>
        <w:t>48,7%</w:t>
      </w:r>
      <w:r w:rsidR="00FB2A8F" w:rsidRPr="009B3576">
        <w:rPr>
          <w:rFonts w:ascii="Arial" w:hAnsi="Arial" w:cs="Arial"/>
          <w:sz w:val="20"/>
          <w:szCs w:val="20"/>
        </w:rPr>
        <w:t xml:space="preserve"> </w:t>
      </w:r>
      <w:r w:rsidR="00FB2A8F" w:rsidRPr="0071026F">
        <w:rPr>
          <w:rFonts w:ascii="Arial" w:hAnsi="Arial" w:cs="Arial"/>
          <w:sz w:val="20"/>
          <w:szCs w:val="20"/>
        </w:rPr>
        <w:t>мушкарци (3 </w:t>
      </w:r>
      <w:r w:rsidR="0044794B" w:rsidRPr="009B3576">
        <w:rPr>
          <w:rFonts w:ascii="Arial" w:hAnsi="Arial" w:cs="Arial"/>
          <w:sz w:val="20"/>
          <w:szCs w:val="20"/>
        </w:rPr>
        <w:t>383</w:t>
      </w:r>
      <w:r w:rsidR="00FB2A8F" w:rsidRPr="0071026F">
        <w:rPr>
          <w:rFonts w:ascii="Arial" w:hAnsi="Arial" w:cs="Arial"/>
          <w:sz w:val="20"/>
          <w:szCs w:val="20"/>
        </w:rPr>
        <w:t> 7</w:t>
      </w:r>
      <w:r w:rsidR="004D3B4E" w:rsidRPr="0071026F">
        <w:rPr>
          <w:rFonts w:ascii="Arial" w:hAnsi="Arial" w:cs="Arial"/>
          <w:sz w:val="20"/>
          <w:szCs w:val="20"/>
        </w:rPr>
        <w:t>32</w:t>
      </w:r>
      <w:r w:rsidR="00FB2A8F" w:rsidRPr="0071026F">
        <w:rPr>
          <w:rFonts w:ascii="Arial" w:hAnsi="Arial" w:cs="Arial"/>
          <w:sz w:val="20"/>
          <w:szCs w:val="20"/>
        </w:rPr>
        <w:t xml:space="preserve">). </w:t>
      </w:r>
    </w:p>
    <w:p w14:paraId="4C0B567A" w14:textId="77777777" w:rsidR="00D50A58" w:rsidRPr="0071026F" w:rsidRDefault="004A1088" w:rsidP="0071708A">
      <w:pPr>
        <w:spacing w:before="120" w:after="120" w:line="264" w:lineRule="auto"/>
        <w:jc w:val="both"/>
        <w:rPr>
          <w:rFonts w:ascii="Arial" w:hAnsi="Arial" w:cs="Arial"/>
          <w:sz w:val="20"/>
          <w:szCs w:val="20"/>
          <w:lang w:val="sr-Latn-RS"/>
        </w:rPr>
      </w:pPr>
      <w:r w:rsidRPr="0071026F">
        <w:rPr>
          <w:rFonts w:ascii="Arial" w:hAnsi="Arial" w:cs="Arial"/>
          <w:sz w:val="20"/>
          <w:szCs w:val="20"/>
        </w:rPr>
        <w:t xml:space="preserve">Настављен је тренд депопулације, што значи да је и </w:t>
      </w:r>
      <w:r w:rsidR="001F538D" w:rsidRPr="0071026F">
        <w:rPr>
          <w:rFonts w:ascii="Arial" w:hAnsi="Arial" w:cs="Arial"/>
          <w:sz w:val="20"/>
          <w:szCs w:val="20"/>
        </w:rPr>
        <w:t>стопа</w:t>
      </w:r>
      <w:r w:rsidRPr="0071026F">
        <w:rPr>
          <w:rFonts w:ascii="Arial" w:hAnsi="Arial" w:cs="Arial"/>
          <w:sz w:val="20"/>
          <w:szCs w:val="20"/>
        </w:rPr>
        <w:t xml:space="preserve"> раста становништва, у однос</w:t>
      </w:r>
      <w:r w:rsidR="00A15D43" w:rsidRPr="0071026F">
        <w:rPr>
          <w:rFonts w:ascii="Arial" w:hAnsi="Arial" w:cs="Arial"/>
          <w:sz w:val="20"/>
          <w:szCs w:val="20"/>
        </w:rPr>
        <w:t>у на претходну годину, негативна</w:t>
      </w:r>
      <w:r w:rsidRPr="0071026F">
        <w:rPr>
          <w:rFonts w:ascii="Arial" w:hAnsi="Arial" w:cs="Arial"/>
          <w:sz w:val="20"/>
          <w:szCs w:val="20"/>
        </w:rPr>
        <w:t xml:space="preserve"> и износи </w:t>
      </w:r>
      <w:r w:rsidRPr="0071026F">
        <w:rPr>
          <w:rFonts w:ascii="Arial" w:hAnsi="Arial" w:cs="Arial"/>
          <w:b/>
          <w:bCs/>
          <w:sz w:val="20"/>
          <w:szCs w:val="20"/>
        </w:rPr>
        <w:t>-5,</w:t>
      </w:r>
      <w:r w:rsidR="0044794B" w:rsidRPr="0071026F">
        <w:rPr>
          <w:rFonts w:ascii="Arial" w:hAnsi="Arial" w:cs="Arial"/>
          <w:b/>
          <w:bCs/>
          <w:sz w:val="20"/>
          <w:szCs w:val="20"/>
        </w:rPr>
        <w:t>4</w:t>
      </w:r>
      <w:r w:rsidRPr="0071026F">
        <w:rPr>
          <w:rFonts w:ascii="Arial" w:hAnsi="Arial" w:cs="Arial"/>
          <w:b/>
          <w:bCs/>
          <w:sz w:val="20"/>
          <w:szCs w:val="20"/>
        </w:rPr>
        <w:t>‰</w:t>
      </w:r>
      <w:r w:rsidRPr="0071026F">
        <w:rPr>
          <w:rFonts w:ascii="Arial" w:hAnsi="Arial" w:cs="Arial"/>
          <w:sz w:val="20"/>
          <w:szCs w:val="20"/>
        </w:rPr>
        <w:t>.</w:t>
      </w:r>
      <w:r w:rsidR="00D83980" w:rsidRPr="0071026F">
        <w:rPr>
          <w:rFonts w:ascii="Arial" w:hAnsi="Arial" w:cs="Arial"/>
          <w:sz w:val="20"/>
          <w:szCs w:val="20"/>
        </w:rPr>
        <w:t xml:space="preserve"> </w:t>
      </w:r>
      <w:r w:rsidR="008C6D40" w:rsidRPr="0071026F">
        <w:rPr>
          <w:rFonts w:ascii="Arial" w:hAnsi="Arial" w:cs="Arial"/>
          <w:sz w:val="20"/>
          <w:szCs w:val="20"/>
        </w:rPr>
        <w:t>Истовремено, п</w:t>
      </w:r>
      <w:r w:rsidR="00D83980" w:rsidRPr="0071026F">
        <w:rPr>
          <w:rFonts w:ascii="Arial" w:hAnsi="Arial" w:cs="Arial"/>
          <w:sz w:val="20"/>
          <w:szCs w:val="20"/>
        </w:rPr>
        <w:t>роцес демографског старења</w:t>
      </w:r>
      <w:r w:rsidR="008C6D40" w:rsidRPr="0071026F">
        <w:rPr>
          <w:rFonts w:ascii="Arial" w:hAnsi="Arial" w:cs="Arial"/>
          <w:sz w:val="20"/>
          <w:szCs w:val="20"/>
        </w:rPr>
        <w:t xml:space="preserve"> становништва</w:t>
      </w:r>
      <w:r w:rsidR="00D83980" w:rsidRPr="0071026F">
        <w:rPr>
          <w:rFonts w:ascii="Arial" w:hAnsi="Arial" w:cs="Arial"/>
          <w:sz w:val="20"/>
          <w:szCs w:val="20"/>
        </w:rPr>
        <w:t xml:space="preserve"> манифестује </w:t>
      </w:r>
      <w:r w:rsidR="008C6D40" w:rsidRPr="0071026F">
        <w:rPr>
          <w:rFonts w:ascii="Arial" w:hAnsi="Arial" w:cs="Arial"/>
          <w:sz w:val="20"/>
          <w:szCs w:val="20"/>
        </w:rPr>
        <w:t xml:space="preserve">се </w:t>
      </w:r>
      <w:r w:rsidR="00D83980" w:rsidRPr="0071026F">
        <w:rPr>
          <w:rFonts w:ascii="Arial" w:hAnsi="Arial" w:cs="Arial"/>
          <w:sz w:val="20"/>
          <w:szCs w:val="20"/>
        </w:rPr>
        <w:t>ниским и стално опадајућим учешћем младих и високим и континуирано растућим уделом старих у укупном становништву.</w:t>
      </w:r>
      <w:r w:rsidR="008C6D40" w:rsidRPr="0071026F">
        <w:rPr>
          <w:rFonts w:ascii="Arial" w:hAnsi="Arial" w:cs="Arial"/>
          <w:sz w:val="20"/>
          <w:szCs w:val="20"/>
        </w:rPr>
        <w:t xml:space="preserve"> Према подацима за </w:t>
      </w:r>
      <w:r w:rsidR="00A51F0E" w:rsidRPr="0071026F">
        <w:rPr>
          <w:rFonts w:ascii="Arial" w:hAnsi="Arial" w:cs="Arial"/>
          <w:sz w:val="20"/>
          <w:szCs w:val="20"/>
        </w:rPr>
        <w:t xml:space="preserve">Републику Србију у </w:t>
      </w:r>
      <w:r w:rsidR="008C6D40" w:rsidRPr="0071026F">
        <w:rPr>
          <w:rFonts w:ascii="Arial" w:hAnsi="Arial" w:cs="Arial"/>
          <w:sz w:val="20"/>
          <w:szCs w:val="20"/>
        </w:rPr>
        <w:t>201</w:t>
      </w:r>
      <w:r w:rsidR="0044794B" w:rsidRPr="0071026F">
        <w:rPr>
          <w:rFonts w:ascii="Arial" w:hAnsi="Arial" w:cs="Arial"/>
          <w:sz w:val="20"/>
          <w:szCs w:val="20"/>
        </w:rPr>
        <w:t>9</w:t>
      </w:r>
      <w:r w:rsidR="008C6D40" w:rsidRPr="0071026F">
        <w:rPr>
          <w:rFonts w:ascii="Arial" w:hAnsi="Arial" w:cs="Arial"/>
          <w:sz w:val="20"/>
          <w:szCs w:val="20"/>
        </w:rPr>
        <w:t xml:space="preserve">. </w:t>
      </w:r>
      <w:r w:rsidR="00A51F0E" w:rsidRPr="0071026F">
        <w:rPr>
          <w:rFonts w:ascii="Arial" w:hAnsi="Arial" w:cs="Arial"/>
          <w:sz w:val="20"/>
          <w:szCs w:val="20"/>
        </w:rPr>
        <w:t xml:space="preserve">години </w:t>
      </w:r>
      <w:r w:rsidR="008C6D40" w:rsidRPr="0071026F">
        <w:rPr>
          <w:rFonts w:ascii="Arial" w:hAnsi="Arial" w:cs="Arial"/>
          <w:sz w:val="20"/>
          <w:szCs w:val="20"/>
        </w:rPr>
        <w:t>удео лица старих 65 и више година износи 20,</w:t>
      </w:r>
      <w:r w:rsidR="0044794B" w:rsidRPr="0071026F">
        <w:rPr>
          <w:rFonts w:ascii="Arial" w:hAnsi="Arial" w:cs="Arial"/>
          <w:sz w:val="20"/>
          <w:szCs w:val="20"/>
        </w:rPr>
        <w:t>7</w:t>
      </w:r>
      <w:r w:rsidR="005D6DEB" w:rsidRPr="0071026F">
        <w:rPr>
          <w:rFonts w:ascii="Arial" w:hAnsi="Arial" w:cs="Arial"/>
          <w:sz w:val="20"/>
          <w:szCs w:val="20"/>
        </w:rPr>
        <w:t>%, а млађих од 1</w:t>
      </w:r>
      <w:bookmarkStart w:id="0" w:name="_GoBack"/>
      <w:bookmarkEnd w:id="0"/>
      <w:r w:rsidR="005D6DEB" w:rsidRPr="0071026F">
        <w:rPr>
          <w:rFonts w:ascii="Arial" w:hAnsi="Arial" w:cs="Arial"/>
          <w:sz w:val="20"/>
          <w:szCs w:val="20"/>
        </w:rPr>
        <w:t>5</w:t>
      </w:r>
      <w:r w:rsidR="005D6DEB" w:rsidRPr="0071026F">
        <w:rPr>
          <w:rFonts w:ascii="Arial" w:hAnsi="Arial" w:cs="Arial"/>
          <w:sz w:val="20"/>
          <w:szCs w:val="20"/>
          <w:lang w:val="sr-Latn-RS"/>
        </w:rPr>
        <w:t xml:space="preserve"> </w:t>
      </w:r>
      <w:r w:rsidR="005D6DEB" w:rsidRPr="0071026F">
        <w:rPr>
          <w:rFonts w:ascii="Arial" w:hAnsi="Arial" w:cs="Arial"/>
          <w:sz w:val="20"/>
          <w:szCs w:val="20"/>
        </w:rPr>
        <w:t>година има</w:t>
      </w:r>
      <w:r w:rsidR="00E0303C" w:rsidRPr="0071026F">
        <w:rPr>
          <w:rFonts w:ascii="Arial" w:hAnsi="Arial" w:cs="Arial"/>
          <w:sz w:val="20"/>
          <w:szCs w:val="20"/>
        </w:rPr>
        <w:t xml:space="preserve"> 14,</w:t>
      </w:r>
      <w:r w:rsidR="00A51F0E" w:rsidRPr="0071026F">
        <w:rPr>
          <w:rFonts w:ascii="Arial" w:hAnsi="Arial" w:cs="Arial"/>
          <w:sz w:val="20"/>
          <w:szCs w:val="20"/>
        </w:rPr>
        <w:t>3%.</w:t>
      </w:r>
    </w:p>
    <w:p w14:paraId="6A015E0F" w14:textId="6406E905" w:rsidR="00A86E0C" w:rsidRPr="0071026F" w:rsidRDefault="00A86E0C" w:rsidP="0071708A">
      <w:pPr>
        <w:spacing w:before="120" w:after="120" w:line="264" w:lineRule="auto"/>
        <w:jc w:val="both"/>
        <w:rPr>
          <w:rFonts w:ascii="Arial" w:hAnsi="Arial" w:cs="Arial"/>
          <w:sz w:val="20"/>
          <w:szCs w:val="20"/>
        </w:rPr>
      </w:pPr>
      <w:r w:rsidRPr="00CA3AD8">
        <w:rPr>
          <w:rFonts w:ascii="Arial" w:hAnsi="Arial" w:cs="Arial"/>
          <w:sz w:val="20"/>
          <w:szCs w:val="20"/>
        </w:rPr>
        <w:t>Посматрано на нивоу области, у Зајечарској области забележен је највећи удео старих 65 и више година (</w:t>
      </w:r>
      <w:r w:rsidR="003D633B" w:rsidRPr="00CA3AD8">
        <w:rPr>
          <w:rFonts w:ascii="Arial" w:hAnsi="Arial" w:cs="Arial"/>
          <w:sz w:val="20"/>
          <w:szCs w:val="20"/>
          <w:lang w:val="sr-Latn-RS"/>
        </w:rPr>
        <w:t>28,5</w:t>
      </w:r>
      <w:r w:rsidRPr="00CA3AD8">
        <w:rPr>
          <w:rFonts w:ascii="Arial" w:hAnsi="Arial" w:cs="Arial"/>
          <w:sz w:val="20"/>
          <w:szCs w:val="20"/>
        </w:rPr>
        <w:t>%) и истовремено најмањи удео становниш</w:t>
      </w:r>
      <w:r w:rsidR="00E0303C" w:rsidRPr="00CA3AD8">
        <w:rPr>
          <w:rFonts w:ascii="Arial" w:hAnsi="Arial" w:cs="Arial"/>
          <w:sz w:val="20"/>
          <w:szCs w:val="20"/>
        </w:rPr>
        <w:t>тва млађег од 15 година (11,</w:t>
      </w:r>
      <w:r w:rsidR="003D633B" w:rsidRPr="00CA3AD8">
        <w:rPr>
          <w:rFonts w:ascii="Arial" w:hAnsi="Arial" w:cs="Arial"/>
          <w:sz w:val="20"/>
          <w:szCs w:val="20"/>
          <w:lang w:val="sr-Latn-RS"/>
        </w:rPr>
        <w:t>2</w:t>
      </w:r>
      <w:r w:rsidR="00E0303C" w:rsidRPr="00CA3AD8">
        <w:rPr>
          <w:rFonts w:ascii="Arial" w:hAnsi="Arial" w:cs="Arial"/>
          <w:sz w:val="20"/>
          <w:szCs w:val="20"/>
        </w:rPr>
        <w:t>%).</w:t>
      </w:r>
      <w:r w:rsidRPr="00CA3AD8">
        <w:rPr>
          <w:rFonts w:ascii="Arial" w:hAnsi="Arial" w:cs="Arial"/>
          <w:sz w:val="20"/>
          <w:szCs w:val="20"/>
        </w:rPr>
        <w:t xml:space="preserve"> С друге стране, најмањи удео старих 65 и више година је у Пчињској области (15,</w:t>
      </w:r>
      <w:r w:rsidR="0044794B" w:rsidRPr="00CA3AD8">
        <w:rPr>
          <w:rFonts w:ascii="Arial" w:hAnsi="Arial" w:cs="Arial"/>
          <w:sz w:val="20"/>
          <w:szCs w:val="20"/>
        </w:rPr>
        <w:t>7</w:t>
      </w:r>
      <w:r w:rsidRPr="00CA3AD8">
        <w:rPr>
          <w:rFonts w:ascii="Arial" w:hAnsi="Arial" w:cs="Arial"/>
          <w:sz w:val="20"/>
          <w:szCs w:val="20"/>
        </w:rPr>
        <w:t xml:space="preserve">%), али је највећи удео млађих од 15 година најпре у Рашкој области (18%), а потом у </w:t>
      </w:r>
      <w:r w:rsidR="0044794B" w:rsidRPr="00CA3AD8">
        <w:rPr>
          <w:rFonts w:ascii="Arial" w:hAnsi="Arial" w:cs="Arial"/>
          <w:sz w:val="20"/>
          <w:szCs w:val="20"/>
        </w:rPr>
        <w:t xml:space="preserve">Јужнобачкој (15,5%) и </w:t>
      </w:r>
      <w:r w:rsidRPr="00CA3AD8">
        <w:rPr>
          <w:rFonts w:ascii="Arial" w:hAnsi="Arial" w:cs="Arial"/>
          <w:sz w:val="20"/>
          <w:szCs w:val="20"/>
        </w:rPr>
        <w:t>Пчињској области (15,</w:t>
      </w:r>
      <w:r w:rsidR="0044794B" w:rsidRPr="00CA3AD8">
        <w:rPr>
          <w:rFonts w:ascii="Arial" w:hAnsi="Arial" w:cs="Arial"/>
          <w:sz w:val="20"/>
          <w:szCs w:val="20"/>
        </w:rPr>
        <w:t>4</w:t>
      </w:r>
      <w:r w:rsidRPr="00CA3AD8">
        <w:rPr>
          <w:rFonts w:ascii="Arial" w:hAnsi="Arial" w:cs="Arial"/>
          <w:sz w:val="20"/>
          <w:szCs w:val="20"/>
        </w:rPr>
        <w:t>%).</w:t>
      </w:r>
      <w:r w:rsidR="003056F0" w:rsidRPr="00CA3AD8">
        <w:rPr>
          <w:rFonts w:ascii="Arial" w:hAnsi="Arial" w:cs="Arial"/>
          <w:sz w:val="20"/>
          <w:szCs w:val="20"/>
        </w:rPr>
        <w:t xml:space="preserve"> </w:t>
      </w:r>
      <w:r w:rsidR="003E3892" w:rsidRPr="00CA3AD8">
        <w:rPr>
          <w:rFonts w:ascii="Arial" w:hAnsi="Arial" w:cs="Arial"/>
          <w:sz w:val="20"/>
          <w:szCs w:val="20"/>
        </w:rPr>
        <w:t xml:space="preserve">На графичком приказу (граф. 1) представљено је </w:t>
      </w:r>
      <w:r w:rsidR="003056F0" w:rsidRPr="00CA3AD8">
        <w:rPr>
          <w:rFonts w:ascii="Arial" w:hAnsi="Arial" w:cs="Arial"/>
          <w:sz w:val="20"/>
          <w:szCs w:val="20"/>
        </w:rPr>
        <w:t xml:space="preserve">првих и последњих пет области у којима је удео </w:t>
      </w:r>
      <w:r w:rsidR="000E1952" w:rsidRPr="00CA3AD8">
        <w:rPr>
          <w:rFonts w:ascii="Arial" w:hAnsi="Arial" w:cs="Arial"/>
          <w:sz w:val="20"/>
          <w:szCs w:val="20"/>
        </w:rPr>
        <w:t>старог</w:t>
      </w:r>
      <w:r w:rsidR="000E1952" w:rsidRPr="00CA3AD8">
        <w:rPr>
          <w:rFonts w:ascii="Arial" w:hAnsi="Arial" w:cs="Arial"/>
          <w:sz w:val="20"/>
          <w:szCs w:val="20"/>
          <w:lang w:val="sr-Latn-RS"/>
        </w:rPr>
        <w:t xml:space="preserve"> </w:t>
      </w:r>
      <w:r w:rsidR="003E3892" w:rsidRPr="00CA3AD8">
        <w:rPr>
          <w:rFonts w:ascii="Arial" w:hAnsi="Arial" w:cs="Arial"/>
          <w:sz w:val="20"/>
          <w:szCs w:val="20"/>
        </w:rPr>
        <w:t xml:space="preserve">становништва (65+) </w:t>
      </w:r>
      <w:r w:rsidR="003056F0" w:rsidRPr="00CA3AD8">
        <w:rPr>
          <w:rFonts w:ascii="Arial" w:hAnsi="Arial" w:cs="Arial"/>
          <w:sz w:val="20"/>
          <w:szCs w:val="20"/>
        </w:rPr>
        <w:t>највећи</w:t>
      </w:r>
      <w:r w:rsidR="003C4F00" w:rsidRPr="00CA3AD8">
        <w:rPr>
          <w:rFonts w:ascii="Arial" w:hAnsi="Arial" w:cs="Arial"/>
          <w:sz w:val="20"/>
          <w:szCs w:val="20"/>
          <w:lang w:val="sr-Latn-RS"/>
        </w:rPr>
        <w:t>,</w:t>
      </w:r>
      <w:r w:rsidR="003056F0" w:rsidRPr="00CA3AD8">
        <w:rPr>
          <w:rFonts w:ascii="Arial" w:hAnsi="Arial" w:cs="Arial"/>
          <w:sz w:val="20"/>
          <w:szCs w:val="20"/>
        </w:rPr>
        <w:t xml:space="preserve"> односно најмањи, респективно. Поређења ради, за те области приказано је и учешће становништва млађег</w:t>
      </w:r>
      <w:r w:rsidR="003056F0" w:rsidRPr="0071026F">
        <w:rPr>
          <w:rFonts w:ascii="Arial" w:hAnsi="Arial" w:cs="Arial"/>
          <w:sz w:val="20"/>
          <w:szCs w:val="20"/>
        </w:rPr>
        <w:t xml:space="preserve"> од 15 година.</w:t>
      </w:r>
    </w:p>
    <w:p w14:paraId="51825A30" w14:textId="77777777" w:rsidR="00A51F0E" w:rsidRPr="0071026F" w:rsidRDefault="00801C16" w:rsidP="00E07163">
      <w:pPr>
        <w:spacing w:before="600"/>
        <w:ind w:left="680" w:hanging="680"/>
        <w:jc w:val="both"/>
        <w:rPr>
          <w:rFonts w:ascii="Arial" w:hAnsi="Arial" w:cs="Arial"/>
          <w:sz w:val="20"/>
          <w:szCs w:val="20"/>
        </w:rPr>
      </w:pPr>
      <w:r w:rsidRPr="0071026F">
        <w:rPr>
          <w:rFonts w:ascii="Arial" w:hAnsi="Arial" w:cs="Arial"/>
          <w:sz w:val="20"/>
          <w:szCs w:val="20"/>
        </w:rPr>
        <w:t>Граф</w:t>
      </w:r>
      <w:r w:rsidR="00E0303C" w:rsidRPr="0071026F">
        <w:rPr>
          <w:rFonts w:ascii="Arial" w:hAnsi="Arial" w:cs="Arial"/>
          <w:sz w:val="20"/>
          <w:szCs w:val="20"/>
        </w:rPr>
        <w:t xml:space="preserve">. </w:t>
      </w:r>
      <w:r w:rsidRPr="0071026F">
        <w:rPr>
          <w:rFonts w:ascii="Arial" w:hAnsi="Arial" w:cs="Arial"/>
          <w:sz w:val="20"/>
          <w:szCs w:val="20"/>
        </w:rPr>
        <w:t xml:space="preserve">1. Удео младог и старог становништва у укупном становништву, </w:t>
      </w:r>
      <w:r w:rsidR="00A51F0E" w:rsidRPr="0071026F">
        <w:rPr>
          <w:rFonts w:ascii="Arial" w:hAnsi="Arial" w:cs="Arial"/>
          <w:sz w:val="20"/>
          <w:szCs w:val="20"/>
        </w:rPr>
        <w:softHyphen/>
      </w:r>
    </w:p>
    <w:p w14:paraId="10CABD21" w14:textId="77777777" w:rsidR="00A86E0C" w:rsidRPr="0071026F" w:rsidRDefault="00126B59" w:rsidP="00E41F3A">
      <w:pPr>
        <w:spacing w:after="160"/>
        <w:ind w:left="680" w:hanging="680"/>
        <w:rPr>
          <w:rFonts w:ascii="Arial" w:hAnsi="Arial" w:cs="Arial"/>
          <w:b/>
          <w:sz w:val="20"/>
          <w:szCs w:val="20"/>
          <w:lang w:val="sr-Latn-RS"/>
        </w:rPr>
      </w:pPr>
      <w:r w:rsidRPr="0071026F">
        <w:rPr>
          <w:rFonts w:ascii="Arial" w:hAnsi="Arial" w:cs="Arial"/>
          <w:b/>
          <w:sz w:val="20"/>
          <w:szCs w:val="20"/>
          <w:lang w:val="sr-Latn-RS"/>
        </w:rPr>
        <w:t xml:space="preserve"> </w:t>
      </w:r>
      <w:r w:rsidRPr="0071026F">
        <w:rPr>
          <w:rFonts w:ascii="Arial" w:hAnsi="Arial" w:cs="Arial"/>
          <w:b/>
          <w:sz w:val="20"/>
          <w:szCs w:val="20"/>
          <w:lang w:val="sr-Latn-RS"/>
        </w:rPr>
        <w:tab/>
      </w:r>
      <w:r w:rsidR="0071708A" w:rsidRPr="0071026F">
        <w:rPr>
          <w:rFonts w:ascii="Arial" w:hAnsi="Arial" w:cs="Arial"/>
          <w:b/>
          <w:sz w:val="20"/>
          <w:szCs w:val="20"/>
        </w:rPr>
        <w:t xml:space="preserve">   </w:t>
      </w:r>
      <w:r w:rsidRPr="0071026F">
        <w:rPr>
          <w:rFonts w:ascii="Arial" w:hAnsi="Arial" w:cs="Arial"/>
          <w:sz w:val="20"/>
          <w:szCs w:val="20"/>
        </w:rPr>
        <w:t>процена средином 201</w:t>
      </w:r>
      <w:r w:rsidR="0044794B" w:rsidRPr="0071026F">
        <w:rPr>
          <w:rFonts w:ascii="Arial" w:hAnsi="Arial" w:cs="Arial"/>
          <w:sz w:val="20"/>
          <w:szCs w:val="20"/>
        </w:rPr>
        <w:t>9</w:t>
      </w:r>
      <w:r w:rsidRPr="0071026F">
        <w:rPr>
          <w:rFonts w:ascii="Arial" w:hAnsi="Arial" w:cs="Arial"/>
          <w:sz w:val="20"/>
          <w:szCs w:val="20"/>
        </w:rPr>
        <w:t>.</w:t>
      </w:r>
      <w:r w:rsidR="0044794B" w:rsidRPr="0071026F">
        <w:rPr>
          <w:rFonts w:ascii="Arial" w:hAnsi="Arial" w:cs="Arial"/>
          <w:sz w:val="20"/>
          <w:szCs w:val="20"/>
        </w:rPr>
        <w:t xml:space="preserve"> </w:t>
      </w:r>
    </w:p>
    <w:p w14:paraId="4CC65EB9" w14:textId="77777777" w:rsidR="00A86E0C" w:rsidRPr="000764A2" w:rsidRDefault="00D90E25" w:rsidP="00A86E0C">
      <w:pPr>
        <w:rPr>
          <w:rFonts w:ascii="Arial" w:hAnsi="Arial" w:cs="Arial"/>
          <w:sz w:val="20"/>
          <w:szCs w:val="20"/>
        </w:rPr>
      </w:pPr>
      <w:r w:rsidRPr="00E409D0">
        <w:rPr>
          <w:rFonts w:ascii="Arial" w:hAnsi="Arial" w:cs="Arial"/>
          <w:noProof/>
          <w:sz w:val="20"/>
          <w:szCs w:val="20"/>
          <w:lang w:val="en-US"/>
        </w:rPr>
        <mc:AlternateContent>
          <mc:Choice Requires="wps">
            <w:drawing>
              <wp:anchor distT="0" distB="0" distL="114300" distR="114300" simplePos="0" relativeHeight="251658240" behindDoc="0" locked="0" layoutInCell="1" allowOverlap="1" wp14:anchorId="23CD432B" wp14:editId="14969C8B">
                <wp:simplePos x="0" y="0"/>
                <wp:positionH relativeFrom="column">
                  <wp:posOffset>4250690</wp:posOffset>
                </wp:positionH>
                <wp:positionV relativeFrom="paragraph">
                  <wp:posOffset>12700</wp:posOffset>
                </wp:positionV>
                <wp:extent cx="2238375" cy="35147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238375" cy="3514725"/>
                        </a:xfrm>
                        <a:prstGeom prst="roundRect">
                          <a:avLst/>
                        </a:prstGeom>
                        <a:solidFill>
                          <a:schemeClr val="bg1">
                            <a:lumMod val="95000"/>
                          </a:schemeClr>
                        </a:solidFill>
                        <a:ln w="3175">
                          <a:solidFill>
                            <a:schemeClr val="bg1">
                              <a:lumMod val="75000"/>
                            </a:schemeClr>
                          </a:solidFill>
                        </a:ln>
                      </wps:spPr>
                      <wps:txbx>
                        <w:txbxContent>
                          <w:p w14:paraId="2CD23F93" w14:textId="77777777" w:rsidR="00126B59" w:rsidRDefault="00126B59" w:rsidP="00957487">
                            <w:pPr>
                              <w:shd w:val="clear" w:color="auto" w:fill="F2F2F2" w:themeFill="background1" w:themeFillShade="F2"/>
                              <w:rPr>
                                <w:rFonts w:ascii="Arial" w:hAnsi="Arial" w:cs="Arial"/>
                                <w:sz w:val="18"/>
                                <w:szCs w:val="18"/>
                                <w:lang w:val="sr-Latn-RS"/>
                              </w:rPr>
                            </w:pPr>
                          </w:p>
                          <w:p w14:paraId="18DDB6E8" w14:textId="77777777" w:rsidR="00450DB2" w:rsidRPr="0071026F" w:rsidRDefault="00450DB2" w:rsidP="00CC470B">
                            <w:pPr>
                              <w:shd w:val="clear" w:color="auto" w:fill="F2F2F2" w:themeFill="background1" w:themeFillShade="F2"/>
                              <w:spacing w:before="120" w:after="120"/>
                              <w:rPr>
                                <w:rFonts w:ascii="Arial" w:hAnsi="Arial" w:cs="Arial"/>
                                <w:sz w:val="18"/>
                                <w:szCs w:val="18"/>
                              </w:rPr>
                            </w:pPr>
                            <w:r w:rsidRPr="0071026F">
                              <w:rPr>
                                <w:rFonts w:ascii="Arial" w:hAnsi="Arial" w:cs="Arial"/>
                                <w:sz w:val="18"/>
                                <w:szCs w:val="18"/>
                              </w:rPr>
                              <w:t>Притисак оваквих демографских трендова највише осликава коефицијент зависности старог становништва (број старих 65 и више година на 100 лица старости од 15 до 64 године), који је најизразитији у Зајечарској (</w:t>
                            </w:r>
                            <w:r w:rsidR="00E23994" w:rsidRPr="0071026F">
                              <w:rPr>
                                <w:rFonts w:ascii="Arial" w:hAnsi="Arial" w:cs="Arial"/>
                                <w:sz w:val="18"/>
                                <w:szCs w:val="18"/>
                              </w:rPr>
                              <w:t>47,2</w:t>
                            </w:r>
                            <w:r w:rsidRPr="0071026F">
                              <w:rPr>
                                <w:rFonts w:ascii="Arial" w:hAnsi="Arial" w:cs="Arial"/>
                                <w:sz w:val="18"/>
                                <w:szCs w:val="18"/>
                              </w:rPr>
                              <w:t>) и Пиротској (</w:t>
                            </w:r>
                            <w:r w:rsidR="00E23994" w:rsidRPr="0071026F">
                              <w:rPr>
                                <w:rFonts w:ascii="Arial" w:hAnsi="Arial" w:cs="Arial"/>
                                <w:sz w:val="18"/>
                                <w:szCs w:val="18"/>
                              </w:rPr>
                              <w:t>41,2</w:t>
                            </w:r>
                            <w:r w:rsidRPr="0071026F">
                              <w:rPr>
                                <w:rFonts w:ascii="Arial" w:hAnsi="Arial" w:cs="Arial"/>
                                <w:sz w:val="18"/>
                                <w:szCs w:val="18"/>
                              </w:rPr>
                              <w:t>) области, док је најмање оптерећење радне снаге у Пчињској области (22,</w:t>
                            </w:r>
                            <w:r w:rsidR="00E23994" w:rsidRPr="0071026F">
                              <w:rPr>
                                <w:rFonts w:ascii="Arial" w:hAnsi="Arial" w:cs="Arial"/>
                                <w:sz w:val="18"/>
                                <w:szCs w:val="18"/>
                              </w:rPr>
                              <w:t>8</w:t>
                            </w:r>
                            <w:r w:rsidRPr="0071026F">
                              <w:rPr>
                                <w:rFonts w:ascii="Arial" w:hAnsi="Arial" w:cs="Arial"/>
                                <w:sz w:val="18"/>
                                <w:szCs w:val="18"/>
                              </w:rPr>
                              <w:t xml:space="preserve">). </w:t>
                            </w:r>
                          </w:p>
                          <w:p w14:paraId="0CBEA738" w14:textId="77777777" w:rsidR="00450DB2" w:rsidRPr="0071026F" w:rsidRDefault="00450DB2" w:rsidP="00CC470B">
                            <w:pPr>
                              <w:shd w:val="clear" w:color="auto" w:fill="F2F2F2" w:themeFill="background1" w:themeFillShade="F2"/>
                              <w:spacing w:before="120" w:after="120"/>
                              <w:rPr>
                                <w:rFonts w:ascii="Arial" w:hAnsi="Arial" w:cs="Arial"/>
                                <w:sz w:val="18"/>
                                <w:szCs w:val="18"/>
                              </w:rPr>
                            </w:pPr>
                            <w:r w:rsidRPr="0071026F">
                              <w:rPr>
                                <w:rFonts w:ascii="Arial" w:hAnsi="Arial" w:cs="Arial"/>
                                <w:sz w:val="18"/>
                                <w:szCs w:val="18"/>
                              </w:rPr>
                              <w:t>Према проценама у 201</w:t>
                            </w:r>
                            <w:r w:rsidR="00E23994" w:rsidRPr="0071026F">
                              <w:rPr>
                                <w:rFonts w:ascii="Arial" w:hAnsi="Arial" w:cs="Arial"/>
                                <w:sz w:val="18"/>
                                <w:szCs w:val="18"/>
                              </w:rPr>
                              <w:t>9</w:t>
                            </w:r>
                            <w:r w:rsidRPr="0071026F">
                              <w:rPr>
                                <w:rFonts w:ascii="Arial" w:hAnsi="Arial" w:cs="Arial"/>
                                <w:sz w:val="18"/>
                                <w:szCs w:val="18"/>
                              </w:rPr>
                              <w:t>. години, у Републици Србији коефицијент зависности старог становништва износи 3</w:t>
                            </w:r>
                            <w:r w:rsidR="00E23994" w:rsidRPr="0071026F">
                              <w:rPr>
                                <w:rFonts w:ascii="Arial" w:hAnsi="Arial" w:cs="Arial"/>
                                <w:sz w:val="18"/>
                                <w:szCs w:val="18"/>
                              </w:rPr>
                              <w:t>1</w:t>
                            </w:r>
                            <w:r w:rsidRPr="0071026F">
                              <w:rPr>
                                <w:rFonts w:ascii="Arial" w:hAnsi="Arial" w:cs="Arial"/>
                                <w:sz w:val="18"/>
                                <w:szCs w:val="18"/>
                              </w:rPr>
                              <w:t xml:space="preserve">,8. </w:t>
                            </w:r>
                          </w:p>
                          <w:p w14:paraId="0921C705" w14:textId="77777777" w:rsidR="00450DB2" w:rsidRPr="0071026F" w:rsidRDefault="00450DB2" w:rsidP="00CC470B">
                            <w:pPr>
                              <w:shd w:val="clear" w:color="auto" w:fill="F2F2F2" w:themeFill="background1" w:themeFillShade="F2"/>
                              <w:spacing w:before="120" w:after="120"/>
                              <w:rPr>
                                <w:rFonts w:ascii="Arial" w:hAnsi="Arial" w:cs="Arial"/>
                                <w:sz w:val="18"/>
                                <w:szCs w:val="18"/>
                              </w:rPr>
                            </w:pPr>
                            <w:r w:rsidRPr="0071026F">
                              <w:rPr>
                                <w:rFonts w:ascii="Arial" w:hAnsi="Arial" w:cs="Arial"/>
                                <w:sz w:val="18"/>
                                <w:szCs w:val="18"/>
                              </w:rPr>
                              <w:t xml:space="preserve">На </w:t>
                            </w:r>
                            <w:r w:rsidR="00C42B50" w:rsidRPr="0071026F">
                              <w:rPr>
                                <w:rFonts w:ascii="Arial" w:hAnsi="Arial" w:cs="Arial"/>
                                <w:sz w:val="18"/>
                                <w:szCs w:val="18"/>
                              </w:rPr>
                              <w:t>градском/</w:t>
                            </w:r>
                            <w:r w:rsidRPr="0071026F">
                              <w:rPr>
                                <w:rFonts w:ascii="Arial" w:hAnsi="Arial" w:cs="Arial"/>
                                <w:sz w:val="18"/>
                                <w:szCs w:val="18"/>
                              </w:rPr>
                              <w:t xml:space="preserve">општинском нивоу, вредности овог коефицијента су највеће у Гаџином Хану, </w:t>
                            </w:r>
                            <w:r w:rsidR="00E23994" w:rsidRPr="0071026F">
                              <w:rPr>
                                <w:rFonts w:ascii="Arial" w:hAnsi="Arial" w:cs="Arial"/>
                                <w:sz w:val="18"/>
                                <w:szCs w:val="18"/>
                              </w:rPr>
                              <w:t>Црној Трави</w:t>
                            </w:r>
                            <w:r w:rsidR="00AC0BBF" w:rsidRPr="0071026F">
                              <w:rPr>
                                <w:rFonts w:ascii="Arial" w:hAnsi="Arial" w:cs="Arial"/>
                                <w:sz w:val="18"/>
                                <w:szCs w:val="18"/>
                                <w:lang w:val="sr-Latn-RS"/>
                              </w:rPr>
                              <w:t xml:space="preserve">, </w:t>
                            </w:r>
                            <w:r w:rsidRPr="0071026F">
                              <w:rPr>
                                <w:rFonts w:ascii="Arial" w:hAnsi="Arial" w:cs="Arial"/>
                                <w:sz w:val="18"/>
                                <w:szCs w:val="18"/>
                              </w:rPr>
                              <w:t>Сврљигу</w:t>
                            </w:r>
                            <w:r w:rsidR="00AC0BBF" w:rsidRPr="0071026F">
                              <w:rPr>
                                <w:rFonts w:ascii="Arial" w:hAnsi="Arial" w:cs="Arial"/>
                                <w:sz w:val="18"/>
                                <w:szCs w:val="18"/>
                              </w:rPr>
                              <w:t xml:space="preserve"> и Рековцу</w:t>
                            </w:r>
                            <w:r w:rsidRPr="0071026F">
                              <w:rPr>
                                <w:rFonts w:ascii="Arial" w:hAnsi="Arial" w:cs="Arial"/>
                                <w:sz w:val="18"/>
                                <w:szCs w:val="18"/>
                              </w:rPr>
                              <w:t xml:space="preserve"> </w:t>
                            </w:r>
                            <w:r w:rsidR="008A7976" w:rsidRPr="0071026F">
                              <w:rPr>
                                <w:rFonts w:ascii="Arial" w:hAnsi="Arial" w:cs="Arial"/>
                                <w:sz w:val="18"/>
                                <w:szCs w:val="18"/>
                              </w:rPr>
                              <w:t>(преко 60)</w:t>
                            </w:r>
                            <w:r w:rsidRPr="0071026F">
                              <w:rPr>
                                <w:rFonts w:ascii="Arial" w:hAnsi="Arial" w:cs="Arial"/>
                                <w:sz w:val="18"/>
                                <w:szCs w:val="18"/>
                              </w:rPr>
                              <w:t xml:space="preserve">, а најмање у Прешеву, </w:t>
                            </w:r>
                            <w:r w:rsidR="00E23994" w:rsidRPr="0071026F">
                              <w:rPr>
                                <w:rFonts w:ascii="Arial" w:hAnsi="Arial" w:cs="Arial"/>
                                <w:sz w:val="18"/>
                                <w:szCs w:val="18"/>
                              </w:rPr>
                              <w:t xml:space="preserve">Бујановцу и </w:t>
                            </w:r>
                            <w:r w:rsidRPr="0071026F">
                              <w:rPr>
                                <w:rFonts w:ascii="Arial" w:hAnsi="Arial" w:cs="Arial"/>
                                <w:sz w:val="18"/>
                                <w:szCs w:val="18"/>
                              </w:rPr>
                              <w:t xml:space="preserve">Тутину </w:t>
                            </w:r>
                            <w:r w:rsidR="008A7976" w:rsidRPr="0071026F">
                              <w:rPr>
                                <w:rFonts w:ascii="Arial" w:hAnsi="Arial" w:cs="Arial"/>
                                <w:sz w:val="18"/>
                                <w:szCs w:val="18"/>
                              </w:rPr>
                              <w:t>(испод 15)</w:t>
                            </w:r>
                            <w:r w:rsidRPr="0071026F">
                              <w:rPr>
                                <w:rFonts w:ascii="Arial" w:hAnsi="Arial" w:cs="Arial"/>
                                <w:sz w:val="18"/>
                                <w:szCs w:val="18"/>
                              </w:rPr>
                              <w:t>.</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CD432B" id="Text Box 18" o:spid="_x0000_s1026" style="position:absolute;margin-left:334.7pt;margin-top:1pt;width:176.25pt;height:27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" fillcolor="#f2f2f2 [3052]" strokecolor="#bfbfbf [2412]" strokeweight=".25pt">
                <v:textbox inset="1mm,0,1mm,0">
                  <w:txbxContent>
                    <w:p w14:paraId="2CD23F93" w14:textId="77777777" w:rsidR="00126B59" w:rsidRDefault="00126B59" w:rsidP="00957487">
                      <w:pPr>
                        <w:shd w:val="clear" w:color="auto" w:fill="F2F2F2" w:themeFill="background1" w:themeFillShade="F2"/>
                        <w:rPr>
                          <w:rFonts w:ascii="Arial" w:hAnsi="Arial" w:cs="Arial"/>
                          <w:sz w:val="18"/>
                          <w:szCs w:val="18"/>
                          <w:lang w:val="sr-Latn-RS"/>
                        </w:rPr>
                      </w:pPr>
                    </w:p>
                    <w:p w14:paraId="18DDB6E8" w14:textId="77777777" w:rsidR="00450DB2" w:rsidRPr="0071026F" w:rsidRDefault="00450DB2" w:rsidP="00CC470B">
                      <w:pPr>
                        <w:shd w:val="clear" w:color="auto" w:fill="F2F2F2" w:themeFill="background1" w:themeFillShade="F2"/>
                        <w:spacing w:before="120" w:after="120"/>
                        <w:rPr>
                          <w:rFonts w:ascii="Arial" w:hAnsi="Arial" w:cs="Arial"/>
                          <w:sz w:val="18"/>
                          <w:szCs w:val="18"/>
                        </w:rPr>
                      </w:pPr>
                      <w:r w:rsidRPr="0071026F">
                        <w:rPr>
                          <w:rFonts w:ascii="Arial" w:hAnsi="Arial" w:cs="Arial"/>
                          <w:sz w:val="18"/>
                          <w:szCs w:val="18"/>
                        </w:rPr>
                        <w:t>Притисак оваквих демографских трендова највише осликава коефицијент зависности старог становништва (број старих 65 и више година на 100 лица старости од 15 до 64 године), који је најизразитији у Зајечарској (</w:t>
                      </w:r>
                      <w:r w:rsidR="00E23994" w:rsidRPr="0071026F">
                        <w:rPr>
                          <w:rFonts w:ascii="Arial" w:hAnsi="Arial" w:cs="Arial"/>
                          <w:sz w:val="18"/>
                          <w:szCs w:val="18"/>
                        </w:rPr>
                        <w:t>47,2</w:t>
                      </w:r>
                      <w:r w:rsidRPr="0071026F">
                        <w:rPr>
                          <w:rFonts w:ascii="Arial" w:hAnsi="Arial" w:cs="Arial"/>
                          <w:sz w:val="18"/>
                          <w:szCs w:val="18"/>
                        </w:rPr>
                        <w:t>) и Пиротској (</w:t>
                      </w:r>
                      <w:r w:rsidR="00E23994" w:rsidRPr="0071026F">
                        <w:rPr>
                          <w:rFonts w:ascii="Arial" w:hAnsi="Arial" w:cs="Arial"/>
                          <w:sz w:val="18"/>
                          <w:szCs w:val="18"/>
                        </w:rPr>
                        <w:t>41,2</w:t>
                      </w:r>
                      <w:r w:rsidRPr="0071026F">
                        <w:rPr>
                          <w:rFonts w:ascii="Arial" w:hAnsi="Arial" w:cs="Arial"/>
                          <w:sz w:val="18"/>
                          <w:szCs w:val="18"/>
                        </w:rPr>
                        <w:t>) области, док је најмање оптерећење радне снаге у Пчињској области (22,</w:t>
                      </w:r>
                      <w:r w:rsidR="00E23994" w:rsidRPr="0071026F">
                        <w:rPr>
                          <w:rFonts w:ascii="Arial" w:hAnsi="Arial" w:cs="Arial"/>
                          <w:sz w:val="18"/>
                          <w:szCs w:val="18"/>
                        </w:rPr>
                        <w:t>8</w:t>
                      </w:r>
                      <w:r w:rsidRPr="0071026F">
                        <w:rPr>
                          <w:rFonts w:ascii="Arial" w:hAnsi="Arial" w:cs="Arial"/>
                          <w:sz w:val="18"/>
                          <w:szCs w:val="18"/>
                        </w:rPr>
                        <w:t xml:space="preserve">). </w:t>
                      </w:r>
                    </w:p>
                    <w:p w14:paraId="0CBEA738" w14:textId="77777777" w:rsidR="00450DB2" w:rsidRPr="0071026F" w:rsidRDefault="00450DB2" w:rsidP="00CC470B">
                      <w:pPr>
                        <w:shd w:val="clear" w:color="auto" w:fill="F2F2F2" w:themeFill="background1" w:themeFillShade="F2"/>
                        <w:spacing w:before="120" w:after="120"/>
                        <w:rPr>
                          <w:rFonts w:ascii="Arial" w:hAnsi="Arial" w:cs="Arial"/>
                          <w:sz w:val="18"/>
                          <w:szCs w:val="18"/>
                        </w:rPr>
                      </w:pPr>
                      <w:r w:rsidRPr="0071026F">
                        <w:rPr>
                          <w:rFonts w:ascii="Arial" w:hAnsi="Arial" w:cs="Arial"/>
                          <w:sz w:val="18"/>
                          <w:szCs w:val="18"/>
                        </w:rPr>
                        <w:t>Према проценама у 201</w:t>
                      </w:r>
                      <w:r w:rsidR="00E23994" w:rsidRPr="0071026F">
                        <w:rPr>
                          <w:rFonts w:ascii="Arial" w:hAnsi="Arial" w:cs="Arial"/>
                          <w:sz w:val="18"/>
                          <w:szCs w:val="18"/>
                        </w:rPr>
                        <w:t>9</w:t>
                      </w:r>
                      <w:r w:rsidRPr="0071026F">
                        <w:rPr>
                          <w:rFonts w:ascii="Arial" w:hAnsi="Arial" w:cs="Arial"/>
                          <w:sz w:val="18"/>
                          <w:szCs w:val="18"/>
                        </w:rPr>
                        <w:t>. години, у Републици Србији коефицијент зависности старог становништва износи 3</w:t>
                      </w:r>
                      <w:r w:rsidR="00E23994" w:rsidRPr="0071026F">
                        <w:rPr>
                          <w:rFonts w:ascii="Arial" w:hAnsi="Arial" w:cs="Arial"/>
                          <w:sz w:val="18"/>
                          <w:szCs w:val="18"/>
                        </w:rPr>
                        <w:t>1</w:t>
                      </w:r>
                      <w:r w:rsidRPr="0071026F">
                        <w:rPr>
                          <w:rFonts w:ascii="Arial" w:hAnsi="Arial" w:cs="Arial"/>
                          <w:sz w:val="18"/>
                          <w:szCs w:val="18"/>
                        </w:rPr>
                        <w:t xml:space="preserve">,8. </w:t>
                      </w:r>
                    </w:p>
                    <w:p w14:paraId="0921C705" w14:textId="77777777" w:rsidR="00450DB2" w:rsidRPr="0071026F" w:rsidRDefault="00450DB2" w:rsidP="00CC470B">
                      <w:pPr>
                        <w:shd w:val="clear" w:color="auto" w:fill="F2F2F2" w:themeFill="background1" w:themeFillShade="F2"/>
                        <w:spacing w:before="120" w:after="120"/>
                        <w:rPr>
                          <w:rFonts w:ascii="Arial" w:hAnsi="Arial" w:cs="Arial"/>
                          <w:sz w:val="18"/>
                          <w:szCs w:val="18"/>
                        </w:rPr>
                      </w:pPr>
                      <w:r w:rsidRPr="0071026F">
                        <w:rPr>
                          <w:rFonts w:ascii="Arial" w:hAnsi="Arial" w:cs="Arial"/>
                          <w:sz w:val="18"/>
                          <w:szCs w:val="18"/>
                        </w:rPr>
                        <w:t xml:space="preserve">На </w:t>
                      </w:r>
                      <w:r w:rsidR="00C42B50" w:rsidRPr="0071026F">
                        <w:rPr>
                          <w:rFonts w:ascii="Arial" w:hAnsi="Arial" w:cs="Arial"/>
                          <w:sz w:val="18"/>
                          <w:szCs w:val="18"/>
                        </w:rPr>
                        <w:t>градском/</w:t>
                      </w:r>
                      <w:r w:rsidRPr="0071026F">
                        <w:rPr>
                          <w:rFonts w:ascii="Arial" w:hAnsi="Arial" w:cs="Arial"/>
                          <w:sz w:val="18"/>
                          <w:szCs w:val="18"/>
                        </w:rPr>
                        <w:t xml:space="preserve">општинском нивоу, вредности овог коефицијента су највеће у Гаџином Хану, </w:t>
                      </w:r>
                      <w:r w:rsidR="00E23994" w:rsidRPr="0071026F">
                        <w:rPr>
                          <w:rFonts w:ascii="Arial" w:hAnsi="Arial" w:cs="Arial"/>
                          <w:sz w:val="18"/>
                          <w:szCs w:val="18"/>
                        </w:rPr>
                        <w:t>Црној Трави</w:t>
                      </w:r>
                      <w:r w:rsidR="00AC0BBF" w:rsidRPr="0071026F">
                        <w:rPr>
                          <w:rFonts w:ascii="Arial" w:hAnsi="Arial" w:cs="Arial"/>
                          <w:sz w:val="18"/>
                          <w:szCs w:val="18"/>
                          <w:lang w:val="sr-Latn-RS"/>
                        </w:rPr>
                        <w:t xml:space="preserve">, </w:t>
                      </w:r>
                      <w:r w:rsidRPr="0071026F">
                        <w:rPr>
                          <w:rFonts w:ascii="Arial" w:hAnsi="Arial" w:cs="Arial"/>
                          <w:sz w:val="18"/>
                          <w:szCs w:val="18"/>
                        </w:rPr>
                        <w:t>Сврљигу</w:t>
                      </w:r>
                      <w:r w:rsidR="00AC0BBF" w:rsidRPr="0071026F">
                        <w:rPr>
                          <w:rFonts w:ascii="Arial" w:hAnsi="Arial" w:cs="Arial"/>
                          <w:sz w:val="18"/>
                          <w:szCs w:val="18"/>
                        </w:rPr>
                        <w:t xml:space="preserve"> и Рековцу</w:t>
                      </w:r>
                      <w:r w:rsidRPr="0071026F">
                        <w:rPr>
                          <w:rFonts w:ascii="Arial" w:hAnsi="Arial" w:cs="Arial"/>
                          <w:sz w:val="18"/>
                          <w:szCs w:val="18"/>
                        </w:rPr>
                        <w:t xml:space="preserve"> </w:t>
                      </w:r>
                      <w:r w:rsidR="008A7976" w:rsidRPr="0071026F">
                        <w:rPr>
                          <w:rFonts w:ascii="Arial" w:hAnsi="Arial" w:cs="Arial"/>
                          <w:sz w:val="18"/>
                          <w:szCs w:val="18"/>
                        </w:rPr>
                        <w:t>(преко 60)</w:t>
                      </w:r>
                      <w:r w:rsidRPr="0071026F">
                        <w:rPr>
                          <w:rFonts w:ascii="Arial" w:hAnsi="Arial" w:cs="Arial"/>
                          <w:sz w:val="18"/>
                          <w:szCs w:val="18"/>
                        </w:rPr>
                        <w:t xml:space="preserve">, а најмање у Прешеву, </w:t>
                      </w:r>
                      <w:r w:rsidR="00E23994" w:rsidRPr="0071026F">
                        <w:rPr>
                          <w:rFonts w:ascii="Arial" w:hAnsi="Arial" w:cs="Arial"/>
                          <w:sz w:val="18"/>
                          <w:szCs w:val="18"/>
                        </w:rPr>
                        <w:t xml:space="preserve">Бујановцу и </w:t>
                      </w:r>
                      <w:r w:rsidRPr="0071026F">
                        <w:rPr>
                          <w:rFonts w:ascii="Arial" w:hAnsi="Arial" w:cs="Arial"/>
                          <w:sz w:val="18"/>
                          <w:szCs w:val="18"/>
                        </w:rPr>
                        <w:t xml:space="preserve">Тутину </w:t>
                      </w:r>
                      <w:r w:rsidR="008A7976" w:rsidRPr="0071026F">
                        <w:rPr>
                          <w:rFonts w:ascii="Arial" w:hAnsi="Arial" w:cs="Arial"/>
                          <w:sz w:val="18"/>
                          <w:szCs w:val="18"/>
                        </w:rPr>
                        <w:t>(испод 15)</w:t>
                      </w:r>
                      <w:r w:rsidRPr="0071026F">
                        <w:rPr>
                          <w:rFonts w:ascii="Arial" w:hAnsi="Arial" w:cs="Arial"/>
                          <w:sz w:val="18"/>
                          <w:szCs w:val="18"/>
                        </w:rPr>
                        <w:t>.</w:t>
                      </w:r>
                    </w:p>
                  </w:txbxContent>
                </v:textbox>
              </v:roundrect>
            </w:pict>
          </mc:Fallback>
        </mc:AlternateContent>
      </w:r>
      <w:r w:rsidR="00DC2145" w:rsidRPr="00DC2145">
        <w:rPr>
          <w:rFonts w:ascii="Arial" w:hAnsi="Arial" w:cs="Arial"/>
          <w:sz w:val="20"/>
          <w:szCs w:val="20"/>
        </w:rPr>
        <w:t xml:space="preserve"> </w:t>
      </w:r>
      <w:r w:rsidR="000764A2" w:rsidRPr="000764A2">
        <w:rPr>
          <w:rFonts w:ascii="Arial" w:hAnsi="Arial" w:cs="Arial"/>
          <w:noProof/>
          <w:sz w:val="20"/>
          <w:szCs w:val="20"/>
          <w:lang w:val="en-US"/>
        </w:rPr>
        <w:drawing>
          <wp:inline distT="0" distB="0" distL="0" distR="0" wp14:anchorId="710044C1" wp14:editId="325A8C29">
            <wp:extent cx="4314825" cy="3600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3600450"/>
                    </a:xfrm>
                    <a:prstGeom prst="rect">
                      <a:avLst/>
                    </a:prstGeom>
                    <a:noFill/>
                    <a:ln>
                      <a:noFill/>
                    </a:ln>
                  </pic:spPr>
                </pic:pic>
              </a:graphicData>
            </a:graphic>
          </wp:inline>
        </w:drawing>
      </w:r>
    </w:p>
    <w:p w14:paraId="712CC0D6" w14:textId="77777777" w:rsidR="00126B59" w:rsidRDefault="00126B59" w:rsidP="00AC1CBA">
      <w:pPr>
        <w:spacing w:before="240"/>
        <w:jc w:val="both"/>
        <w:rPr>
          <w:rFonts w:ascii="Arial" w:hAnsi="Arial" w:cs="Arial"/>
          <w:sz w:val="20"/>
          <w:szCs w:val="20"/>
          <w:lang w:val="sr-Latn-RS"/>
        </w:rPr>
      </w:pPr>
    </w:p>
    <w:p w14:paraId="4F1EB813" w14:textId="77777777" w:rsidR="008F2E12" w:rsidRPr="0071026F" w:rsidRDefault="008F2E12" w:rsidP="00AC1CBA">
      <w:pPr>
        <w:spacing w:before="240"/>
        <w:jc w:val="both"/>
        <w:rPr>
          <w:rFonts w:ascii="Arial" w:hAnsi="Arial" w:cs="Arial"/>
          <w:b/>
          <w:sz w:val="20"/>
          <w:szCs w:val="20"/>
        </w:rPr>
      </w:pPr>
      <w:r w:rsidRPr="0071026F">
        <w:rPr>
          <w:rFonts w:ascii="Arial" w:hAnsi="Arial" w:cs="Arial"/>
          <w:b/>
          <w:sz w:val="20"/>
          <w:szCs w:val="20"/>
        </w:rPr>
        <w:lastRenderedPageBreak/>
        <w:t xml:space="preserve">Кретање процењеног </w:t>
      </w:r>
      <w:r w:rsidR="00E0303C" w:rsidRPr="0071026F">
        <w:rPr>
          <w:rFonts w:ascii="Arial" w:hAnsi="Arial" w:cs="Arial"/>
          <w:b/>
          <w:sz w:val="20"/>
          <w:szCs w:val="20"/>
        </w:rPr>
        <w:t>броја становника у периоду 2002–</w:t>
      </w:r>
      <w:r w:rsidRPr="0071026F">
        <w:rPr>
          <w:rFonts w:ascii="Arial" w:hAnsi="Arial" w:cs="Arial"/>
          <w:b/>
          <w:sz w:val="20"/>
          <w:szCs w:val="20"/>
        </w:rPr>
        <w:t>201</w:t>
      </w:r>
      <w:r w:rsidR="00AE6886" w:rsidRPr="0071026F">
        <w:rPr>
          <w:rFonts w:ascii="Arial" w:hAnsi="Arial" w:cs="Arial"/>
          <w:b/>
          <w:sz w:val="20"/>
          <w:szCs w:val="20"/>
        </w:rPr>
        <w:t>9</w:t>
      </w:r>
      <w:r w:rsidRPr="0071026F">
        <w:rPr>
          <w:rFonts w:ascii="Arial" w:hAnsi="Arial" w:cs="Arial"/>
          <w:b/>
          <w:sz w:val="20"/>
          <w:szCs w:val="20"/>
        </w:rPr>
        <w:t>. године</w:t>
      </w:r>
    </w:p>
    <w:p w14:paraId="68888DA9" w14:textId="20D8143A" w:rsidR="00043EAD" w:rsidRPr="00CA3AD8" w:rsidRDefault="00E0303C" w:rsidP="00126B59">
      <w:pPr>
        <w:spacing w:before="240"/>
        <w:jc w:val="both"/>
        <w:rPr>
          <w:rFonts w:ascii="Arial" w:hAnsi="Arial" w:cs="Arial"/>
          <w:sz w:val="20"/>
          <w:szCs w:val="20"/>
        </w:rPr>
      </w:pPr>
      <w:r w:rsidRPr="00CA3AD8">
        <w:rPr>
          <w:rFonts w:ascii="Arial" w:hAnsi="Arial" w:cs="Arial"/>
          <w:sz w:val="20"/>
          <w:szCs w:val="20"/>
        </w:rPr>
        <w:t>У периоду 2002–</w:t>
      </w:r>
      <w:r w:rsidR="00C64BB1" w:rsidRPr="00CA3AD8">
        <w:rPr>
          <w:rFonts w:ascii="Arial" w:hAnsi="Arial" w:cs="Arial"/>
          <w:sz w:val="20"/>
          <w:szCs w:val="20"/>
        </w:rPr>
        <w:t>201</w:t>
      </w:r>
      <w:r w:rsidR="00AE6886" w:rsidRPr="00CA3AD8">
        <w:rPr>
          <w:rFonts w:ascii="Arial" w:hAnsi="Arial" w:cs="Arial"/>
          <w:sz w:val="20"/>
          <w:szCs w:val="20"/>
        </w:rPr>
        <w:t>9</w:t>
      </w:r>
      <w:r w:rsidR="00C64BB1" w:rsidRPr="00CA3AD8">
        <w:rPr>
          <w:rFonts w:ascii="Arial" w:hAnsi="Arial" w:cs="Arial"/>
          <w:sz w:val="20"/>
          <w:szCs w:val="20"/>
        </w:rPr>
        <w:t xml:space="preserve">. број становника Републике Србије континуирано опада. </w:t>
      </w:r>
      <w:r w:rsidR="003E3892" w:rsidRPr="00CA3AD8">
        <w:rPr>
          <w:rFonts w:ascii="Arial" w:hAnsi="Arial" w:cs="Arial"/>
          <w:sz w:val="20"/>
          <w:szCs w:val="20"/>
        </w:rPr>
        <w:t>Посматрано н</w:t>
      </w:r>
      <w:r w:rsidR="00C64BB1" w:rsidRPr="00CA3AD8">
        <w:rPr>
          <w:rFonts w:ascii="Arial" w:hAnsi="Arial" w:cs="Arial"/>
          <w:sz w:val="20"/>
          <w:szCs w:val="20"/>
        </w:rPr>
        <w:t>а регионалном нивоу</w:t>
      </w:r>
      <w:r w:rsidR="003C4F00" w:rsidRPr="00CA3AD8">
        <w:rPr>
          <w:rFonts w:ascii="Arial" w:hAnsi="Arial" w:cs="Arial"/>
          <w:sz w:val="20"/>
          <w:szCs w:val="20"/>
          <w:lang w:val="sr-Latn-RS"/>
        </w:rPr>
        <w:t>,</w:t>
      </w:r>
      <w:r w:rsidR="005F78F2" w:rsidRPr="00CA3AD8">
        <w:rPr>
          <w:rFonts w:ascii="Arial" w:hAnsi="Arial" w:cs="Arial"/>
          <w:sz w:val="20"/>
          <w:szCs w:val="20"/>
        </w:rPr>
        <w:t xml:space="preserve"> </w:t>
      </w:r>
      <w:r w:rsidR="009E6440" w:rsidRPr="00CA3AD8">
        <w:rPr>
          <w:rFonts w:ascii="Arial" w:hAnsi="Arial" w:cs="Arial"/>
          <w:sz w:val="20"/>
          <w:szCs w:val="20"/>
        </w:rPr>
        <w:t xml:space="preserve">једино </w:t>
      </w:r>
      <w:r w:rsidR="005F78F2" w:rsidRPr="00CA3AD8">
        <w:rPr>
          <w:rFonts w:ascii="Arial" w:hAnsi="Arial" w:cs="Arial"/>
          <w:sz w:val="20"/>
          <w:szCs w:val="20"/>
        </w:rPr>
        <w:t xml:space="preserve">Београдски регион </w:t>
      </w:r>
      <w:r w:rsidR="00C64BB1" w:rsidRPr="00CA3AD8">
        <w:rPr>
          <w:rFonts w:ascii="Arial" w:hAnsi="Arial" w:cs="Arial"/>
          <w:sz w:val="20"/>
          <w:szCs w:val="20"/>
        </w:rPr>
        <w:t>бележи раст</w:t>
      </w:r>
      <w:r w:rsidR="005F78F2" w:rsidRPr="00CA3AD8">
        <w:rPr>
          <w:rFonts w:ascii="Arial" w:hAnsi="Arial" w:cs="Arial"/>
          <w:sz w:val="20"/>
          <w:szCs w:val="20"/>
        </w:rPr>
        <w:t xml:space="preserve"> броја становника</w:t>
      </w:r>
      <w:r w:rsidR="00C42B50" w:rsidRPr="00CA3AD8">
        <w:rPr>
          <w:rFonts w:ascii="Arial" w:hAnsi="Arial" w:cs="Arial"/>
          <w:sz w:val="20"/>
          <w:szCs w:val="20"/>
        </w:rPr>
        <w:t>,</w:t>
      </w:r>
      <w:r w:rsidR="005F78F2" w:rsidRPr="00CA3AD8">
        <w:rPr>
          <w:rFonts w:ascii="Arial" w:hAnsi="Arial" w:cs="Arial"/>
          <w:sz w:val="20"/>
          <w:szCs w:val="20"/>
        </w:rPr>
        <w:t xml:space="preserve"> </w:t>
      </w:r>
      <w:r w:rsidR="009E6440" w:rsidRPr="00CA3AD8">
        <w:rPr>
          <w:rFonts w:ascii="Arial" w:hAnsi="Arial" w:cs="Arial"/>
          <w:sz w:val="20"/>
          <w:szCs w:val="20"/>
        </w:rPr>
        <w:t xml:space="preserve">док је најизраженији </w:t>
      </w:r>
      <w:r w:rsidR="00C64BB1" w:rsidRPr="00CA3AD8">
        <w:rPr>
          <w:rFonts w:ascii="Arial" w:hAnsi="Arial" w:cs="Arial"/>
          <w:sz w:val="20"/>
          <w:szCs w:val="20"/>
        </w:rPr>
        <w:t xml:space="preserve">пад </w:t>
      </w:r>
      <w:r w:rsidR="009E6440" w:rsidRPr="00CA3AD8">
        <w:rPr>
          <w:rFonts w:ascii="Arial" w:hAnsi="Arial" w:cs="Arial"/>
          <w:sz w:val="20"/>
          <w:szCs w:val="20"/>
        </w:rPr>
        <w:t>у Региону Јужне и Источне Србије.</w:t>
      </w:r>
    </w:p>
    <w:p w14:paraId="59AF87A6" w14:textId="77777777" w:rsidR="007676BF" w:rsidRPr="00CA3AD8" w:rsidRDefault="007676BF" w:rsidP="00126B59">
      <w:pPr>
        <w:spacing w:before="240"/>
        <w:jc w:val="both"/>
        <w:rPr>
          <w:rFonts w:ascii="Arial" w:hAnsi="Arial" w:cs="Arial"/>
          <w:sz w:val="20"/>
          <w:szCs w:val="20"/>
        </w:rPr>
      </w:pPr>
    </w:p>
    <w:p w14:paraId="3DF3E3CA" w14:textId="5A453BDB" w:rsidR="00801C16" w:rsidRPr="0071026F" w:rsidRDefault="00801C16" w:rsidP="00F12BB3">
      <w:pPr>
        <w:spacing w:after="60"/>
        <w:jc w:val="both"/>
        <w:rPr>
          <w:rFonts w:ascii="Arial" w:hAnsi="Arial" w:cs="Arial"/>
          <w:sz w:val="18"/>
          <w:szCs w:val="18"/>
        </w:rPr>
      </w:pPr>
      <w:r w:rsidRPr="00CA3AD8">
        <w:rPr>
          <w:rFonts w:ascii="Arial" w:hAnsi="Arial" w:cs="Arial"/>
          <w:sz w:val="18"/>
          <w:szCs w:val="18"/>
        </w:rPr>
        <w:t>Табела</w:t>
      </w:r>
      <w:r w:rsidR="00E0303C" w:rsidRPr="00CA3AD8">
        <w:rPr>
          <w:rFonts w:ascii="Arial" w:hAnsi="Arial" w:cs="Arial"/>
          <w:sz w:val="18"/>
          <w:szCs w:val="18"/>
        </w:rPr>
        <w:t xml:space="preserve"> </w:t>
      </w:r>
      <w:r w:rsidRPr="00CA3AD8">
        <w:rPr>
          <w:rFonts w:ascii="Arial" w:hAnsi="Arial" w:cs="Arial"/>
          <w:sz w:val="18"/>
          <w:szCs w:val="18"/>
        </w:rPr>
        <w:t>1. Промена броја становника</w:t>
      </w:r>
      <w:r w:rsidR="00E0303C" w:rsidRPr="00CA3AD8">
        <w:rPr>
          <w:rFonts w:ascii="Arial" w:hAnsi="Arial" w:cs="Arial"/>
          <w:sz w:val="18"/>
          <w:szCs w:val="18"/>
        </w:rPr>
        <w:t>, 2002–201</w:t>
      </w:r>
      <w:r w:rsidR="00AE6886" w:rsidRPr="00CA3AD8">
        <w:rPr>
          <w:rFonts w:ascii="Arial" w:hAnsi="Arial" w:cs="Arial"/>
          <w:sz w:val="18"/>
          <w:szCs w:val="18"/>
        </w:rPr>
        <w:t>9</w:t>
      </w:r>
      <w:r w:rsidR="003E3892" w:rsidRPr="00CA3AD8">
        <w:rPr>
          <w:rFonts w:ascii="Arial" w:hAnsi="Arial" w:cs="Arial"/>
          <w:sz w:val="18"/>
          <w:szCs w:val="18"/>
        </w:rPr>
        <w:t>, по</w:t>
      </w:r>
      <w:r w:rsidR="008E1EA6">
        <w:rPr>
          <w:rFonts w:ascii="Arial" w:hAnsi="Arial" w:cs="Arial"/>
          <w:sz w:val="18"/>
          <w:szCs w:val="18"/>
          <w:lang w:val="sr-Latn-RS"/>
        </w:rPr>
        <w:t xml:space="preserve"> </w:t>
      </w:r>
      <w:r w:rsidR="003E3892" w:rsidRPr="00CA3AD8">
        <w:rPr>
          <w:rFonts w:ascii="Arial" w:hAnsi="Arial" w:cs="Arial"/>
          <w:sz w:val="18"/>
          <w:szCs w:val="18"/>
        </w:rPr>
        <w:t>регионима</w:t>
      </w:r>
      <w:r w:rsidR="00E0303C" w:rsidRPr="0071026F">
        <w:rPr>
          <w:rFonts w:ascii="Arial" w:hAnsi="Arial" w:cs="Arial"/>
          <w:sz w:val="18"/>
          <w:szCs w:val="18"/>
        </w:rPr>
        <w:t xml:space="preserve"> </w:t>
      </w:r>
    </w:p>
    <w:tbl>
      <w:tblPr>
        <w:tblW w:w="10261" w:type="dxa"/>
        <w:tblCellMar>
          <w:left w:w="28" w:type="dxa"/>
          <w:right w:w="28" w:type="dxa"/>
        </w:tblCellMar>
        <w:tblLook w:val="04A0" w:firstRow="1" w:lastRow="0" w:firstColumn="1" w:lastColumn="0" w:noHBand="0" w:noVBand="1"/>
      </w:tblPr>
      <w:tblGrid>
        <w:gridCol w:w="1857"/>
        <w:gridCol w:w="1417"/>
        <w:gridCol w:w="1417"/>
        <w:gridCol w:w="1417"/>
        <w:gridCol w:w="1417"/>
        <w:gridCol w:w="1417"/>
        <w:gridCol w:w="1319"/>
      </w:tblGrid>
      <w:tr w:rsidR="0071708A" w:rsidRPr="0071708A" w14:paraId="0DE64395" w14:textId="77777777" w:rsidTr="00A73D4E">
        <w:trPr>
          <w:trHeight w:val="505"/>
        </w:trPr>
        <w:tc>
          <w:tcPr>
            <w:tcW w:w="1857"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50769938" w14:textId="77777777" w:rsidR="0071708A" w:rsidRPr="00E31145" w:rsidRDefault="0071708A" w:rsidP="0071708A">
            <w:pPr>
              <w:spacing w:before="120" w:after="120" w:line="264" w:lineRule="auto"/>
              <w:jc w:val="center"/>
              <w:rPr>
                <w:rFonts w:ascii="Arial" w:hAnsi="Arial" w:cs="Arial"/>
                <w:color w:val="000000"/>
                <w:sz w:val="16"/>
                <w:szCs w:val="16"/>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noWrap/>
            <w:vAlign w:val="center"/>
            <w:hideMark/>
          </w:tcPr>
          <w:p w14:paraId="70E0D534" w14:textId="77777777" w:rsidR="0071708A" w:rsidRPr="0071708A" w:rsidRDefault="0071708A" w:rsidP="0071708A">
            <w:pPr>
              <w:spacing w:before="120" w:after="120" w:line="264" w:lineRule="auto"/>
              <w:ind w:right="113"/>
              <w:jc w:val="right"/>
              <w:rPr>
                <w:rFonts w:ascii="Arial" w:hAnsi="Arial" w:cs="Arial"/>
                <w:bCs/>
                <w:color w:val="000000"/>
                <w:sz w:val="16"/>
                <w:szCs w:val="16"/>
              </w:rPr>
            </w:pPr>
            <w:r w:rsidRPr="0071708A">
              <w:rPr>
                <w:rFonts w:ascii="Arial" w:hAnsi="Arial" w:cs="Arial"/>
                <w:bCs/>
                <w:color w:val="000000"/>
                <w:sz w:val="16"/>
                <w:szCs w:val="16"/>
              </w:rPr>
              <w:t xml:space="preserve">Република </w:t>
            </w:r>
            <w:r w:rsidRPr="0071708A">
              <w:rPr>
                <w:rFonts w:ascii="Arial" w:hAnsi="Arial" w:cs="Arial"/>
                <w:bCs/>
                <w:color w:val="000000"/>
                <w:sz w:val="16"/>
                <w:szCs w:val="16"/>
                <w:lang w:val="en-US"/>
              </w:rPr>
              <w:t xml:space="preserve">                  </w:t>
            </w:r>
            <w:r w:rsidRPr="0071708A">
              <w:rPr>
                <w:rFonts w:ascii="Arial" w:hAnsi="Arial" w:cs="Arial"/>
                <w:bCs/>
                <w:color w:val="000000"/>
                <w:sz w:val="16"/>
                <w:szCs w:val="16"/>
              </w:rPr>
              <w:t>Србија</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7C602040" w14:textId="77777777" w:rsidR="0071708A" w:rsidRPr="0071708A" w:rsidRDefault="0071708A" w:rsidP="0071708A">
            <w:pPr>
              <w:spacing w:before="120" w:after="120" w:line="264" w:lineRule="auto"/>
              <w:ind w:right="113"/>
              <w:jc w:val="right"/>
              <w:rPr>
                <w:rFonts w:ascii="Arial" w:hAnsi="Arial" w:cs="Arial"/>
                <w:color w:val="000000"/>
                <w:sz w:val="16"/>
                <w:szCs w:val="16"/>
              </w:rPr>
            </w:pPr>
            <w:r w:rsidRPr="0071708A">
              <w:rPr>
                <w:rFonts w:ascii="Arial" w:hAnsi="Arial" w:cs="Arial"/>
                <w:color w:val="000000"/>
                <w:sz w:val="16"/>
                <w:szCs w:val="16"/>
              </w:rPr>
              <w:t xml:space="preserve">Београдски </w:t>
            </w:r>
            <w:r w:rsidRPr="0071708A">
              <w:rPr>
                <w:rFonts w:ascii="Arial" w:hAnsi="Arial" w:cs="Arial"/>
                <w:color w:val="000000"/>
                <w:sz w:val="16"/>
                <w:szCs w:val="16"/>
                <w:lang w:val="en-US"/>
              </w:rPr>
              <w:t xml:space="preserve">            </w:t>
            </w:r>
            <w:r w:rsidRPr="0071708A">
              <w:rPr>
                <w:rFonts w:ascii="Arial" w:hAnsi="Arial" w:cs="Arial"/>
                <w:color w:val="000000"/>
                <w:sz w:val="16"/>
                <w:szCs w:val="16"/>
              </w:rPr>
              <w:t>регион</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0EC23AE7" w14:textId="77777777" w:rsidR="0071708A" w:rsidRPr="0071708A" w:rsidRDefault="0071708A" w:rsidP="0071708A">
            <w:pPr>
              <w:spacing w:before="120" w:after="120" w:line="264" w:lineRule="auto"/>
              <w:ind w:right="113"/>
              <w:jc w:val="right"/>
              <w:rPr>
                <w:rFonts w:ascii="Arial" w:hAnsi="Arial" w:cs="Arial"/>
                <w:color w:val="000000"/>
                <w:sz w:val="16"/>
                <w:szCs w:val="16"/>
              </w:rPr>
            </w:pPr>
            <w:r w:rsidRPr="0071708A">
              <w:rPr>
                <w:rFonts w:ascii="Arial" w:hAnsi="Arial" w:cs="Arial"/>
                <w:color w:val="000000"/>
                <w:sz w:val="16"/>
                <w:szCs w:val="16"/>
              </w:rPr>
              <w:t xml:space="preserve">Регион </w:t>
            </w:r>
            <w:r w:rsidRPr="0071708A">
              <w:rPr>
                <w:rFonts w:ascii="Arial" w:hAnsi="Arial" w:cs="Arial"/>
                <w:color w:val="000000"/>
                <w:sz w:val="16"/>
                <w:szCs w:val="16"/>
                <w:lang w:val="en-US"/>
              </w:rPr>
              <w:t xml:space="preserve">                </w:t>
            </w:r>
            <w:r w:rsidRPr="0071708A">
              <w:rPr>
                <w:rFonts w:ascii="Arial" w:hAnsi="Arial" w:cs="Arial"/>
                <w:color w:val="000000"/>
                <w:sz w:val="16"/>
                <w:szCs w:val="16"/>
              </w:rPr>
              <w:t>Војводине</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4C5A68F0" w14:textId="77777777" w:rsidR="0071708A" w:rsidRPr="0071708A" w:rsidRDefault="0071708A" w:rsidP="0071708A">
            <w:pPr>
              <w:spacing w:before="120" w:after="120" w:line="264" w:lineRule="auto"/>
              <w:ind w:right="113"/>
              <w:jc w:val="right"/>
              <w:rPr>
                <w:rFonts w:ascii="Arial" w:hAnsi="Arial" w:cs="Arial"/>
                <w:color w:val="000000"/>
                <w:sz w:val="16"/>
                <w:szCs w:val="16"/>
              </w:rPr>
            </w:pPr>
            <w:r w:rsidRPr="0071708A">
              <w:rPr>
                <w:rFonts w:ascii="Arial" w:hAnsi="Arial" w:cs="Arial"/>
                <w:color w:val="000000"/>
                <w:sz w:val="16"/>
                <w:szCs w:val="16"/>
              </w:rPr>
              <w:t>Регион Шумадије и Западне Србије</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hideMark/>
          </w:tcPr>
          <w:p w14:paraId="4378A1CB" w14:textId="77777777" w:rsidR="0071708A" w:rsidRPr="0071708A" w:rsidRDefault="0071708A" w:rsidP="0071708A">
            <w:pPr>
              <w:spacing w:before="120" w:after="120" w:line="264" w:lineRule="auto"/>
              <w:ind w:right="113"/>
              <w:jc w:val="right"/>
              <w:rPr>
                <w:rFonts w:ascii="Arial" w:hAnsi="Arial" w:cs="Arial"/>
                <w:color w:val="000000"/>
                <w:sz w:val="16"/>
                <w:szCs w:val="16"/>
              </w:rPr>
            </w:pPr>
            <w:r w:rsidRPr="0071708A">
              <w:rPr>
                <w:rFonts w:ascii="Arial" w:hAnsi="Arial" w:cs="Arial"/>
                <w:color w:val="000000"/>
                <w:sz w:val="16"/>
                <w:szCs w:val="16"/>
              </w:rPr>
              <w:t>Регион Јужне и Источне Србије</w:t>
            </w:r>
          </w:p>
        </w:tc>
        <w:tc>
          <w:tcPr>
            <w:tcW w:w="1319"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vAlign w:val="center"/>
          </w:tcPr>
          <w:p w14:paraId="05E3C416" w14:textId="77777777" w:rsidR="0071708A" w:rsidRPr="0071708A" w:rsidRDefault="0071708A" w:rsidP="0071708A">
            <w:pPr>
              <w:spacing w:before="120" w:after="120" w:line="264" w:lineRule="auto"/>
              <w:ind w:right="113"/>
              <w:jc w:val="right"/>
              <w:rPr>
                <w:rFonts w:ascii="Arial" w:hAnsi="Arial" w:cs="Arial"/>
                <w:color w:val="000000"/>
                <w:sz w:val="16"/>
                <w:szCs w:val="16"/>
              </w:rPr>
            </w:pPr>
            <w:r w:rsidRPr="0071708A">
              <w:rPr>
                <w:rFonts w:ascii="Arial" w:hAnsi="Arial" w:cs="Arial"/>
                <w:color w:val="000000"/>
                <w:sz w:val="16"/>
                <w:szCs w:val="16"/>
              </w:rPr>
              <w:t>Регион Косово и Метохија</w:t>
            </w:r>
          </w:p>
        </w:tc>
      </w:tr>
      <w:tr w:rsidR="0071708A" w:rsidRPr="0071708A" w14:paraId="44E1588A" w14:textId="77777777" w:rsidTr="00A73D4E">
        <w:trPr>
          <w:trHeight w:val="22"/>
        </w:trPr>
        <w:tc>
          <w:tcPr>
            <w:tcW w:w="1857"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tcPr>
          <w:p w14:paraId="55BB5876" w14:textId="77777777" w:rsidR="0071708A" w:rsidRPr="0071708A" w:rsidRDefault="0071708A" w:rsidP="0071708A">
            <w:pPr>
              <w:spacing w:before="40" w:after="40" w:line="264" w:lineRule="auto"/>
              <w:jc w:val="center"/>
              <w:rPr>
                <w:rFonts w:ascii="Arial" w:hAnsi="Arial" w:cs="Arial"/>
                <w:color w:val="000000"/>
                <w:sz w:val="16"/>
                <w:szCs w:val="16"/>
              </w:rPr>
            </w:pPr>
          </w:p>
        </w:tc>
        <w:tc>
          <w:tcPr>
            <w:tcW w:w="8404" w:type="dxa"/>
            <w:gridSpan w:val="6"/>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noWrap/>
            <w:vAlign w:val="center"/>
          </w:tcPr>
          <w:p w14:paraId="0F3D7C97" w14:textId="77777777" w:rsidR="0071708A" w:rsidRPr="0071708A" w:rsidRDefault="0071708A" w:rsidP="0071708A">
            <w:pPr>
              <w:spacing w:before="120" w:after="120" w:line="264" w:lineRule="auto"/>
              <w:jc w:val="both"/>
              <w:rPr>
                <w:rFonts w:ascii="Arial" w:hAnsi="Arial" w:cs="Arial"/>
                <w:color w:val="000000"/>
                <w:sz w:val="16"/>
                <w:szCs w:val="16"/>
              </w:rPr>
            </w:pPr>
            <w:r w:rsidRPr="0071708A">
              <w:rPr>
                <w:rFonts w:ascii="Arial" w:hAnsi="Arial" w:cs="Arial"/>
                <w:sz w:val="16"/>
                <w:szCs w:val="16"/>
              </w:rPr>
              <w:t xml:space="preserve">                                                           Процењен број становника (годишњи просек)</w:t>
            </w:r>
          </w:p>
        </w:tc>
      </w:tr>
      <w:tr w:rsidR="0071708A" w:rsidRPr="0071708A" w14:paraId="4BDFB6E8" w14:textId="77777777" w:rsidTr="0071708A">
        <w:trPr>
          <w:trHeight w:val="22"/>
        </w:trPr>
        <w:tc>
          <w:tcPr>
            <w:tcW w:w="1857"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hideMark/>
          </w:tcPr>
          <w:p w14:paraId="140E7C01" w14:textId="77777777" w:rsidR="0071708A" w:rsidRPr="0071708A" w:rsidRDefault="0071708A" w:rsidP="0071708A">
            <w:pPr>
              <w:spacing w:before="40" w:after="40"/>
              <w:jc w:val="center"/>
              <w:rPr>
                <w:rFonts w:ascii="Arial" w:hAnsi="Arial" w:cs="Arial"/>
                <w:sz w:val="16"/>
                <w:szCs w:val="16"/>
              </w:rPr>
            </w:pPr>
            <w:r w:rsidRPr="0071708A">
              <w:rPr>
                <w:rFonts w:ascii="Arial" w:hAnsi="Arial" w:cs="Arial"/>
                <w:sz w:val="16"/>
                <w:szCs w:val="16"/>
              </w:rPr>
              <w:t>2002</w:t>
            </w:r>
          </w:p>
        </w:tc>
        <w:tc>
          <w:tcPr>
            <w:tcW w:w="1417"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noWrap/>
            <w:vAlign w:val="center"/>
          </w:tcPr>
          <w:p w14:paraId="0AB7EBFD"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7500031</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4CE4F02C"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1578364</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05DEA8B8"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2034851</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49FB616D"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2135393</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4BD5707B"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1751423</w:t>
            </w:r>
          </w:p>
        </w:tc>
        <w:tc>
          <w:tcPr>
            <w:tcW w:w="1319" w:type="dxa"/>
            <w:tcBorders>
              <w:top w:val="single" w:sz="4" w:space="0" w:color="D9D9D9" w:themeColor="background1" w:themeShade="D9"/>
              <w:bottom w:val="single" w:sz="4" w:space="0" w:color="D9D9D9" w:themeColor="background1" w:themeShade="D9"/>
            </w:tcBorders>
            <w:vAlign w:val="center"/>
          </w:tcPr>
          <w:p w14:paraId="56490F60" w14:textId="77777777" w:rsidR="0071708A" w:rsidRPr="0071708A" w:rsidRDefault="008D5069" w:rsidP="0071708A">
            <w:pPr>
              <w:spacing w:before="40" w:after="40"/>
              <w:ind w:right="170"/>
              <w:jc w:val="right"/>
              <w:rPr>
                <w:rFonts w:ascii="Arial" w:hAnsi="Arial" w:cs="Arial"/>
                <w:sz w:val="16"/>
                <w:szCs w:val="16"/>
              </w:rPr>
            </w:pPr>
            <w:r>
              <w:rPr>
                <w:rFonts w:ascii="Arial" w:hAnsi="Arial" w:cs="Arial"/>
                <w:sz w:val="16"/>
                <w:szCs w:val="16"/>
              </w:rPr>
              <w:t>...</w:t>
            </w:r>
          </w:p>
        </w:tc>
      </w:tr>
      <w:tr w:rsidR="0071708A" w:rsidRPr="0071708A" w14:paraId="4472BAFA" w14:textId="77777777" w:rsidTr="0071708A">
        <w:trPr>
          <w:trHeight w:val="22"/>
        </w:trPr>
        <w:tc>
          <w:tcPr>
            <w:tcW w:w="1857"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hideMark/>
          </w:tcPr>
          <w:p w14:paraId="6078C4BC" w14:textId="77777777" w:rsidR="0071708A" w:rsidRPr="0071708A" w:rsidRDefault="0071708A" w:rsidP="0071708A">
            <w:pPr>
              <w:spacing w:before="40" w:after="40"/>
              <w:jc w:val="center"/>
              <w:rPr>
                <w:rFonts w:ascii="Arial" w:hAnsi="Arial" w:cs="Arial"/>
                <w:sz w:val="16"/>
                <w:szCs w:val="16"/>
              </w:rPr>
            </w:pPr>
            <w:r w:rsidRPr="0071708A">
              <w:rPr>
                <w:rFonts w:ascii="Arial" w:hAnsi="Arial" w:cs="Arial"/>
                <w:sz w:val="16"/>
                <w:szCs w:val="16"/>
              </w:rPr>
              <w:t>2011</w:t>
            </w:r>
          </w:p>
        </w:tc>
        <w:tc>
          <w:tcPr>
            <w:tcW w:w="1417"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noWrap/>
            <w:vAlign w:val="center"/>
          </w:tcPr>
          <w:p w14:paraId="14205410"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7236519</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3745B5A4"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1658151</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08562787"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1932945</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6C371C70"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2033203</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194AEFF2"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1612220</w:t>
            </w:r>
          </w:p>
        </w:tc>
        <w:tc>
          <w:tcPr>
            <w:tcW w:w="1319" w:type="dxa"/>
            <w:tcBorders>
              <w:top w:val="single" w:sz="4" w:space="0" w:color="D9D9D9" w:themeColor="background1" w:themeShade="D9"/>
              <w:bottom w:val="single" w:sz="4" w:space="0" w:color="D9D9D9" w:themeColor="background1" w:themeShade="D9"/>
            </w:tcBorders>
            <w:vAlign w:val="center"/>
          </w:tcPr>
          <w:p w14:paraId="6AE3E91C" w14:textId="77777777" w:rsidR="0071708A" w:rsidRPr="0071708A" w:rsidRDefault="008D5069" w:rsidP="0071708A">
            <w:pPr>
              <w:spacing w:before="40" w:after="40"/>
              <w:ind w:right="170"/>
              <w:jc w:val="right"/>
              <w:rPr>
                <w:rFonts w:ascii="Arial" w:hAnsi="Arial" w:cs="Arial"/>
                <w:sz w:val="16"/>
                <w:szCs w:val="16"/>
              </w:rPr>
            </w:pPr>
            <w:r>
              <w:rPr>
                <w:rFonts w:ascii="Arial" w:hAnsi="Arial" w:cs="Arial"/>
                <w:sz w:val="16"/>
                <w:szCs w:val="16"/>
              </w:rPr>
              <w:t>...</w:t>
            </w:r>
          </w:p>
        </w:tc>
      </w:tr>
      <w:tr w:rsidR="0071708A" w:rsidRPr="0071708A" w14:paraId="4BB89DE6" w14:textId="77777777" w:rsidTr="0071708A">
        <w:trPr>
          <w:trHeight w:val="22"/>
        </w:trPr>
        <w:tc>
          <w:tcPr>
            <w:tcW w:w="1857"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hideMark/>
          </w:tcPr>
          <w:p w14:paraId="007BE091" w14:textId="77777777" w:rsidR="0071708A" w:rsidRPr="0071708A" w:rsidRDefault="0071708A" w:rsidP="0071708A">
            <w:pPr>
              <w:spacing w:before="40" w:after="40"/>
              <w:jc w:val="center"/>
              <w:rPr>
                <w:rFonts w:ascii="Arial" w:hAnsi="Arial" w:cs="Arial"/>
                <w:sz w:val="16"/>
                <w:szCs w:val="16"/>
              </w:rPr>
            </w:pPr>
            <w:r w:rsidRPr="0071708A">
              <w:rPr>
                <w:rFonts w:ascii="Arial" w:hAnsi="Arial" w:cs="Arial"/>
                <w:sz w:val="16"/>
                <w:szCs w:val="16"/>
              </w:rPr>
              <w:t>2016</w:t>
            </w:r>
          </w:p>
        </w:tc>
        <w:tc>
          <w:tcPr>
            <w:tcW w:w="1417"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noWrap/>
            <w:vAlign w:val="center"/>
          </w:tcPr>
          <w:p w14:paraId="2B62C2B0"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7058322</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06D3B3A2"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1683962</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029EF6BB"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1881357</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276C077D"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1956786</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7668144C"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1536217</w:t>
            </w:r>
          </w:p>
        </w:tc>
        <w:tc>
          <w:tcPr>
            <w:tcW w:w="1319" w:type="dxa"/>
            <w:tcBorders>
              <w:top w:val="single" w:sz="4" w:space="0" w:color="D9D9D9" w:themeColor="background1" w:themeShade="D9"/>
              <w:bottom w:val="single" w:sz="4" w:space="0" w:color="D9D9D9" w:themeColor="background1" w:themeShade="D9"/>
            </w:tcBorders>
            <w:vAlign w:val="center"/>
          </w:tcPr>
          <w:p w14:paraId="11DFA48E" w14:textId="77777777" w:rsidR="0071708A" w:rsidRPr="0071708A" w:rsidRDefault="008D5069" w:rsidP="0071708A">
            <w:pPr>
              <w:spacing w:before="40" w:after="40"/>
              <w:ind w:right="170"/>
              <w:jc w:val="right"/>
              <w:rPr>
                <w:rFonts w:ascii="Arial" w:hAnsi="Arial" w:cs="Arial"/>
                <w:sz w:val="16"/>
                <w:szCs w:val="16"/>
              </w:rPr>
            </w:pPr>
            <w:r>
              <w:rPr>
                <w:rFonts w:ascii="Arial" w:hAnsi="Arial" w:cs="Arial"/>
                <w:sz w:val="16"/>
                <w:szCs w:val="16"/>
              </w:rPr>
              <w:t>...</w:t>
            </w:r>
          </w:p>
        </w:tc>
      </w:tr>
      <w:tr w:rsidR="0071708A" w:rsidRPr="0071708A" w14:paraId="4A3BF975" w14:textId="77777777" w:rsidTr="0071708A">
        <w:trPr>
          <w:trHeight w:val="22"/>
        </w:trPr>
        <w:tc>
          <w:tcPr>
            <w:tcW w:w="1857"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hideMark/>
          </w:tcPr>
          <w:p w14:paraId="048E50E2" w14:textId="77777777" w:rsidR="0071708A" w:rsidRPr="0071708A" w:rsidRDefault="0071708A" w:rsidP="0071708A">
            <w:pPr>
              <w:spacing w:before="40" w:after="40"/>
              <w:jc w:val="center"/>
              <w:rPr>
                <w:rFonts w:ascii="Arial" w:hAnsi="Arial" w:cs="Arial"/>
                <w:sz w:val="16"/>
                <w:szCs w:val="16"/>
              </w:rPr>
            </w:pPr>
            <w:r w:rsidRPr="0071708A">
              <w:rPr>
                <w:rFonts w:ascii="Arial" w:hAnsi="Arial" w:cs="Arial"/>
                <w:sz w:val="16"/>
                <w:szCs w:val="16"/>
              </w:rPr>
              <w:t>2017</w:t>
            </w:r>
          </w:p>
        </w:tc>
        <w:tc>
          <w:tcPr>
            <w:tcW w:w="1417"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noWrap/>
            <w:vAlign w:val="center"/>
          </w:tcPr>
          <w:p w14:paraId="62C196C9"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7020858</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37C28F10"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1687132</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3DF71DD2"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1871515</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4C3FE64B"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1941130</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4A729F64"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1521081</w:t>
            </w:r>
          </w:p>
        </w:tc>
        <w:tc>
          <w:tcPr>
            <w:tcW w:w="1319" w:type="dxa"/>
            <w:tcBorders>
              <w:top w:val="single" w:sz="4" w:space="0" w:color="D9D9D9" w:themeColor="background1" w:themeShade="D9"/>
              <w:bottom w:val="single" w:sz="4" w:space="0" w:color="D9D9D9" w:themeColor="background1" w:themeShade="D9"/>
            </w:tcBorders>
            <w:vAlign w:val="center"/>
          </w:tcPr>
          <w:p w14:paraId="2A59987F" w14:textId="77777777" w:rsidR="0071708A" w:rsidRPr="0071708A" w:rsidRDefault="008D5069" w:rsidP="0071708A">
            <w:pPr>
              <w:spacing w:before="40" w:after="40"/>
              <w:ind w:right="170"/>
              <w:jc w:val="right"/>
              <w:rPr>
                <w:rFonts w:ascii="Arial" w:hAnsi="Arial" w:cs="Arial"/>
                <w:sz w:val="16"/>
                <w:szCs w:val="16"/>
              </w:rPr>
            </w:pPr>
            <w:r>
              <w:rPr>
                <w:rFonts w:ascii="Arial" w:hAnsi="Arial" w:cs="Arial"/>
                <w:sz w:val="16"/>
                <w:szCs w:val="16"/>
              </w:rPr>
              <w:t>...</w:t>
            </w:r>
          </w:p>
        </w:tc>
      </w:tr>
      <w:tr w:rsidR="0071708A" w:rsidRPr="0071708A" w14:paraId="1C94B94D" w14:textId="77777777" w:rsidTr="0071708A">
        <w:trPr>
          <w:trHeight w:val="22"/>
        </w:trPr>
        <w:tc>
          <w:tcPr>
            <w:tcW w:w="1857"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hideMark/>
          </w:tcPr>
          <w:p w14:paraId="79DDD59E" w14:textId="77777777" w:rsidR="0071708A" w:rsidRPr="0071708A" w:rsidRDefault="0071708A" w:rsidP="0071708A">
            <w:pPr>
              <w:spacing w:before="40" w:after="40"/>
              <w:jc w:val="center"/>
              <w:rPr>
                <w:rFonts w:ascii="Arial" w:hAnsi="Arial" w:cs="Arial"/>
                <w:sz w:val="16"/>
                <w:szCs w:val="16"/>
              </w:rPr>
            </w:pPr>
            <w:r w:rsidRPr="0071708A">
              <w:rPr>
                <w:rFonts w:ascii="Arial" w:hAnsi="Arial" w:cs="Arial"/>
                <w:sz w:val="16"/>
                <w:szCs w:val="16"/>
              </w:rPr>
              <w:t>2018</w:t>
            </w:r>
          </w:p>
        </w:tc>
        <w:tc>
          <w:tcPr>
            <w:tcW w:w="1417"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noWrap/>
            <w:vAlign w:val="center"/>
          </w:tcPr>
          <w:p w14:paraId="4E58FF9D"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6982604</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4753158F"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1690193</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596EDB86"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1861863</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0CE895F3"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1924816</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51CD3ED4"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1505732</w:t>
            </w:r>
          </w:p>
        </w:tc>
        <w:tc>
          <w:tcPr>
            <w:tcW w:w="1319" w:type="dxa"/>
            <w:tcBorders>
              <w:top w:val="single" w:sz="4" w:space="0" w:color="D9D9D9" w:themeColor="background1" w:themeShade="D9"/>
              <w:bottom w:val="single" w:sz="4" w:space="0" w:color="D9D9D9" w:themeColor="background1" w:themeShade="D9"/>
            </w:tcBorders>
            <w:vAlign w:val="center"/>
          </w:tcPr>
          <w:p w14:paraId="49F023A8" w14:textId="77777777" w:rsidR="0071708A" w:rsidRPr="0071708A" w:rsidRDefault="008D5069" w:rsidP="0071708A">
            <w:pPr>
              <w:spacing w:before="40" w:after="40"/>
              <w:ind w:right="170"/>
              <w:jc w:val="right"/>
              <w:rPr>
                <w:rFonts w:ascii="Arial" w:hAnsi="Arial" w:cs="Arial"/>
                <w:sz w:val="16"/>
                <w:szCs w:val="16"/>
              </w:rPr>
            </w:pPr>
            <w:r>
              <w:rPr>
                <w:rFonts w:ascii="Arial" w:hAnsi="Arial" w:cs="Arial"/>
                <w:sz w:val="16"/>
                <w:szCs w:val="16"/>
              </w:rPr>
              <w:t>...</w:t>
            </w:r>
          </w:p>
        </w:tc>
      </w:tr>
      <w:tr w:rsidR="0071708A" w:rsidRPr="0071708A" w14:paraId="1D2E9401" w14:textId="77777777" w:rsidTr="0071708A">
        <w:trPr>
          <w:trHeight w:val="22"/>
        </w:trPr>
        <w:tc>
          <w:tcPr>
            <w:tcW w:w="1857"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tcPr>
          <w:p w14:paraId="10958D93" w14:textId="77777777" w:rsidR="0071708A" w:rsidRPr="0071708A" w:rsidRDefault="0071708A" w:rsidP="0071708A">
            <w:pPr>
              <w:spacing w:before="40" w:after="40"/>
              <w:jc w:val="center"/>
              <w:rPr>
                <w:rFonts w:ascii="Arial" w:hAnsi="Arial" w:cs="Arial"/>
                <w:sz w:val="16"/>
                <w:szCs w:val="16"/>
              </w:rPr>
            </w:pPr>
            <w:r w:rsidRPr="0071708A">
              <w:rPr>
                <w:rFonts w:ascii="Arial" w:hAnsi="Arial" w:cs="Arial"/>
                <w:sz w:val="16"/>
                <w:szCs w:val="16"/>
              </w:rPr>
              <w:t>2019</w:t>
            </w:r>
          </w:p>
        </w:tc>
        <w:tc>
          <w:tcPr>
            <w:tcW w:w="1417"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noWrap/>
            <w:vAlign w:val="center"/>
          </w:tcPr>
          <w:p w14:paraId="546508A2"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6945235</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43090C96"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1694056</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4D34B93F"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1852093</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7AB38F28"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1908641</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5587F99A"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1490445</w:t>
            </w:r>
          </w:p>
        </w:tc>
        <w:tc>
          <w:tcPr>
            <w:tcW w:w="1319" w:type="dxa"/>
            <w:tcBorders>
              <w:top w:val="single" w:sz="4" w:space="0" w:color="D9D9D9" w:themeColor="background1" w:themeShade="D9"/>
              <w:bottom w:val="single" w:sz="4" w:space="0" w:color="D9D9D9" w:themeColor="background1" w:themeShade="D9"/>
            </w:tcBorders>
            <w:vAlign w:val="center"/>
          </w:tcPr>
          <w:p w14:paraId="5C7F5D63" w14:textId="77777777" w:rsidR="0071708A" w:rsidRPr="0071708A" w:rsidRDefault="008D5069" w:rsidP="0071708A">
            <w:pPr>
              <w:spacing w:before="40" w:after="40"/>
              <w:ind w:right="170"/>
              <w:jc w:val="right"/>
              <w:rPr>
                <w:rFonts w:ascii="Arial" w:hAnsi="Arial" w:cs="Arial"/>
                <w:sz w:val="16"/>
                <w:szCs w:val="16"/>
              </w:rPr>
            </w:pPr>
            <w:r>
              <w:rPr>
                <w:rFonts w:ascii="Arial" w:hAnsi="Arial" w:cs="Arial"/>
                <w:sz w:val="16"/>
                <w:szCs w:val="16"/>
              </w:rPr>
              <w:t>...</w:t>
            </w:r>
          </w:p>
        </w:tc>
      </w:tr>
      <w:tr w:rsidR="0071708A" w:rsidRPr="0071708A" w14:paraId="1D76413B" w14:textId="77777777" w:rsidTr="0071708A">
        <w:trPr>
          <w:trHeight w:val="22"/>
        </w:trPr>
        <w:tc>
          <w:tcPr>
            <w:tcW w:w="1857"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tcPr>
          <w:p w14:paraId="1EF0B991" w14:textId="77777777" w:rsidR="0071708A" w:rsidRPr="0071708A" w:rsidRDefault="0071708A" w:rsidP="0071708A">
            <w:pPr>
              <w:spacing w:before="40" w:after="40" w:line="264" w:lineRule="auto"/>
              <w:jc w:val="center"/>
              <w:rPr>
                <w:rFonts w:ascii="Arial" w:hAnsi="Arial" w:cs="Arial"/>
                <w:sz w:val="16"/>
                <w:szCs w:val="16"/>
              </w:rPr>
            </w:pPr>
          </w:p>
        </w:tc>
        <w:tc>
          <w:tcPr>
            <w:tcW w:w="8404" w:type="dxa"/>
            <w:gridSpan w:val="6"/>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noWrap/>
            <w:vAlign w:val="center"/>
          </w:tcPr>
          <w:p w14:paraId="140BA2EE" w14:textId="77777777" w:rsidR="0071708A" w:rsidRPr="0071708A" w:rsidRDefault="0071708A" w:rsidP="0071708A">
            <w:pPr>
              <w:spacing w:before="120" w:after="120" w:line="264" w:lineRule="auto"/>
              <w:jc w:val="center"/>
              <w:rPr>
                <w:rFonts w:ascii="Arial" w:hAnsi="Arial" w:cs="Arial"/>
                <w:sz w:val="16"/>
                <w:szCs w:val="16"/>
              </w:rPr>
            </w:pPr>
            <w:r w:rsidRPr="0071708A">
              <w:rPr>
                <w:rFonts w:ascii="Arial" w:hAnsi="Arial" w:cs="Arial"/>
                <w:sz w:val="16"/>
                <w:szCs w:val="16"/>
              </w:rPr>
              <w:t xml:space="preserve">Апсолутни пораст </w:t>
            </w:r>
            <w:r w:rsidR="008D5069">
              <w:rPr>
                <w:rFonts w:ascii="Arial" w:hAnsi="Arial" w:cs="Arial"/>
                <w:sz w:val="16"/>
                <w:szCs w:val="16"/>
              </w:rPr>
              <w:t>–</w:t>
            </w:r>
            <w:r w:rsidRPr="0071708A">
              <w:rPr>
                <w:rFonts w:ascii="Arial" w:hAnsi="Arial" w:cs="Arial"/>
                <w:sz w:val="16"/>
                <w:szCs w:val="16"/>
              </w:rPr>
              <w:t xml:space="preserve"> пад</w:t>
            </w:r>
          </w:p>
        </w:tc>
      </w:tr>
      <w:tr w:rsidR="0071708A" w:rsidRPr="0071708A" w14:paraId="0408A12B" w14:textId="77777777" w:rsidTr="0071708A">
        <w:trPr>
          <w:trHeight w:val="22"/>
        </w:trPr>
        <w:tc>
          <w:tcPr>
            <w:tcW w:w="1857"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hideMark/>
          </w:tcPr>
          <w:p w14:paraId="5CB133D2" w14:textId="77777777" w:rsidR="0071708A" w:rsidRPr="0071708A" w:rsidRDefault="0071708A" w:rsidP="0071708A">
            <w:pPr>
              <w:spacing w:before="40" w:after="40"/>
              <w:jc w:val="center"/>
              <w:rPr>
                <w:rFonts w:ascii="Arial" w:hAnsi="Arial" w:cs="Arial"/>
                <w:sz w:val="16"/>
                <w:szCs w:val="16"/>
                <w:lang w:val="en-US"/>
              </w:rPr>
            </w:pPr>
            <w:r w:rsidRPr="0071708A">
              <w:rPr>
                <w:rFonts w:ascii="Arial" w:hAnsi="Arial" w:cs="Arial"/>
                <w:sz w:val="16"/>
                <w:szCs w:val="16"/>
                <w:lang w:val="en-US"/>
              </w:rPr>
              <w:t>2002-2011</w:t>
            </w:r>
          </w:p>
        </w:tc>
        <w:tc>
          <w:tcPr>
            <w:tcW w:w="1417"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noWrap/>
            <w:vAlign w:val="center"/>
            <w:hideMark/>
          </w:tcPr>
          <w:p w14:paraId="151DF2C2"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-263512</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8F6AC6E"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79787</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6A41DB63"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-101906</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B8A6696"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-102190</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78E91D7"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-139203</w:t>
            </w:r>
          </w:p>
        </w:tc>
        <w:tc>
          <w:tcPr>
            <w:tcW w:w="1319" w:type="dxa"/>
            <w:tcBorders>
              <w:top w:val="single" w:sz="4" w:space="0" w:color="D9D9D9" w:themeColor="background1" w:themeShade="D9"/>
              <w:bottom w:val="single" w:sz="4" w:space="0" w:color="D9D9D9" w:themeColor="background1" w:themeShade="D9"/>
            </w:tcBorders>
            <w:vAlign w:val="center"/>
          </w:tcPr>
          <w:p w14:paraId="037D96A3" w14:textId="77777777" w:rsidR="0071708A" w:rsidRPr="0071708A" w:rsidRDefault="0071708A" w:rsidP="0071708A">
            <w:pPr>
              <w:spacing w:before="40" w:after="40"/>
              <w:ind w:right="170"/>
              <w:jc w:val="right"/>
              <w:rPr>
                <w:rFonts w:ascii="Arial" w:hAnsi="Arial" w:cs="Arial"/>
                <w:sz w:val="16"/>
                <w:szCs w:val="16"/>
              </w:rPr>
            </w:pPr>
            <w:r w:rsidRPr="0071708A">
              <w:rPr>
                <w:rFonts w:ascii="Arial" w:hAnsi="Arial" w:cs="Arial"/>
                <w:sz w:val="16"/>
                <w:szCs w:val="16"/>
              </w:rPr>
              <w:t>...</w:t>
            </w:r>
          </w:p>
        </w:tc>
      </w:tr>
      <w:tr w:rsidR="0071708A" w:rsidRPr="0071708A" w14:paraId="027F6071" w14:textId="77777777" w:rsidTr="0071708A">
        <w:trPr>
          <w:trHeight w:val="22"/>
        </w:trPr>
        <w:tc>
          <w:tcPr>
            <w:tcW w:w="1857"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hideMark/>
          </w:tcPr>
          <w:p w14:paraId="5A1B99B4" w14:textId="77777777" w:rsidR="0071708A" w:rsidRPr="0071708A" w:rsidRDefault="0071708A" w:rsidP="0071708A">
            <w:pPr>
              <w:spacing w:before="40" w:after="40"/>
              <w:jc w:val="center"/>
              <w:rPr>
                <w:rFonts w:ascii="Arial" w:hAnsi="Arial" w:cs="Arial"/>
                <w:sz w:val="16"/>
                <w:szCs w:val="16"/>
                <w:lang w:val="en-US"/>
              </w:rPr>
            </w:pPr>
            <w:r w:rsidRPr="0071708A">
              <w:rPr>
                <w:rFonts w:ascii="Arial" w:hAnsi="Arial" w:cs="Arial"/>
                <w:sz w:val="16"/>
                <w:szCs w:val="16"/>
                <w:lang w:val="en-US"/>
              </w:rPr>
              <w:t>2011-2016</w:t>
            </w:r>
          </w:p>
        </w:tc>
        <w:tc>
          <w:tcPr>
            <w:tcW w:w="1417"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noWrap/>
            <w:vAlign w:val="center"/>
            <w:hideMark/>
          </w:tcPr>
          <w:p w14:paraId="6FE4793C"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-178197</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B0BF3C0"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25811</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492D775"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-51588</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0605AA8"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-76417</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B828684"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-76003</w:t>
            </w:r>
          </w:p>
        </w:tc>
        <w:tc>
          <w:tcPr>
            <w:tcW w:w="1319" w:type="dxa"/>
            <w:tcBorders>
              <w:top w:val="single" w:sz="4" w:space="0" w:color="D9D9D9" w:themeColor="background1" w:themeShade="D9"/>
              <w:bottom w:val="single" w:sz="4" w:space="0" w:color="D9D9D9" w:themeColor="background1" w:themeShade="D9"/>
            </w:tcBorders>
            <w:vAlign w:val="center"/>
          </w:tcPr>
          <w:p w14:paraId="396F6B97" w14:textId="77777777" w:rsidR="0071708A" w:rsidRPr="0071708A" w:rsidRDefault="0071708A" w:rsidP="0071708A">
            <w:pPr>
              <w:spacing w:before="40" w:after="40"/>
              <w:ind w:right="170"/>
              <w:jc w:val="right"/>
              <w:rPr>
                <w:rFonts w:ascii="Arial" w:hAnsi="Arial" w:cs="Arial"/>
                <w:sz w:val="16"/>
                <w:szCs w:val="16"/>
              </w:rPr>
            </w:pPr>
            <w:r w:rsidRPr="0071708A">
              <w:rPr>
                <w:rFonts w:ascii="Arial" w:hAnsi="Arial" w:cs="Arial"/>
                <w:sz w:val="16"/>
                <w:szCs w:val="16"/>
              </w:rPr>
              <w:t>...</w:t>
            </w:r>
          </w:p>
        </w:tc>
      </w:tr>
      <w:tr w:rsidR="0071708A" w:rsidRPr="0071708A" w14:paraId="1A9E3AF9" w14:textId="77777777" w:rsidTr="0071708A">
        <w:trPr>
          <w:trHeight w:val="22"/>
        </w:trPr>
        <w:tc>
          <w:tcPr>
            <w:tcW w:w="1857"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hideMark/>
          </w:tcPr>
          <w:p w14:paraId="6BA387B2" w14:textId="77777777" w:rsidR="0071708A" w:rsidRPr="0071708A" w:rsidRDefault="0071708A" w:rsidP="0071708A">
            <w:pPr>
              <w:spacing w:before="40" w:after="40"/>
              <w:jc w:val="center"/>
              <w:rPr>
                <w:rFonts w:ascii="Arial" w:hAnsi="Arial" w:cs="Arial"/>
                <w:sz w:val="16"/>
                <w:szCs w:val="16"/>
                <w:lang w:val="en-US"/>
              </w:rPr>
            </w:pPr>
            <w:r w:rsidRPr="0071708A">
              <w:rPr>
                <w:rFonts w:ascii="Arial" w:hAnsi="Arial" w:cs="Arial"/>
                <w:sz w:val="16"/>
                <w:szCs w:val="16"/>
                <w:lang w:val="en-US"/>
              </w:rPr>
              <w:t>2016-2017</w:t>
            </w:r>
          </w:p>
        </w:tc>
        <w:tc>
          <w:tcPr>
            <w:tcW w:w="1417"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noWrap/>
            <w:vAlign w:val="center"/>
            <w:hideMark/>
          </w:tcPr>
          <w:p w14:paraId="7B999DCA"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-37464</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F475554"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3170</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EA15699"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-9842</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E8418AE"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-15656</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CB390AB"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-15136</w:t>
            </w:r>
          </w:p>
        </w:tc>
        <w:tc>
          <w:tcPr>
            <w:tcW w:w="1319" w:type="dxa"/>
            <w:tcBorders>
              <w:top w:val="single" w:sz="4" w:space="0" w:color="D9D9D9" w:themeColor="background1" w:themeShade="D9"/>
              <w:bottom w:val="single" w:sz="4" w:space="0" w:color="D9D9D9" w:themeColor="background1" w:themeShade="D9"/>
            </w:tcBorders>
            <w:vAlign w:val="center"/>
          </w:tcPr>
          <w:p w14:paraId="0FC1D893" w14:textId="77777777" w:rsidR="0071708A" w:rsidRPr="0071708A" w:rsidRDefault="0071708A" w:rsidP="0071708A">
            <w:pPr>
              <w:spacing w:before="40" w:after="40"/>
              <w:ind w:right="170"/>
              <w:jc w:val="right"/>
              <w:rPr>
                <w:rFonts w:ascii="Arial" w:hAnsi="Arial" w:cs="Arial"/>
                <w:sz w:val="16"/>
                <w:szCs w:val="16"/>
              </w:rPr>
            </w:pPr>
            <w:r w:rsidRPr="0071708A">
              <w:rPr>
                <w:rFonts w:ascii="Arial" w:hAnsi="Arial" w:cs="Arial"/>
                <w:sz w:val="16"/>
                <w:szCs w:val="16"/>
              </w:rPr>
              <w:t>...</w:t>
            </w:r>
          </w:p>
        </w:tc>
      </w:tr>
      <w:tr w:rsidR="0071708A" w:rsidRPr="0071708A" w14:paraId="5CE36E0A" w14:textId="77777777" w:rsidTr="0071708A">
        <w:trPr>
          <w:trHeight w:val="22"/>
        </w:trPr>
        <w:tc>
          <w:tcPr>
            <w:tcW w:w="1857"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hideMark/>
          </w:tcPr>
          <w:p w14:paraId="43492571" w14:textId="77777777" w:rsidR="0071708A" w:rsidRPr="0071708A" w:rsidRDefault="0071708A" w:rsidP="0071708A">
            <w:pPr>
              <w:spacing w:before="40" w:after="40"/>
              <w:jc w:val="center"/>
              <w:rPr>
                <w:rFonts w:ascii="Arial" w:hAnsi="Arial" w:cs="Arial"/>
                <w:sz w:val="16"/>
                <w:szCs w:val="16"/>
                <w:lang w:val="en-US"/>
              </w:rPr>
            </w:pPr>
            <w:r w:rsidRPr="0071708A">
              <w:rPr>
                <w:rFonts w:ascii="Arial" w:hAnsi="Arial" w:cs="Arial"/>
                <w:sz w:val="16"/>
                <w:szCs w:val="16"/>
                <w:lang w:val="en-US"/>
              </w:rPr>
              <w:t>2017-2018</w:t>
            </w:r>
          </w:p>
        </w:tc>
        <w:tc>
          <w:tcPr>
            <w:tcW w:w="1417"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noWrap/>
            <w:vAlign w:val="center"/>
            <w:hideMark/>
          </w:tcPr>
          <w:p w14:paraId="682E48B9"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-38254</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2A8D7E5"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3061</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26F3B3E"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-9652</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0408533"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-16314</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642E0E6"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-15349</w:t>
            </w:r>
          </w:p>
        </w:tc>
        <w:tc>
          <w:tcPr>
            <w:tcW w:w="1319" w:type="dxa"/>
            <w:tcBorders>
              <w:top w:val="single" w:sz="4" w:space="0" w:color="D9D9D9" w:themeColor="background1" w:themeShade="D9"/>
              <w:bottom w:val="single" w:sz="4" w:space="0" w:color="D9D9D9" w:themeColor="background1" w:themeShade="D9"/>
            </w:tcBorders>
            <w:vAlign w:val="center"/>
          </w:tcPr>
          <w:p w14:paraId="7EBABCA1" w14:textId="77777777" w:rsidR="0071708A" w:rsidRPr="0071708A" w:rsidRDefault="0071708A" w:rsidP="0071708A">
            <w:pPr>
              <w:spacing w:before="40" w:after="40"/>
              <w:ind w:right="170"/>
              <w:jc w:val="right"/>
              <w:rPr>
                <w:rFonts w:ascii="Arial" w:hAnsi="Arial" w:cs="Arial"/>
                <w:sz w:val="16"/>
                <w:szCs w:val="16"/>
              </w:rPr>
            </w:pPr>
            <w:r w:rsidRPr="0071708A">
              <w:rPr>
                <w:rFonts w:ascii="Arial" w:hAnsi="Arial" w:cs="Arial"/>
                <w:sz w:val="16"/>
                <w:szCs w:val="16"/>
              </w:rPr>
              <w:t>...</w:t>
            </w:r>
          </w:p>
        </w:tc>
      </w:tr>
      <w:tr w:rsidR="0071708A" w:rsidRPr="0071708A" w14:paraId="5A15F82C" w14:textId="77777777" w:rsidTr="0071708A">
        <w:trPr>
          <w:trHeight w:val="22"/>
        </w:trPr>
        <w:tc>
          <w:tcPr>
            <w:tcW w:w="1857"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tcPr>
          <w:p w14:paraId="1C0151B9" w14:textId="77777777" w:rsidR="0071708A" w:rsidRPr="0071708A" w:rsidRDefault="0071708A" w:rsidP="0071708A">
            <w:pPr>
              <w:spacing w:before="40" w:after="40"/>
              <w:jc w:val="center"/>
              <w:rPr>
                <w:rFonts w:ascii="Arial" w:hAnsi="Arial" w:cs="Arial"/>
                <w:sz w:val="16"/>
                <w:szCs w:val="16"/>
                <w:lang w:val="en-US"/>
              </w:rPr>
            </w:pPr>
            <w:r w:rsidRPr="0071708A">
              <w:rPr>
                <w:rFonts w:ascii="Arial" w:hAnsi="Arial" w:cs="Arial"/>
                <w:sz w:val="16"/>
                <w:szCs w:val="16"/>
                <w:lang w:val="en-US"/>
              </w:rPr>
              <w:t>2018-2019</w:t>
            </w:r>
          </w:p>
        </w:tc>
        <w:tc>
          <w:tcPr>
            <w:tcW w:w="1417"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noWrap/>
            <w:vAlign w:val="center"/>
          </w:tcPr>
          <w:p w14:paraId="79A8E2BF"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-37369</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5F0FB099"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3863</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77F6B71E"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-9770</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4EDBFC6C"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-16175</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686FA541"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-15287</w:t>
            </w:r>
          </w:p>
        </w:tc>
        <w:tc>
          <w:tcPr>
            <w:tcW w:w="1319" w:type="dxa"/>
            <w:tcBorders>
              <w:top w:val="single" w:sz="4" w:space="0" w:color="D9D9D9" w:themeColor="background1" w:themeShade="D9"/>
              <w:bottom w:val="single" w:sz="4" w:space="0" w:color="D9D9D9" w:themeColor="background1" w:themeShade="D9"/>
            </w:tcBorders>
            <w:vAlign w:val="center"/>
          </w:tcPr>
          <w:p w14:paraId="1E23AFA4" w14:textId="77777777" w:rsidR="0071708A" w:rsidRPr="0071708A" w:rsidRDefault="008D5069" w:rsidP="0071708A">
            <w:pPr>
              <w:spacing w:before="40" w:after="40"/>
              <w:ind w:right="170"/>
              <w:jc w:val="right"/>
              <w:rPr>
                <w:rFonts w:ascii="Arial" w:hAnsi="Arial" w:cs="Arial"/>
                <w:sz w:val="16"/>
                <w:szCs w:val="16"/>
              </w:rPr>
            </w:pPr>
            <w:r>
              <w:rPr>
                <w:rFonts w:ascii="Arial" w:hAnsi="Arial" w:cs="Arial"/>
                <w:sz w:val="16"/>
                <w:szCs w:val="16"/>
              </w:rPr>
              <w:t>...</w:t>
            </w:r>
          </w:p>
        </w:tc>
      </w:tr>
      <w:tr w:rsidR="0071708A" w:rsidRPr="0071708A" w14:paraId="3A555F63" w14:textId="77777777" w:rsidTr="0071708A">
        <w:trPr>
          <w:trHeight w:val="22"/>
        </w:trPr>
        <w:tc>
          <w:tcPr>
            <w:tcW w:w="1857"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tcPr>
          <w:p w14:paraId="17DEA8C6" w14:textId="77777777" w:rsidR="0071708A" w:rsidRPr="0071708A" w:rsidRDefault="0071708A" w:rsidP="0071708A">
            <w:pPr>
              <w:spacing w:before="40" w:after="40" w:line="264" w:lineRule="auto"/>
              <w:jc w:val="center"/>
              <w:rPr>
                <w:rFonts w:ascii="Arial" w:hAnsi="Arial" w:cs="Arial"/>
                <w:sz w:val="16"/>
                <w:szCs w:val="16"/>
              </w:rPr>
            </w:pPr>
          </w:p>
        </w:tc>
        <w:tc>
          <w:tcPr>
            <w:tcW w:w="8404" w:type="dxa"/>
            <w:gridSpan w:val="6"/>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noWrap/>
            <w:vAlign w:val="center"/>
          </w:tcPr>
          <w:p w14:paraId="53FD5FE9" w14:textId="77777777" w:rsidR="0071708A" w:rsidRPr="0071708A" w:rsidRDefault="0071708A" w:rsidP="0071708A">
            <w:pPr>
              <w:spacing w:before="120" w:after="120" w:line="264" w:lineRule="auto"/>
              <w:jc w:val="center"/>
              <w:rPr>
                <w:rFonts w:ascii="Arial" w:hAnsi="Arial" w:cs="Arial"/>
                <w:sz w:val="16"/>
                <w:szCs w:val="16"/>
              </w:rPr>
            </w:pPr>
            <w:r w:rsidRPr="0071708A">
              <w:rPr>
                <w:rFonts w:ascii="Arial" w:hAnsi="Arial" w:cs="Arial"/>
                <w:sz w:val="16"/>
                <w:szCs w:val="16"/>
              </w:rPr>
              <w:t>Стопа раста (‰)</w:t>
            </w:r>
          </w:p>
        </w:tc>
      </w:tr>
      <w:tr w:rsidR="0071708A" w:rsidRPr="0071708A" w14:paraId="52745365" w14:textId="77777777" w:rsidTr="0071708A">
        <w:trPr>
          <w:trHeight w:val="22"/>
        </w:trPr>
        <w:tc>
          <w:tcPr>
            <w:tcW w:w="1857"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hideMark/>
          </w:tcPr>
          <w:p w14:paraId="78392876" w14:textId="77777777" w:rsidR="0071708A" w:rsidRPr="0071708A" w:rsidRDefault="0071708A" w:rsidP="0071708A">
            <w:pPr>
              <w:spacing w:before="40" w:after="40"/>
              <w:jc w:val="center"/>
              <w:rPr>
                <w:rFonts w:ascii="Arial" w:hAnsi="Arial" w:cs="Arial"/>
                <w:sz w:val="16"/>
                <w:szCs w:val="16"/>
                <w:lang w:val="en-US"/>
              </w:rPr>
            </w:pPr>
            <w:r w:rsidRPr="0071708A">
              <w:rPr>
                <w:rFonts w:ascii="Arial" w:hAnsi="Arial" w:cs="Arial"/>
                <w:sz w:val="16"/>
                <w:szCs w:val="16"/>
                <w:lang w:val="en-US"/>
              </w:rPr>
              <w:t>2002/2011</w:t>
            </w:r>
          </w:p>
        </w:tc>
        <w:tc>
          <w:tcPr>
            <w:tcW w:w="1417"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noWrap/>
            <w:vAlign w:val="center"/>
            <w:hideMark/>
          </w:tcPr>
          <w:p w14:paraId="43D22C5B"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-35,8</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0FC71B4"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49,3</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FA2EDA5"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-51,4</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4883921B"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-49,0</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A88F45D"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-82,8</w:t>
            </w:r>
          </w:p>
        </w:tc>
        <w:tc>
          <w:tcPr>
            <w:tcW w:w="1319" w:type="dxa"/>
            <w:tcBorders>
              <w:top w:val="single" w:sz="4" w:space="0" w:color="D9D9D9" w:themeColor="background1" w:themeShade="D9"/>
              <w:bottom w:val="single" w:sz="4" w:space="0" w:color="D9D9D9" w:themeColor="background1" w:themeShade="D9"/>
            </w:tcBorders>
          </w:tcPr>
          <w:p w14:paraId="73139CD4" w14:textId="77777777" w:rsidR="0071708A" w:rsidRPr="0071708A" w:rsidRDefault="0071708A" w:rsidP="0071708A">
            <w:pPr>
              <w:spacing w:before="40" w:after="40"/>
              <w:ind w:right="170"/>
              <w:jc w:val="right"/>
              <w:rPr>
                <w:rFonts w:ascii="Arial" w:hAnsi="Arial" w:cs="Arial"/>
                <w:sz w:val="16"/>
                <w:szCs w:val="16"/>
              </w:rPr>
            </w:pPr>
            <w:r w:rsidRPr="0071708A">
              <w:rPr>
                <w:rFonts w:ascii="Arial" w:hAnsi="Arial" w:cs="Arial"/>
                <w:sz w:val="16"/>
                <w:szCs w:val="16"/>
              </w:rPr>
              <w:t>...</w:t>
            </w:r>
          </w:p>
        </w:tc>
      </w:tr>
      <w:tr w:rsidR="0071708A" w:rsidRPr="0071708A" w14:paraId="1B5A1A54" w14:textId="77777777" w:rsidTr="0071708A">
        <w:trPr>
          <w:trHeight w:val="22"/>
        </w:trPr>
        <w:tc>
          <w:tcPr>
            <w:tcW w:w="1857"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hideMark/>
          </w:tcPr>
          <w:p w14:paraId="53B03690" w14:textId="77777777" w:rsidR="0071708A" w:rsidRPr="0071708A" w:rsidRDefault="0071708A" w:rsidP="0071708A">
            <w:pPr>
              <w:spacing w:before="40" w:after="40"/>
              <w:jc w:val="center"/>
              <w:rPr>
                <w:rFonts w:ascii="Arial" w:hAnsi="Arial" w:cs="Arial"/>
                <w:sz w:val="16"/>
                <w:szCs w:val="16"/>
                <w:lang w:val="en-US"/>
              </w:rPr>
            </w:pPr>
            <w:r w:rsidRPr="0071708A">
              <w:rPr>
                <w:rFonts w:ascii="Arial" w:hAnsi="Arial" w:cs="Arial"/>
                <w:sz w:val="16"/>
                <w:szCs w:val="16"/>
                <w:lang w:val="en-US"/>
              </w:rPr>
              <w:t>2011/2016</w:t>
            </w:r>
          </w:p>
        </w:tc>
        <w:tc>
          <w:tcPr>
            <w:tcW w:w="1417"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noWrap/>
            <w:vAlign w:val="center"/>
            <w:hideMark/>
          </w:tcPr>
          <w:p w14:paraId="2A2A093B"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-24,9</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9B0EAE3"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15,4</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32FC0C3"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-27,1</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5A02B874"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-38,3</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56B1C26"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-48,3</w:t>
            </w:r>
          </w:p>
        </w:tc>
        <w:tc>
          <w:tcPr>
            <w:tcW w:w="1319" w:type="dxa"/>
            <w:tcBorders>
              <w:top w:val="single" w:sz="4" w:space="0" w:color="D9D9D9" w:themeColor="background1" w:themeShade="D9"/>
              <w:bottom w:val="single" w:sz="4" w:space="0" w:color="D9D9D9" w:themeColor="background1" w:themeShade="D9"/>
            </w:tcBorders>
          </w:tcPr>
          <w:p w14:paraId="6923BEC2" w14:textId="77777777" w:rsidR="0071708A" w:rsidRPr="0071708A" w:rsidRDefault="0071708A" w:rsidP="0071708A">
            <w:pPr>
              <w:spacing w:before="40" w:after="40"/>
              <w:ind w:right="170"/>
              <w:jc w:val="right"/>
              <w:rPr>
                <w:rFonts w:ascii="Arial" w:hAnsi="Arial" w:cs="Arial"/>
                <w:sz w:val="16"/>
                <w:szCs w:val="16"/>
              </w:rPr>
            </w:pPr>
            <w:r w:rsidRPr="0071708A">
              <w:rPr>
                <w:rFonts w:ascii="Arial" w:hAnsi="Arial" w:cs="Arial"/>
                <w:sz w:val="16"/>
                <w:szCs w:val="16"/>
              </w:rPr>
              <w:t>...</w:t>
            </w:r>
          </w:p>
        </w:tc>
      </w:tr>
      <w:tr w:rsidR="0071708A" w:rsidRPr="0071708A" w14:paraId="6500D967" w14:textId="77777777" w:rsidTr="0071708A">
        <w:trPr>
          <w:trHeight w:val="22"/>
        </w:trPr>
        <w:tc>
          <w:tcPr>
            <w:tcW w:w="1857"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hideMark/>
          </w:tcPr>
          <w:p w14:paraId="6AB0DA09" w14:textId="77777777" w:rsidR="0071708A" w:rsidRPr="0071708A" w:rsidRDefault="0071708A" w:rsidP="0071708A">
            <w:pPr>
              <w:spacing w:before="40" w:after="40"/>
              <w:jc w:val="center"/>
              <w:rPr>
                <w:rFonts w:ascii="Arial" w:hAnsi="Arial" w:cs="Arial"/>
                <w:sz w:val="16"/>
                <w:szCs w:val="16"/>
                <w:lang w:val="en-US"/>
              </w:rPr>
            </w:pPr>
            <w:r w:rsidRPr="0071708A">
              <w:rPr>
                <w:rFonts w:ascii="Arial" w:hAnsi="Arial" w:cs="Arial"/>
                <w:sz w:val="16"/>
                <w:szCs w:val="16"/>
                <w:lang w:val="en-US"/>
              </w:rPr>
              <w:t>2016/2017</w:t>
            </w:r>
          </w:p>
        </w:tc>
        <w:tc>
          <w:tcPr>
            <w:tcW w:w="1417"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noWrap/>
            <w:vAlign w:val="center"/>
            <w:hideMark/>
          </w:tcPr>
          <w:p w14:paraId="1DA97D17"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-5.3</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A308B77"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1.9</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362F8E0"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-5.2</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06F25609"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-8.0</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9DB54A3"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-9.9</w:t>
            </w:r>
          </w:p>
        </w:tc>
        <w:tc>
          <w:tcPr>
            <w:tcW w:w="1319" w:type="dxa"/>
            <w:tcBorders>
              <w:top w:val="single" w:sz="4" w:space="0" w:color="D9D9D9" w:themeColor="background1" w:themeShade="D9"/>
              <w:bottom w:val="single" w:sz="4" w:space="0" w:color="D9D9D9" w:themeColor="background1" w:themeShade="D9"/>
            </w:tcBorders>
          </w:tcPr>
          <w:p w14:paraId="0E4AC1FE" w14:textId="77777777" w:rsidR="0071708A" w:rsidRPr="0071708A" w:rsidRDefault="0071708A" w:rsidP="0071708A">
            <w:pPr>
              <w:spacing w:before="40" w:after="40"/>
              <w:ind w:right="170"/>
              <w:jc w:val="right"/>
              <w:rPr>
                <w:rFonts w:ascii="Arial" w:hAnsi="Arial" w:cs="Arial"/>
                <w:sz w:val="16"/>
                <w:szCs w:val="16"/>
              </w:rPr>
            </w:pPr>
            <w:r w:rsidRPr="0071708A">
              <w:rPr>
                <w:rFonts w:ascii="Arial" w:hAnsi="Arial" w:cs="Arial"/>
                <w:sz w:val="16"/>
                <w:szCs w:val="16"/>
              </w:rPr>
              <w:t>...</w:t>
            </w:r>
          </w:p>
        </w:tc>
      </w:tr>
      <w:tr w:rsidR="0071708A" w:rsidRPr="0071708A" w14:paraId="00A0E66D" w14:textId="77777777" w:rsidTr="0071708A">
        <w:trPr>
          <w:trHeight w:val="22"/>
        </w:trPr>
        <w:tc>
          <w:tcPr>
            <w:tcW w:w="1857" w:type="dxa"/>
            <w:tcBorders>
              <w:top w:val="single" w:sz="4" w:space="0" w:color="D9D9D9" w:themeColor="background1" w:themeShade="D9"/>
              <w:bottom w:val="single" w:sz="4" w:space="0" w:color="D9D9D9" w:themeColor="background1" w:themeShade="D9"/>
              <w:right w:val="single" w:sz="4" w:space="0" w:color="808080" w:themeColor="background1" w:themeShade="80"/>
            </w:tcBorders>
            <w:shd w:val="clear" w:color="auto" w:fill="auto"/>
            <w:vAlign w:val="center"/>
          </w:tcPr>
          <w:p w14:paraId="6CA14418" w14:textId="77777777" w:rsidR="0071708A" w:rsidRPr="0071708A" w:rsidRDefault="0071708A" w:rsidP="0071708A">
            <w:pPr>
              <w:spacing w:before="40" w:after="40"/>
              <w:jc w:val="center"/>
              <w:rPr>
                <w:rFonts w:ascii="Arial" w:hAnsi="Arial" w:cs="Arial"/>
                <w:sz w:val="16"/>
                <w:szCs w:val="16"/>
                <w:lang w:val="en-US"/>
              </w:rPr>
            </w:pPr>
            <w:r w:rsidRPr="0071708A">
              <w:rPr>
                <w:rFonts w:ascii="Arial" w:hAnsi="Arial" w:cs="Arial"/>
                <w:sz w:val="16"/>
                <w:szCs w:val="16"/>
                <w:lang w:val="en-US"/>
              </w:rPr>
              <w:t>2017/2018</w:t>
            </w:r>
          </w:p>
        </w:tc>
        <w:tc>
          <w:tcPr>
            <w:tcW w:w="1417" w:type="dxa"/>
            <w:tcBorders>
              <w:top w:val="single" w:sz="4" w:space="0" w:color="D9D9D9" w:themeColor="background1" w:themeShade="D9"/>
              <w:left w:val="single" w:sz="4" w:space="0" w:color="808080" w:themeColor="background1" w:themeShade="80"/>
              <w:bottom w:val="single" w:sz="4" w:space="0" w:color="D9D9D9" w:themeColor="background1" w:themeShade="D9"/>
            </w:tcBorders>
            <w:shd w:val="clear" w:color="auto" w:fill="auto"/>
            <w:noWrap/>
            <w:vAlign w:val="center"/>
          </w:tcPr>
          <w:p w14:paraId="01BE3A58"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-5,5</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79D0EB8D"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1,8</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5EE97928"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-5,2</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3DD9EAE4"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-8,4</w:t>
            </w:r>
          </w:p>
        </w:tc>
        <w:tc>
          <w:tcPr>
            <w:tcW w:w="1417" w:type="dxa"/>
            <w:tcBorders>
              <w:top w:val="single" w:sz="4" w:space="0" w:color="D9D9D9" w:themeColor="background1" w:themeShade="D9"/>
              <w:bottom w:val="single" w:sz="4" w:space="0" w:color="D9D9D9" w:themeColor="background1" w:themeShade="D9"/>
            </w:tcBorders>
            <w:shd w:val="clear" w:color="auto" w:fill="auto"/>
            <w:noWrap/>
            <w:vAlign w:val="center"/>
          </w:tcPr>
          <w:p w14:paraId="6C15143A"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-10,1</w:t>
            </w:r>
          </w:p>
        </w:tc>
        <w:tc>
          <w:tcPr>
            <w:tcW w:w="1319" w:type="dxa"/>
            <w:tcBorders>
              <w:top w:val="single" w:sz="4" w:space="0" w:color="D9D9D9" w:themeColor="background1" w:themeShade="D9"/>
              <w:bottom w:val="single" w:sz="4" w:space="0" w:color="D9D9D9" w:themeColor="background1" w:themeShade="D9"/>
            </w:tcBorders>
          </w:tcPr>
          <w:p w14:paraId="7FB5E862" w14:textId="77777777" w:rsidR="0071708A" w:rsidRPr="0071708A" w:rsidRDefault="008D5069" w:rsidP="0071708A">
            <w:pPr>
              <w:spacing w:before="40" w:after="40"/>
              <w:ind w:right="170"/>
              <w:jc w:val="right"/>
              <w:rPr>
                <w:rFonts w:ascii="Arial" w:hAnsi="Arial" w:cs="Arial"/>
                <w:sz w:val="16"/>
                <w:szCs w:val="16"/>
              </w:rPr>
            </w:pPr>
            <w:r>
              <w:rPr>
                <w:rFonts w:ascii="Arial" w:hAnsi="Arial" w:cs="Arial"/>
                <w:sz w:val="16"/>
                <w:szCs w:val="16"/>
              </w:rPr>
              <w:t>...</w:t>
            </w:r>
          </w:p>
        </w:tc>
      </w:tr>
      <w:tr w:rsidR="0071708A" w:rsidRPr="0071708A" w14:paraId="3C4425B2" w14:textId="77777777" w:rsidTr="0071708A">
        <w:trPr>
          <w:trHeight w:val="72"/>
        </w:trPr>
        <w:tc>
          <w:tcPr>
            <w:tcW w:w="1857" w:type="dxa"/>
            <w:tcBorders>
              <w:top w:val="single" w:sz="4" w:space="0" w:color="D9D9D9" w:themeColor="background1" w:themeShade="D9"/>
              <w:bottom w:val="single" w:sz="4" w:space="0" w:color="808080" w:themeColor="background1" w:themeShade="80"/>
              <w:right w:val="single" w:sz="4" w:space="0" w:color="808080" w:themeColor="background1" w:themeShade="80"/>
            </w:tcBorders>
            <w:shd w:val="clear" w:color="auto" w:fill="auto"/>
            <w:vAlign w:val="center"/>
            <w:hideMark/>
          </w:tcPr>
          <w:p w14:paraId="37B48996" w14:textId="77777777" w:rsidR="0071708A" w:rsidRPr="0071708A" w:rsidRDefault="0071708A" w:rsidP="0071708A">
            <w:pPr>
              <w:spacing w:before="40" w:after="40"/>
              <w:jc w:val="center"/>
              <w:rPr>
                <w:rFonts w:ascii="Arial" w:hAnsi="Arial" w:cs="Arial"/>
                <w:sz w:val="16"/>
                <w:szCs w:val="16"/>
                <w:lang w:val="en-US"/>
              </w:rPr>
            </w:pPr>
            <w:r w:rsidRPr="0071708A">
              <w:rPr>
                <w:rFonts w:ascii="Arial" w:hAnsi="Arial" w:cs="Arial"/>
                <w:sz w:val="16"/>
                <w:szCs w:val="16"/>
                <w:lang w:val="en-US"/>
              </w:rPr>
              <w:t>2018/2019</w:t>
            </w:r>
          </w:p>
        </w:tc>
        <w:tc>
          <w:tcPr>
            <w:tcW w:w="1417" w:type="dxa"/>
            <w:tcBorders>
              <w:top w:val="single" w:sz="4" w:space="0" w:color="D9D9D9" w:themeColor="background1" w:themeShade="D9"/>
              <w:left w:val="single" w:sz="4" w:space="0" w:color="808080" w:themeColor="background1" w:themeShade="80"/>
              <w:bottom w:val="single" w:sz="4" w:space="0" w:color="808080" w:themeColor="background1" w:themeShade="80"/>
            </w:tcBorders>
            <w:shd w:val="clear" w:color="auto" w:fill="auto"/>
            <w:noWrap/>
            <w:vAlign w:val="center"/>
            <w:hideMark/>
          </w:tcPr>
          <w:p w14:paraId="240F1CDB"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-5.4</w:t>
            </w:r>
          </w:p>
        </w:tc>
        <w:tc>
          <w:tcPr>
            <w:tcW w:w="1417" w:type="dxa"/>
            <w:tcBorders>
              <w:top w:val="single" w:sz="4" w:space="0" w:color="D9D9D9" w:themeColor="background1" w:themeShade="D9"/>
              <w:bottom w:val="single" w:sz="4" w:space="0" w:color="808080" w:themeColor="background1" w:themeShade="80"/>
            </w:tcBorders>
            <w:shd w:val="clear" w:color="auto" w:fill="auto"/>
            <w:noWrap/>
            <w:vAlign w:val="center"/>
            <w:hideMark/>
          </w:tcPr>
          <w:p w14:paraId="72D2C8EF"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2.3</w:t>
            </w:r>
          </w:p>
        </w:tc>
        <w:tc>
          <w:tcPr>
            <w:tcW w:w="1417" w:type="dxa"/>
            <w:tcBorders>
              <w:top w:val="single" w:sz="4" w:space="0" w:color="D9D9D9" w:themeColor="background1" w:themeShade="D9"/>
              <w:bottom w:val="single" w:sz="4" w:space="0" w:color="808080" w:themeColor="background1" w:themeShade="80"/>
            </w:tcBorders>
            <w:shd w:val="clear" w:color="auto" w:fill="auto"/>
            <w:noWrap/>
            <w:vAlign w:val="center"/>
            <w:hideMark/>
          </w:tcPr>
          <w:p w14:paraId="1B736EB0"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-5.3</w:t>
            </w:r>
          </w:p>
        </w:tc>
        <w:tc>
          <w:tcPr>
            <w:tcW w:w="1417" w:type="dxa"/>
            <w:tcBorders>
              <w:top w:val="single" w:sz="4" w:space="0" w:color="D9D9D9" w:themeColor="background1" w:themeShade="D9"/>
              <w:bottom w:val="single" w:sz="4" w:space="0" w:color="808080" w:themeColor="background1" w:themeShade="80"/>
            </w:tcBorders>
            <w:shd w:val="clear" w:color="auto" w:fill="auto"/>
            <w:noWrap/>
            <w:vAlign w:val="center"/>
            <w:hideMark/>
          </w:tcPr>
          <w:p w14:paraId="366A2523"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-8.4</w:t>
            </w:r>
          </w:p>
        </w:tc>
        <w:tc>
          <w:tcPr>
            <w:tcW w:w="1417" w:type="dxa"/>
            <w:tcBorders>
              <w:top w:val="single" w:sz="4" w:space="0" w:color="D9D9D9" w:themeColor="background1" w:themeShade="D9"/>
              <w:bottom w:val="single" w:sz="4" w:space="0" w:color="808080" w:themeColor="background1" w:themeShade="80"/>
            </w:tcBorders>
            <w:shd w:val="clear" w:color="auto" w:fill="auto"/>
            <w:noWrap/>
            <w:vAlign w:val="center"/>
            <w:hideMark/>
          </w:tcPr>
          <w:p w14:paraId="211F8955" w14:textId="77777777" w:rsidR="0071708A" w:rsidRPr="0071708A" w:rsidRDefault="0071708A" w:rsidP="0071708A">
            <w:pPr>
              <w:spacing w:before="40" w:after="40"/>
              <w:ind w:right="170"/>
              <w:jc w:val="right"/>
              <w:rPr>
                <w:rFonts w:ascii="Arial" w:hAnsi="Arial" w:cs="Arial"/>
                <w:sz w:val="16"/>
                <w:szCs w:val="16"/>
                <w:lang w:val="en-US"/>
              </w:rPr>
            </w:pPr>
            <w:r w:rsidRPr="0071708A">
              <w:rPr>
                <w:rFonts w:ascii="Arial" w:hAnsi="Arial" w:cs="Arial"/>
                <w:sz w:val="16"/>
                <w:szCs w:val="16"/>
                <w:lang w:val="en-US"/>
              </w:rPr>
              <w:t>-10.2</w:t>
            </w:r>
          </w:p>
        </w:tc>
        <w:tc>
          <w:tcPr>
            <w:tcW w:w="1319" w:type="dxa"/>
            <w:tcBorders>
              <w:top w:val="single" w:sz="4" w:space="0" w:color="D9D9D9" w:themeColor="background1" w:themeShade="D9"/>
              <w:bottom w:val="single" w:sz="4" w:space="0" w:color="808080" w:themeColor="background1" w:themeShade="80"/>
            </w:tcBorders>
          </w:tcPr>
          <w:p w14:paraId="51E43EA5" w14:textId="77777777" w:rsidR="0071708A" w:rsidRPr="0071708A" w:rsidRDefault="0071708A" w:rsidP="0071708A">
            <w:pPr>
              <w:spacing w:before="40" w:after="40"/>
              <w:ind w:right="170"/>
              <w:jc w:val="right"/>
              <w:rPr>
                <w:rFonts w:ascii="Arial" w:hAnsi="Arial" w:cs="Arial"/>
                <w:sz w:val="16"/>
                <w:szCs w:val="16"/>
              </w:rPr>
            </w:pPr>
            <w:r w:rsidRPr="0071708A">
              <w:rPr>
                <w:rFonts w:ascii="Arial" w:hAnsi="Arial" w:cs="Arial"/>
                <w:sz w:val="16"/>
                <w:szCs w:val="16"/>
              </w:rPr>
              <w:t>...</w:t>
            </w:r>
          </w:p>
        </w:tc>
      </w:tr>
    </w:tbl>
    <w:p w14:paraId="1D66EAC5" w14:textId="77777777" w:rsidR="00DA403C" w:rsidRPr="003E3892" w:rsidRDefault="00DA403C" w:rsidP="00E07163">
      <w:pPr>
        <w:spacing w:before="600" w:after="120"/>
        <w:jc w:val="both"/>
        <w:rPr>
          <w:rFonts w:ascii="Arial" w:hAnsi="Arial" w:cs="Arial"/>
          <w:sz w:val="20"/>
          <w:szCs w:val="20"/>
        </w:rPr>
      </w:pPr>
      <w:r w:rsidRPr="00CA3AD8">
        <w:rPr>
          <w:rFonts w:ascii="Arial" w:hAnsi="Arial" w:cs="Arial"/>
          <w:sz w:val="20"/>
          <w:szCs w:val="20"/>
        </w:rPr>
        <w:t>Граф</w:t>
      </w:r>
      <w:r w:rsidR="00E0303C" w:rsidRPr="00CA3AD8">
        <w:rPr>
          <w:rFonts w:ascii="Arial" w:hAnsi="Arial" w:cs="Arial"/>
          <w:sz w:val="20"/>
          <w:szCs w:val="20"/>
        </w:rPr>
        <w:t xml:space="preserve">. </w:t>
      </w:r>
      <w:r w:rsidRPr="00CA3AD8">
        <w:rPr>
          <w:rFonts w:ascii="Arial" w:hAnsi="Arial" w:cs="Arial"/>
          <w:sz w:val="20"/>
          <w:szCs w:val="20"/>
        </w:rPr>
        <w:t>2</w:t>
      </w:r>
      <w:r w:rsidR="00E0303C" w:rsidRPr="00CA3AD8">
        <w:rPr>
          <w:rFonts w:ascii="Arial" w:hAnsi="Arial" w:cs="Arial"/>
          <w:sz w:val="20"/>
          <w:szCs w:val="20"/>
        </w:rPr>
        <w:t>. Процењен број становника</w:t>
      </w:r>
      <w:r w:rsidR="003E3892" w:rsidRPr="00CA3AD8">
        <w:rPr>
          <w:rFonts w:ascii="Arial" w:hAnsi="Arial" w:cs="Arial"/>
          <w:sz w:val="20"/>
          <w:szCs w:val="20"/>
        </w:rPr>
        <w:t xml:space="preserve"> (годишњи просек)</w:t>
      </w:r>
      <w:r w:rsidR="00E0303C" w:rsidRPr="00CA3AD8">
        <w:rPr>
          <w:rFonts w:ascii="Arial" w:hAnsi="Arial" w:cs="Arial"/>
          <w:sz w:val="20"/>
          <w:szCs w:val="20"/>
        </w:rPr>
        <w:t>, 2002–</w:t>
      </w:r>
      <w:r w:rsidRPr="00CA3AD8">
        <w:rPr>
          <w:rFonts w:ascii="Arial" w:hAnsi="Arial" w:cs="Arial"/>
          <w:sz w:val="20"/>
          <w:szCs w:val="20"/>
        </w:rPr>
        <w:t>201</w:t>
      </w:r>
      <w:r w:rsidR="00AE6886" w:rsidRPr="00CA3AD8">
        <w:rPr>
          <w:rFonts w:ascii="Arial" w:hAnsi="Arial" w:cs="Arial"/>
          <w:sz w:val="20"/>
          <w:szCs w:val="20"/>
        </w:rPr>
        <w:t>9</w:t>
      </w:r>
      <w:r w:rsidR="003E3892" w:rsidRPr="00CA3AD8">
        <w:rPr>
          <w:rFonts w:ascii="Arial" w:hAnsi="Arial" w:cs="Arial"/>
          <w:sz w:val="20"/>
          <w:szCs w:val="20"/>
        </w:rPr>
        <w:t>, по регионима</w:t>
      </w:r>
      <w:r w:rsidR="00AE6886" w:rsidRPr="003E3892">
        <w:rPr>
          <w:rFonts w:ascii="Arial" w:hAnsi="Arial" w:cs="Arial"/>
          <w:sz w:val="20"/>
          <w:szCs w:val="20"/>
        </w:rPr>
        <w:t xml:space="preserve"> </w:t>
      </w:r>
    </w:p>
    <w:p w14:paraId="10493786" w14:textId="77777777" w:rsidR="00DA403C" w:rsidRDefault="00C42B50">
      <w:pPr>
        <w:rPr>
          <w:noProof/>
          <w:sz w:val="10"/>
          <w:szCs w:val="10"/>
          <w:lang w:val="en-US"/>
        </w:rPr>
      </w:pPr>
      <w:r w:rsidRPr="00E409D0">
        <w:rPr>
          <w:rFonts w:ascii="Arial" w:hAnsi="Arial" w:cs="Arial"/>
          <w:b/>
          <w:noProof/>
          <w:sz w:val="20"/>
          <w:szCs w:val="20"/>
          <w:lang w:val="en-US"/>
        </w:rPr>
        <mc:AlternateContent>
          <mc:Choice Requires="wps">
            <w:drawing>
              <wp:anchor distT="0" distB="0" distL="114300" distR="114300" simplePos="0" relativeHeight="251654656" behindDoc="0" locked="0" layoutInCell="1" allowOverlap="1" wp14:anchorId="56BFD809" wp14:editId="18CFB4A1">
                <wp:simplePos x="0" y="0"/>
                <wp:positionH relativeFrom="column">
                  <wp:posOffset>4517390</wp:posOffset>
                </wp:positionH>
                <wp:positionV relativeFrom="paragraph">
                  <wp:posOffset>-2540</wp:posOffset>
                </wp:positionV>
                <wp:extent cx="1963420" cy="2657475"/>
                <wp:effectExtent l="0" t="0" r="17780" b="28575"/>
                <wp:wrapNone/>
                <wp:docPr id="13" name="Text Box 13"/>
                <wp:cNvGraphicFramePr/>
                <a:graphic xmlns:a="http://schemas.openxmlformats.org/drawingml/2006/main">
                  <a:graphicData uri="http://schemas.microsoft.com/office/word/2010/wordprocessingShape">
                    <wps:wsp>
                      <wps:cNvSpPr txBox="1"/>
                      <wps:spPr>
                        <a:xfrm>
                          <a:off x="0" y="0"/>
                          <a:ext cx="1963420" cy="2657475"/>
                        </a:xfrm>
                        <a:prstGeom prst="roundRect">
                          <a:avLst/>
                        </a:prstGeom>
                        <a:solidFill>
                          <a:schemeClr val="bg1">
                            <a:lumMod val="95000"/>
                          </a:schemeClr>
                        </a:solidFill>
                        <a:ln w="3175">
                          <a:solidFill>
                            <a:schemeClr val="bg1">
                              <a:lumMod val="75000"/>
                            </a:schemeClr>
                          </a:solidFill>
                        </a:ln>
                      </wps:spPr>
                      <wps:txbx>
                        <w:txbxContent>
                          <w:p w14:paraId="0240B7A3" w14:textId="77777777" w:rsidR="00147842" w:rsidRPr="0071026F" w:rsidRDefault="00C42B50" w:rsidP="00CC470B">
                            <w:pPr>
                              <w:spacing w:before="240"/>
                              <w:rPr>
                                <w:rFonts w:ascii="Arial" w:hAnsi="Arial" w:cs="Arial"/>
                                <w:sz w:val="18"/>
                                <w:szCs w:val="18"/>
                                <w:lang w:val="sr-Latn-RS"/>
                              </w:rPr>
                            </w:pPr>
                            <w:r w:rsidRPr="0071026F">
                              <w:rPr>
                                <w:rFonts w:ascii="Arial" w:hAnsi="Arial" w:cs="Arial"/>
                                <w:sz w:val="18"/>
                                <w:szCs w:val="18"/>
                              </w:rPr>
                              <w:t>У</w:t>
                            </w:r>
                            <w:r w:rsidR="000A6D6E" w:rsidRPr="0071026F">
                              <w:rPr>
                                <w:rFonts w:ascii="Arial" w:hAnsi="Arial" w:cs="Arial"/>
                                <w:sz w:val="18"/>
                                <w:szCs w:val="18"/>
                              </w:rPr>
                              <w:t xml:space="preserve"> </w:t>
                            </w:r>
                            <w:r w:rsidR="00450DB2" w:rsidRPr="0071026F">
                              <w:rPr>
                                <w:rFonts w:ascii="Arial" w:hAnsi="Arial" w:cs="Arial"/>
                                <w:sz w:val="18"/>
                                <w:szCs w:val="18"/>
                              </w:rPr>
                              <w:t xml:space="preserve">Београдској и у Јужнобачкој области је </w:t>
                            </w:r>
                            <w:r w:rsidR="00966D38" w:rsidRPr="0071026F">
                              <w:rPr>
                                <w:rFonts w:ascii="Arial" w:hAnsi="Arial" w:cs="Arial"/>
                                <w:sz w:val="18"/>
                                <w:szCs w:val="18"/>
                              </w:rPr>
                              <w:t>у 201</w:t>
                            </w:r>
                            <w:r w:rsidR="00F43F91" w:rsidRPr="0071026F">
                              <w:rPr>
                                <w:rFonts w:ascii="Arial" w:hAnsi="Arial" w:cs="Arial"/>
                                <w:sz w:val="18"/>
                                <w:szCs w:val="18"/>
                                <w:lang w:val="sr-Latn-RS"/>
                              </w:rPr>
                              <w:t>9</w:t>
                            </w:r>
                            <w:r w:rsidR="00966D38" w:rsidRPr="0071026F">
                              <w:rPr>
                                <w:rFonts w:ascii="Arial" w:hAnsi="Arial" w:cs="Arial"/>
                                <w:sz w:val="18"/>
                                <w:szCs w:val="18"/>
                              </w:rPr>
                              <w:t>. години</w:t>
                            </w:r>
                            <w:r w:rsidR="00450DB2" w:rsidRPr="0071026F">
                              <w:rPr>
                                <w:rFonts w:ascii="Arial" w:hAnsi="Arial" w:cs="Arial"/>
                                <w:sz w:val="18"/>
                                <w:szCs w:val="18"/>
                              </w:rPr>
                              <w:t xml:space="preserve"> порастао број становника</w:t>
                            </w:r>
                            <w:r w:rsidR="00966D38" w:rsidRPr="0071026F">
                              <w:rPr>
                                <w:rFonts w:ascii="Arial" w:hAnsi="Arial" w:cs="Arial"/>
                                <w:sz w:val="18"/>
                                <w:szCs w:val="18"/>
                              </w:rPr>
                              <w:t xml:space="preserve"> у односу на претходну годину</w:t>
                            </w:r>
                            <w:r w:rsidR="00450DB2" w:rsidRPr="0071026F">
                              <w:rPr>
                                <w:rFonts w:ascii="Arial" w:hAnsi="Arial" w:cs="Arial"/>
                                <w:sz w:val="18"/>
                                <w:szCs w:val="18"/>
                              </w:rPr>
                              <w:t xml:space="preserve">, док је највећи пад </w:t>
                            </w:r>
                            <w:r w:rsidR="00DA403C" w:rsidRPr="0071026F">
                              <w:rPr>
                                <w:rFonts w:ascii="Arial" w:hAnsi="Arial" w:cs="Arial"/>
                                <w:sz w:val="18"/>
                                <w:szCs w:val="18"/>
                              </w:rPr>
                              <w:t>забележен</w:t>
                            </w:r>
                            <w:r w:rsidR="00DA403C" w:rsidRPr="0071026F">
                              <w:rPr>
                                <w:rFonts w:ascii="Arial" w:hAnsi="Arial" w:cs="Arial"/>
                                <w:sz w:val="18"/>
                                <w:szCs w:val="18"/>
                                <w:lang w:val="en-US"/>
                              </w:rPr>
                              <w:t xml:space="preserve"> </w:t>
                            </w:r>
                            <w:r w:rsidR="00450DB2" w:rsidRPr="0071026F">
                              <w:rPr>
                                <w:rFonts w:ascii="Arial" w:hAnsi="Arial" w:cs="Arial"/>
                                <w:sz w:val="18"/>
                                <w:szCs w:val="18"/>
                              </w:rPr>
                              <w:t>у</w:t>
                            </w:r>
                            <w:r w:rsidR="00DA403C" w:rsidRPr="0071026F">
                              <w:rPr>
                                <w:rFonts w:ascii="Arial" w:hAnsi="Arial" w:cs="Arial"/>
                                <w:sz w:val="18"/>
                                <w:szCs w:val="18"/>
                                <w:lang w:val="en-US"/>
                              </w:rPr>
                              <w:t xml:space="preserve"> </w:t>
                            </w:r>
                            <w:r w:rsidR="00F43F91" w:rsidRPr="0071026F">
                              <w:rPr>
                                <w:rFonts w:ascii="Arial" w:hAnsi="Arial" w:cs="Arial"/>
                                <w:sz w:val="18"/>
                                <w:szCs w:val="18"/>
                              </w:rPr>
                              <w:t>Борској</w:t>
                            </w:r>
                            <w:r w:rsidR="00450DB2" w:rsidRPr="0071026F">
                              <w:rPr>
                                <w:rFonts w:ascii="Arial" w:hAnsi="Arial" w:cs="Arial"/>
                                <w:sz w:val="18"/>
                                <w:szCs w:val="18"/>
                              </w:rPr>
                              <w:t xml:space="preserve"> области.  </w:t>
                            </w:r>
                          </w:p>
                          <w:p w14:paraId="07D1A523" w14:textId="77777777" w:rsidR="0062540F" w:rsidRPr="0071026F" w:rsidRDefault="009346B3" w:rsidP="00CC470B">
                            <w:pPr>
                              <w:spacing w:before="240"/>
                              <w:rPr>
                                <w:rFonts w:ascii="Arial" w:hAnsi="Arial" w:cs="Arial"/>
                                <w:sz w:val="18"/>
                                <w:szCs w:val="18"/>
                              </w:rPr>
                            </w:pPr>
                            <w:r w:rsidRPr="0071026F">
                              <w:rPr>
                                <w:rFonts w:ascii="Arial" w:hAnsi="Arial" w:cs="Arial"/>
                                <w:sz w:val="18"/>
                                <w:szCs w:val="18"/>
                              </w:rPr>
                              <w:t>Посматрано н</w:t>
                            </w:r>
                            <w:r w:rsidR="00C02009" w:rsidRPr="0071026F">
                              <w:rPr>
                                <w:rFonts w:ascii="Arial" w:hAnsi="Arial" w:cs="Arial"/>
                                <w:sz w:val="18"/>
                                <w:szCs w:val="18"/>
                              </w:rPr>
                              <w:t xml:space="preserve">а нивоу </w:t>
                            </w:r>
                            <w:r w:rsidR="00C02009" w:rsidRPr="00CA3AD8">
                              <w:rPr>
                                <w:rFonts w:ascii="Arial" w:hAnsi="Arial" w:cs="Arial"/>
                                <w:sz w:val="18"/>
                                <w:szCs w:val="18"/>
                              </w:rPr>
                              <w:t>општина</w:t>
                            </w:r>
                            <w:r w:rsidR="003E3892" w:rsidRPr="00CA3AD8">
                              <w:rPr>
                                <w:rFonts w:ascii="Arial" w:hAnsi="Arial" w:cs="Arial"/>
                                <w:sz w:val="18"/>
                                <w:szCs w:val="18"/>
                              </w:rPr>
                              <w:t>/градова</w:t>
                            </w:r>
                            <w:r w:rsidR="003C3715" w:rsidRPr="00CA3AD8">
                              <w:rPr>
                                <w:rFonts w:ascii="Arial" w:hAnsi="Arial" w:cs="Arial"/>
                                <w:sz w:val="18"/>
                                <w:szCs w:val="18"/>
                              </w:rPr>
                              <w:t xml:space="preserve">, </w:t>
                            </w:r>
                            <w:r w:rsidRPr="00CA3AD8">
                              <w:rPr>
                                <w:rFonts w:ascii="Arial" w:hAnsi="Arial" w:cs="Arial"/>
                                <w:sz w:val="18"/>
                                <w:szCs w:val="18"/>
                              </w:rPr>
                              <w:t>н</w:t>
                            </w:r>
                            <w:r w:rsidRPr="0071026F">
                              <w:rPr>
                                <w:rFonts w:ascii="Arial" w:hAnsi="Arial" w:cs="Arial"/>
                                <w:sz w:val="18"/>
                                <w:szCs w:val="18"/>
                              </w:rPr>
                              <w:t>ајвећи раст броја становника</w:t>
                            </w:r>
                            <w:r w:rsidR="00C42B50" w:rsidRPr="0071026F">
                              <w:rPr>
                                <w:rFonts w:ascii="Arial" w:hAnsi="Arial" w:cs="Arial"/>
                                <w:sz w:val="18"/>
                                <w:szCs w:val="18"/>
                              </w:rPr>
                              <w:t xml:space="preserve"> </w:t>
                            </w:r>
                            <w:r w:rsidRPr="0071026F">
                              <w:rPr>
                                <w:rFonts w:ascii="Arial" w:hAnsi="Arial" w:cs="Arial"/>
                                <w:sz w:val="18"/>
                                <w:szCs w:val="18"/>
                              </w:rPr>
                              <w:t>се</w:t>
                            </w:r>
                            <w:r w:rsidR="00C02009" w:rsidRPr="0071026F">
                              <w:rPr>
                                <w:rFonts w:ascii="Arial" w:hAnsi="Arial" w:cs="Arial"/>
                                <w:sz w:val="18"/>
                                <w:szCs w:val="18"/>
                              </w:rPr>
                              <w:t xml:space="preserve"> десио</w:t>
                            </w:r>
                            <w:r w:rsidR="00E0303C" w:rsidRPr="0071026F">
                              <w:rPr>
                                <w:rFonts w:ascii="Arial" w:hAnsi="Arial" w:cs="Arial"/>
                                <w:sz w:val="18"/>
                                <w:szCs w:val="18"/>
                              </w:rPr>
                              <w:t xml:space="preserve"> у </w:t>
                            </w:r>
                            <w:r w:rsidR="00E0303C" w:rsidRPr="007764C1">
                              <w:rPr>
                                <w:rFonts w:ascii="Arial" w:hAnsi="Arial" w:cs="Arial"/>
                                <w:sz w:val="18"/>
                                <w:szCs w:val="18"/>
                              </w:rPr>
                              <w:t>седам</w:t>
                            </w:r>
                            <w:r w:rsidR="00450DB2" w:rsidRPr="0071026F">
                              <w:rPr>
                                <w:rFonts w:ascii="Arial" w:hAnsi="Arial" w:cs="Arial"/>
                                <w:sz w:val="18"/>
                                <w:szCs w:val="18"/>
                              </w:rPr>
                              <w:t xml:space="preserve"> београдских општина и у Новом Саду, али и у Нов</w:t>
                            </w:r>
                            <w:r w:rsidRPr="0071026F">
                              <w:rPr>
                                <w:rFonts w:ascii="Arial" w:hAnsi="Arial" w:cs="Arial"/>
                                <w:sz w:val="18"/>
                                <w:szCs w:val="18"/>
                              </w:rPr>
                              <w:t xml:space="preserve">ом Пазару, </w:t>
                            </w:r>
                            <w:r w:rsidR="00F43F91" w:rsidRPr="0071026F">
                              <w:rPr>
                                <w:rFonts w:ascii="Arial" w:hAnsi="Arial" w:cs="Arial"/>
                                <w:sz w:val="18"/>
                                <w:szCs w:val="18"/>
                              </w:rPr>
                              <w:t>Тутину</w:t>
                            </w:r>
                            <w:r w:rsidRPr="0071026F">
                              <w:rPr>
                                <w:rFonts w:ascii="Arial" w:hAnsi="Arial" w:cs="Arial"/>
                                <w:sz w:val="18"/>
                                <w:szCs w:val="18"/>
                              </w:rPr>
                              <w:t xml:space="preserve"> и </w:t>
                            </w:r>
                            <w:r w:rsidR="00F43F91" w:rsidRPr="0071026F">
                              <w:rPr>
                                <w:rFonts w:ascii="Arial" w:hAnsi="Arial" w:cs="Arial"/>
                                <w:sz w:val="18"/>
                                <w:szCs w:val="18"/>
                              </w:rPr>
                              <w:t>Прешеву</w:t>
                            </w:r>
                            <w:r w:rsidRPr="0071026F">
                              <w:rPr>
                                <w:rFonts w:ascii="Arial" w:hAnsi="Arial" w:cs="Arial"/>
                                <w:sz w:val="18"/>
                                <w:szCs w:val="18"/>
                              </w:rPr>
                              <w:t>, а н</w:t>
                            </w:r>
                            <w:r w:rsidR="000A6D6E" w:rsidRPr="0071026F">
                              <w:rPr>
                                <w:rFonts w:ascii="Arial" w:hAnsi="Arial" w:cs="Arial"/>
                                <w:sz w:val="18"/>
                                <w:szCs w:val="18"/>
                              </w:rPr>
                              <w:t>ајвећи губитак</w:t>
                            </w:r>
                            <w:r w:rsidR="00450DB2" w:rsidRPr="0071026F">
                              <w:rPr>
                                <w:rFonts w:ascii="Arial" w:hAnsi="Arial" w:cs="Arial"/>
                                <w:sz w:val="18"/>
                                <w:szCs w:val="18"/>
                              </w:rPr>
                              <w:t xml:space="preserve"> у Црној Трави, Гаџином Хану и </w:t>
                            </w:r>
                            <w:r w:rsidR="00F43F91" w:rsidRPr="0071026F">
                              <w:rPr>
                                <w:rFonts w:ascii="Arial" w:hAnsi="Arial" w:cs="Arial"/>
                                <w:sz w:val="18"/>
                                <w:szCs w:val="18"/>
                              </w:rPr>
                              <w:t>Бабушници</w:t>
                            </w:r>
                            <w:r w:rsidR="00450DB2" w:rsidRPr="0071026F">
                              <w:rPr>
                                <w:rFonts w:ascii="Arial" w:hAnsi="Arial" w:cs="Arial"/>
                                <w:sz w:val="18"/>
                                <w:szCs w:val="18"/>
                              </w:rPr>
                              <w:t xml:space="preserve">.  </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FD809" id="Text Box 13" o:spid="_x0000_s1027" style="position:absolute;margin-left:355.7pt;margin-top:-.2pt;width:154.6pt;height:20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" fillcolor="#f2f2f2 [3052]" strokecolor="#bfbfbf [2412]" strokeweight=".25pt">
                <v:textbox inset="1mm,0,1mm,0">
                  <w:txbxContent>
                    <w:p w14:paraId="0240B7A3" w14:textId="77777777" w:rsidR="00147842" w:rsidRPr="0071026F" w:rsidRDefault="00C42B50" w:rsidP="00CC470B">
                      <w:pPr>
                        <w:spacing w:before="240"/>
                        <w:rPr>
                          <w:rFonts w:ascii="Arial" w:hAnsi="Arial" w:cs="Arial"/>
                          <w:sz w:val="18"/>
                          <w:szCs w:val="18"/>
                          <w:lang w:val="sr-Latn-RS"/>
                        </w:rPr>
                      </w:pPr>
                      <w:r w:rsidRPr="0071026F">
                        <w:rPr>
                          <w:rFonts w:ascii="Arial" w:hAnsi="Arial" w:cs="Arial"/>
                          <w:sz w:val="18"/>
                          <w:szCs w:val="18"/>
                        </w:rPr>
                        <w:t>У</w:t>
                      </w:r>
                      <w:r w:rsidR="000A6D6E" w:rsidRPr="0071026F">
                        <w:rPr>
                          <w:rFonts w:ascii="Arial" w:hAnsi="Arial" w:cs="Arial"/>
                          <w:sz w:val="18"/>
                          <w:szCs w:val="18"/>
                        </w:rPr>
                        <w:t xml:space="preserve"> </w:t>
                      </w:r>
                      <w:r w:rsidR="00450DB2" w:rsidRPr="0071026F">
                        <w:rPr>
                          <w:rFonts w:ascii="Arial" w:hAnsi="Arial" w:cs="Arial"/>
                          <w:sz w:val="18"/>
                          <w:szCs w:val="18"/>
                        </w:rPr>
                        <w:t xml:space="preserve">Београдској и у Јужнобачкој области је </w:t>
                      </w:r>
                      <w:r w:rsidR="00966D38" w:rsidRPr="0071026F">
                        <w:rPr>
                          <w:rFonts w:ascii="Arial" w:hAnsi="Arial" w:cs="Arial"/>
                          <w:sz w:val="18"/>
                          <w:szCs w:val="18"/>
                        </w:rPr>
                        <w:t>у 201</w:t>
                      </w:r>
                      <w:r w:rsidR="00F43F91" w:rsidRPr="0071026F">
                        <w:rPr>
                          <w:rFonts w:ascii="Arial" w:hAnsi="Arial" w:cs="Arial"/>
                          <w:sz w:val="18"/>
                          <w:szCs w:val="18"/>
                          <w:lang w:val="sr-Latn-RS"/>
                        </w:rPr>
                        <w:t>9</w:t>
                      </w:r>
                      <w:r w:rsidR="00966D38" w:rsidRPr="0071026F">
                        <w:rPr>
                          <w:rFonts w:ascii="Arial" w:hAnsi="Arial" w:cs="Arial"/>
                          <w:sz w:val="18"/>
                          <w:szCs w:val="18"/>
                        </w:rPr>
                        <w:t>. години</w:t>
                      </w:r>
                      <w:r w:rsidR="00450DB2" w:rsidRPr="0071026F">
                        <w:rPr>
                          <w:rFonts w:ascii="Arial" w:hAnsi="Arial" w:cs="Arial"/>
                          <w:sz w:val="18"/>
                          <w:szCs w:val="18"/>
                        </w:rPr>
                        <w:t xml:space="preserve"> порастао број становника</w:t>
                      </w:r>
                      <w:r w:rsidR="00966D38" w:rsidRPr="0071026F">
                        <w:rPr>
                          <w:rFonts w:ascii="Arial" w:hAnsi="Arial" w:cs="Arial"/>
                          <w:sz w:val="18"/>
                          <w:szCs w:val="18"/>
                        </w:rPr>
                        <w:t xml:space="preserve"> у односу на претходну годину</w:t>
                      </w:r>
                      <w:r w:rsidR="00450DB2" w:rsidRPr="0071026F">
                        <w:rPr>
                          <w:rFonts w:ascii="Arial" w:hAnsi="Arial" w:cs="Arial"/>
                          <w:sz w:val="18"/>
                          <w:szCs w:val="18"/>
                        </w:rPr>
                        <w:t xml:space="preserve">, док је највећи пад </w:t>
                      </w:r>
                      <w:r w:rsidR="00DA403C" w:rsidRPr="0071026F">
                        <w:rPr>
                          <w:rFonts w:ascii="Arial" w:hAnsi="Arial" w:cs="Arial"/>
                          <w:sz w:val="18"/>
                          <w:szCs w:val="18"/>
                        </w:rPr>
                        <w:t>забележен</w:t>
                      </w:r>
                      <w:r w:rsidR="00DA403C" w:rsidRPr="0071026F">
                        <w:rPr>
                          <w:rFonts w:ascii="Arial" w:hAnsi="Arial" w:cs="Arial"/>
                          <w:sz w:val="18"/>
                          <w:szCs w:val="18"/>
                          <w:lang w:val="en-US"/>
                        </w:rPr>
                        <w:t xml:space="preserve"> </w:t>
                      </w:r>
                      <w:r w:rsidR="00450DB2" w:rsidRPr="0071026F">
                        <w:rPr>
                          <w:rFonts w:ascii="Arial" w:hAnsi="Arial" w:cs="Arial"/>
                          <w:sz w:val="18"/>
                          <w:szCs w:val="18"/>
                        </w:rPr>
                        <w:t>у</w:t>
                      </w:r>
                      <w:r w:rsidR="00DA403C" w:rsidRPr="0071026F">
                        <w:rPr>
                          <w:rFonts w:ascii="Arial" w:hAnsi="Arial" w:cs="Arial"/>
                          <w:sz w:val="18"/>
                          <w:szCs w:val="18"/>
                          <w:lang w:val="en-US"/>
                        </w:rPr>
                        <w:t xml:space="preserve"> </w:t>
                      </w:r>
                      <w:r w:rsidR="00F43F91" w:rsidRPr="0071026F">
                        <w:rPr>
                          <w:rFonts w:ascii="Arial" w:hAnsi="Arial" w:cs="Arial"/>
                          <w:sz w:val="18"/>
                          <w:szCs w:val="18"/>
                        </w:rPr>
                        <w:t>Борској</w:t>
                      </w:r>
                      <w:r w:rsidR="00450DB2" w:rsidRPr="0071026F">
                        <w:rPr>
                          <w:rFonts w:ascii="Arial" w:hAnsi="Arial" w:cs="Arial"/>
                          <w:sz w:val="18"/>
                          <w:szCs w:val="18"/>
                        </w:rPr>
                        <w:t xml:space="preserve"> области.  </w:t>
                      </w:r>
                    </w:p>
                    <w:p w14:paraId="07D1A523" w14:textId="77777777" w:rsidR="0062540F" w:rsidRPr="0071026F" w:rsidRDefault="009346B3" w:rsidP="00CC470B">
                      <w:pPr>
                        <w:spacing w:before="240"/>
                        <w:rPr>
                          <w:rFonts w:ascii="Arial" w:hAnsi="Arial" w:cs="Arial"/>
                          <w:sz w:val="18"/>
                          <w:szCs w:val="18"/>
                        </w:rPr>
                      </w:pPr>
                      <w:r w:rsidRPr="0071026F">
                        <w:rPr>
                          <w:rFonts w:ascii="Arial" w:hAnsi="Arial" w:cs="Arial"/>
                          <w:sz w:val="18"/>
                          <w:szCs w:val="18"/>
                        </w:rPr>
                        <w:t>Посматрано н</w:t>
                      </w:r>
                      <w:r w:rsidR="00C02009" w:rsidRPr="0071026F">
                        <w:rPr>
                          <w:rFonts w:ascii="Arial" w:hAnsi="Arial" w:cs="Arial"/>
                          <w:sz w:val="18"/>
                          <w:szCs w:val="18"/>
                        </w:rPr>
                        <w:t xml:space="preserve">а нивоу </w:t>
                      </w:r>
                      <w:r w:rsidR="00C02009" w:rsidRPr="00CA3AD8">
                        <w:rPr>
                          <w:rFonts w:ascii="Arial" w:hAnsi="Arial" w:cs="Arial"/>
                          <w:sz w:val="18"/>
                          <w:szCs w:val="18"/>
                        </w:rPr>
                        <w:t>општина</w:t>
                      </w:r>
                      <w:r w:rsidR="003E3892" w:rsidRPr="00CA3AD8">
                        <w:rPr>
                          <w:rFonts w:ascii="Arial" w:hAnsi="Arial" w:cs="Arial"/>
                          <w:sz w:val="18"/>
                          <w:szCs w:val="18"/>
                        </w:rPr>
                        <w:t>/градова</w:t>
                      </w:r>
                      <w:r w:rsidR="003C3715" w:rsidRPr="00CA3AD8">
                        <w:rPr>
                          <w:rFonts w:ascii="Arial" w:hAnsi="Arial" w:cs="Arial"/>
                          <w:sz w:val="18"/>
                          <w:szCs w:val="18"/>
                        </w:rPr>
                        <w:t xml:space="preserve">, </w:t>
                      </w:r>
                      <w:r w:rsidRPr="00CA3AD8">
                        <w:rPr>
                          <w:rFonts w:ascii="Arial" w:hAnsi="Arial" w:cs="Arial"/>
                          <w:sz w:val="18"/>
                          <w:szCs w:val="18"/>
                        </w:rPr>
                        <w:t>н</w:t>
                      </w:r>
                      <w:r w:rsidRPr="0071026F">
                        <w:rPr>
                          <w:rFonts w:ascii="Arial" w:hAnsi="Arial" w:cs="Arial"/>
                          <w:sz w:val="18"/>
                          <w:szCs w:val="18"/>
                        </w:rPr>
                        <w:t>ајвећи раст броја становника</w:t>
                      </w:r>
                      <w:r w:rsidR="00C42B50" w:rsidRPr="0071026F">
                        <w:rPr>
                          <w:rFonts w:ascii="Arial" w:hAnsi="Arial" w:cs="Arial"/>
                          <w:sz w:val="18"/>
                          <w:szCs w:val="18"/>
                        </w:rPr>
                        <w:t xml:space="preserve"> </w:t>
                      </w:r>
                      <w:r w:rsidRPr="0071026F">
                        <w:rPr>
                          <w:rFonts w:ascii="Arial" w:hAnsi="Arial" w:cs="Arial"/>
                          <w:sz w:val="18"/>
                          <w:szCs w:val="18"/>
                        </w:rPr>
                        <w:t>се</w:t>
                      </w:r>
                      <w:r w:rsidR="00C02009" w:rsidRPr="0071026F">
                        <w:rPr>
                          <w:rFonts w:ascii="Arial" w:hAnsi="Arial" w:cs="Arial"/>
                          <w:sz w:val="18"/>
                          <w:szCs w:val="18"/>
                        </w:rPr>
                        <w:t xml:space="preserve"> десио</w:t>
                      </w:r>
                      <w:r w:rsidR="00E0303C" w:rsidRPr="0071026F">
                        <w:rPr>
                          <w:rFonts w:ascii="Arial" w:hAnsi="Arial" w:cs="Arial"/>
                          <w:sz w:val="18"/>
                          <w:szCs w:val="18"/>
                        </w:rPr>
                        <w:t xml:space="preserve"> у </w:t>
                      </w:r>
                      <w:r w:rsidR="00E0303C" w:rsidRPr="007764C1">
                        <w:rPr>
                          <w:rFonts w:ascii="Arial" w:hAnsi="Arial" w:cs="Arial"/>
                          <w:sz w:val="18"/>
                          <w:szCs w:val="18"/>
                        </w:rPr>
                        <w:t>седам</w:t>
                      </w:r>
                      <w:r w:rsidR="00450DB2" w:rsidRPr="0071026F">
                        <w:rPr>
                          <w:rFonts w:ascii="Arial" w:hAnsi="Arial" w:cs="Arial"/>
                          <w:sz w:val="18"/>
                          <w:szCs w:val="18"/>
                        </w:rPr>
                        <w:t xml:space="preserve"> београдских општина и у Новом Саду, али и у Нов</w:t>
                      </w:r>
                      <w:r w:rsidRPr="0071026F">
                        <w:rPr>
                          <w:rFonts w:ascii="Arial" w:hAnsi="Arial" w:cs="Arial"/>
                          <w:sz w:val="18"/>
                          <w:szCs w:val="18"/>
                        </w:rPr>
                        <w:t xml:space="preserve">ом Пазару, </w:t>
                      </w:r>
                      <w:r w:rsidR="00F43F91" w:rsidRPr="0071026F">
                        <w:rPr>
                          <w:rFonts w:ascii="Arial" w:hAnsi="Arial" w:cs="Arial"/>
                          <w:sz w:val="18"/>
                          <w:szCs w:val="18"/>
                        </w:rPr>
                        <w:t>Тутину</w:t>
                      </w:r>
                      <w:r w:rsidRPr="0071026F">
                        <w:rPr>
                          <w:rFonts w:ascii="Arial" w:hAnsi="Arial" w:cs="Arial"/>
                          <w:sz w:val="18"/>
                          <w:szCs w:val="18"/>
                        </w:rPr>
                        <w:t xml:space="preserve"> и </w:t>
                      </w:r>
                      <w:r w:rsidR="00F43F91" w:rsidRPr="0071026F">
                        <w:rPr>
                          <w:rFonts w:ascii="Arial" w:hAnsi="Arial" w:cs="Arial"/>
                          <w:sz w:val="18"/>
                          <w:szCs w:val="18"/>
                        </w:rPr>
                        <w:t>Прешеву</w:t>
                      </w:r>
                      <w:r w:rsidRPr="0071026F">
                        <w:rPr>
                          <w:rFonts w:ascii="Arial" w:hAnsi="Arial" w:cs="Arial"/>
                          <w:sz w:val="18"/>
                          <w:szCs w:val="18"/>
                        </w:rPr>
                        <w:t>, а н</w:t>
                      </w:r>
                      <w:r w:rsidR="000A6D6E" w:rsidRPr="0071026F">
                        <w:rPr>
                          <w:rFonts w:ascii="Arial" w:hAnsi="Arial" w:cs="Arial"/>
                          <w:sz w:val="18"/>
                          <w:szCs w:val="18"/>
                        </w:rPr>
                        <w:t>ајвећи губитак</w:t>
                      </w:r>
                      <w:r w:rsidR="00450DB2" w:rsidRPr="0071026F">
                        <w:rPr>
                          <w:rFonts w:ascii="Arial" w:hAnsi="Arial" w:cs="Arial"/>
                          <w:sz w:val="18"/>
                          <w:szCs w:val="18"/>
                        </w:rPr>
                        <w:t xml:space="preserve"> у Црној Трави, Гаџином Хану и </w:t>
                      </w:r>
                      <w:r w:rsidR="00F43F91" w:rsidRPr="0071026F">
                        <w:rPr>
                          <w:rFonts w:ascii="Arial" w:hAnsi="Arial" w:cs="Arial"/>
                          <w:sz w:val="18"/>
                          <w:szCs w:val="18"/>
                        </w:rPr>
                        <w:t>Бабушници</w:t>
                      </w:r>
                      <w:r w:rsidR="00450DB2" w:rsidRPr="0071026F">
                        <w:rPr>
                          <w:rFonts w:ascii="Arial" w:hAnsi="Arial" w:cs="Arial"/>
                          <w:sz w:val="18"/>
                          <w:szCs w:val="18"/>
                        </w:rPr>
                        <w:t xml:space="preserve">.  </w:t>
                      </w:r>
                    </w:p>
                  </w:txbxContent>
                </v:textbox>
              </v:roundrect>
            </w:pict>
          </mc:Fallback>
        </mc:AlternateContent>
      </w:r>
      <w:r w:rsidR="00CC4D09" w:rsidRPr="00CC4D09">
        <w:rPr>
          <w:noProof/>
          <w:sz w:val="10"/>
          <w:szCs w:val="10"/>
          <w:lang w:val="en-US"/>
        </w:rPr>
        <w:drawing>
          <wp:inline distT="0" distB="0" distL="0" distR="0" wp14:anchorId="7351326B" wp14:editId="0D0819FA">
            <wp:extent cx="4667250" cy="2657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2657475"/>
                    </a:xfrm>
                    <a:prstGeom prst="rect">
                      <a:avLst/>
                    </a:prstGeom>
                    <a:noFill/>
                    <a:ln>
                      <a:noFill/>
                    </a:ln>
                  </pic:spPr>
                </pic:pic>
              </a:graphicData>
            </a:graphic>
          </wp:inline>
        </w:drawing>
      </w:r>
    </w:p>
    <w:p w14:paraId="63E3CCBF" w14:textId="77777777" w:rsidR="00DA403C" w:rsidRDefault="00DA403C">
      <w:pPr>
        <w:rPr>
          <w:noProof/>
          <w:sz w:val="10"/>
          <w:szCs w:val="10"/>
          <w:lang w:val="en-US"/>
        </w:rPr>
      </w:pPr>
    </w:p>
    <w:p w14:paraId="353296A6" w14:textId="77777777" w:rsidR="00043EAD" w:rsidRDefault="00043EAD" w:rsidP="00043EAD">
      <w:pPr>
        <w:spacing w:before="120"/>
        <w:jc w:val="both"/>
        <w:rPr>
          <w:rFonts w:ascii="Arial" w:hAnsi="Arial" w:cs="Arial"/>
          <w:sz w:val="20"/>
          <w:szCs w:val="20"/>
          <w:lang w:val="sr-Latn-RS"/>
        </w:rPr>
      </w:pPr>
    </w:p>
    <w:p w14:paraId="70CA4148" w14:textId="77777777" w:rsidR="00F12BB3" w:rsidRDefault="00F12BB3">
      <w:pPr>
        <w:rPr>
          <w:rFonts w:ascii="Arial" w:hAnsi="Arial" w:cs="Arial"/>
          <w:sz w:val="20"/>
          <w:szCs w:val="20"/>
          <w:lang w:val="sr-Latn-RS"/>
        </w:rPr>
      </w:pPr>
      <w:r>
        <w:rPr>
          <w:rFonts w:ascii="Arial" w:hAnsi="Arial" w:cs="Arial"/>
          <w:sz w:val="20"/>
          <w:szCs w:val="20"/>
          <w:lang w:val="sr-Latn-RS"/>
        </w:rPr>
        <w:br w:type="page"/>
      </w:r>
    </w:p>
    <w:p w14:paraId="1A376557" w14:textId="77777777" w:rsidR="007676BF" w:rsidRPr="00CA3AD8" w:rsidRDefault="007676BF" w:rsidP="00043EAD">
      <w:pPr>
        <w:spacing w:before="120"/>
        <w:jc w:val="both"/>
        <w:rPr>
          <w:rFonts w:ascii="Arial" w:hAnsi="Arial" w:cs="Arial"/>
          <w:b/>
          <w:sz w:val="20"/>
          <w:szCs w:val="20"/>
        </w:rPr>
      </w:pPr>
      <w:r w:rsidRPr="00CA3AD8">
        <w:rPr>
          <w:rFonts w:ascii="Arial" w:hAnsi="Arial" w:cs="Arial"/>
          <w:b/>
          <w:sz w:val="20"/>
          <w:szCs w:val="20"/>
        </w:rPr>
        <w:lastRenderedPageBreak/>
        <w:t>Старосн</w:t>
      </w:r>
      <w:r w:rsidR="003E3892" w:rsidRPr="00CA3AD8">
        <w:rPr>
          <w:rFonts w:ascii="Arial" w:hAnsi="Arial" w:cs="Arial"/>
          <w:b/>
          <w:sz w:val="20"/>
          <w:szCs w:val="20"/>
        </w:rPr>
        <w:t>о-полна</w:t>
      </w:r>
      <w:r w:rsidRPr="00CA3AD8">
        <w:rPr>
          <w:rFonts w:ascii="Arial" w:hAnsi="Arial" w:cs="Arial"/>
          <w:b/>
          <w:sz w:val="20"/>
          <w:szCs w:val="20"/>
        </w:rPr>
        <w:t xml:space="preserve"> структура становништва</w:t>
      </w:r>
      <w:r w:rsidR="000A6D6E" w:rsidRPr="00CA3AD8">
        <w:rPr>
          <w:rFonts w:ascii="Arial" w:hAnsi="Arial" w:cs="Arial"/>
          <w:b/>
          <w:sz w:val="20"/>
          <w:szCs w:val="20"/>
        </w:rPr>
        <w:t xml:space="preserve"> </w:t>
      </w:r>
      <w:r w:rsidR="00E0303C" w:rsidRPr="00CA3AD8">
        <w:rPr>
          <w:rFonts w:ascii="Arial" w:hAnsi="Arial" w:cs="Arial"/>
          <w:b/>
          <w:sz w:val="20"/>
          <w:szCs w:val="20"/>
        </w:rPr>
        <w:t>у периоду 2002–</w:t>
      </w:r>
      <w:r w:rsidR="00966D38" w:rsidRPr="00CA3AD8">
        <w:rPr>
          <w:rFonts w:ascii="Arial" w:hAnsi="Arial" w:cs="Arial"/>
          <w:b/>
          <w:sz w:val="20"/>
          <w:szCs w:val="20"/>
        </w:rPr>
        <w:t>201</w:t>
      </w:r>
      <w:r w:rsidR="006F479B" w:rsidRPr="00CA3AD8">
        <w:rPr>
          <w:rFonts w:ascii="Arial" w:hAnsi="Arial" w:cs="Arial"/>
          <w:b/>
          <w:sz w:val="20"/>
          <w:szCs w:val="20"/>
        </w:rPr>
        <w:t>9</w:t>
      </w:r>
      <w:r w:rsidR="00966D38" w:rsidRPr="00CA3AD8">
        <w:rPr>
          <w:rFonts w:ascii="Arial" w:hAnsi="Arial" w:cs="Arial"/>
          <w:b/>
          <w:sz w:val="20"/>
          <w:szCs w:val="20"/>
        </w:rPr>
        <w:t>. године</w:t>
      </w:r>
    </w:p>
    <w:p w14:paraId="5A376996" w14:textId="56AD3DC2" w:rsidR="007A6970" w:rsidRPr="0071026F" w:rsidRDefault="0092130B" w:rsidP="006F479B">
      <w:pPr>
        <w:spacing w:before="120"/>
        <w:jc w:val="both"/>
        <w:rPr>
          <w:rFonts w:ascii="Arial" w:hAnsi="Arial" w:cs="Arial"/>
          <w:sz w:val="20"/>
          <w:szCs w:val="20"/>
          <w:lang w:val="sr-Latn-RS"/>
        </w:rPr>
      </w:pPr>
      <w:r w:rsidRPr="00CA3AD8">
        <w:rPr>
          <w:rFonts w:ascii="Arial" w:hAnsi="Arial" w:cs="Arial"/>
          <w:sz w:val="20"/>
          <w:szCs w:val="20"/>
        </w:rPr>
        <w:t>Осим промене у у</w:t>
      </w:r>
      <w:r w:rsidR="00AB0873" w:rsidRPr="00CA3AD8">
        <w:rPr>
          <w:rFonts w:ascii="Arial" w:hAnsi="Arial" w:cs="Arial"/>
          <w:sz w:val="20"/>
          <w:szCs w:val="20"/>
        </w:rPr>
        <w:t>купном броју становника</w:t>
      </w:r>
      <w:r w:rsidR="00E0303C" w:rsidRPr="00CA3AD8">
        <w:rPr>
          <w:rFonts w:ascii="Arial" w:hAnsi="Arial" w:cs="Arial"/>
          <w:sz w:val="20"/>
          <w:szCs w:val="20"/>
        </w:rPr>
        <w:t>,</w:t>
      </w:r>
      <w:r w:rsidR="00AB0873" w:rsidRPr="00CA3AD8">
        <w:rPr>
          <w:rFonts w:ascii="Arial" w:hAnsi="Arial" w:cs="Arial"/>
          <w:sz w:val="20"/>
          <w:szCs w:val="20"/>
        </w:rPr>
        <w:t xml:space="preserve"> евидентна је и</w:t>
      </w:r>
      <w:r w:rsidR="00E0303C" w:rsidRPr="00CA3AD8">
        <w:rPr>
          <w:rFonts w:ascii="Arial" w:hAnsi="Arial" w:cs="Arial"/>
          <w:sz w:val="20"/>
          <w:szCs w:val="20"/>
        </w:rPr>
        <w:t xml:space="preserve"> промена у старосно-</w:t>
      </w:r>
      <w:r w:rsidRPr="00CA3AD8">
        <w:rPr>
          <w:rFonts w:ascii="Arial" w:hAnsi="Arial" w:cs="Arial"/>
          <w:sz w:val="20"/>
          <w:szCs w:val="20"/>
        </w:rPr>
        <w:t>полној структури становништва</w:t>
      </w:r>
      <w:r w:rsidR="00450DB2" w:rsidRPr="00CA3AD8">
        <w:rPr>
          <w:rFonts w:ascii="Arial" w:hAnsi="Arial" w:cs="Arial"/>
          <w:sz w:val="20"/>
          <w:szCs w:val="20"/>
        </w:rPr>
        <w:t>, која се најбоље уочава на старосној пирамиди. У 2002.</w:t>
      </w:r>
      <w:r w:rsidR="003C4F00" w:rsidRPr="00CA3AD8">
        <w:rPr>
          <w:rFonts w:ascii="Arial" w:hAnsi="Arial" w:cs="Arial"/>
          <w:sz w:val="20"/>
          <w:szCs w:val="20"/>
          <w:lang w:val="sr-Latn-RS"/>
        </w:rPr>
        <w:t xml:space="preserve"> </w:t>
      </w:r>
      <w:r w:rsidR="003C4F00" w:rsidRPr="00CA3AD8">
        <w:rPr>
          <w:rFonts w:ascii="Arial" w:hAnsi="Arial" w:cs="Arial"/>
          <w:sz w:val="20"/>
          <w:szCs w:val="20"/>
        </w:rPr>
        <w:t>години, код оба пола је</w:t>
      </w:r>
      <w:r w:rsidR="00450DB2" w:rsidRPr="00CA3AD8">
        <w:rPr>
          <w:rFonts w:ascii="Arial" w:hAnsi="Arial" w:cs="Arial"/>
          <w:sz w:val="20"/>
          <w:szCs w:val="20"/>
        </w:rPr>
        <w:t xml:space="preserve"> најзаступљенија</w:t>
      </w:r>
      <w:r w:rsidR="00E0303C" w:rsidRPr="00CA3AD8">
        <w:rPr>
          <w:rFonts w:ascii="Arial" w:hAnsi="Arial" w:cs="Arial"/>
          <w:sz w:val="20"/>
          <w:szCs w:val="20"/>
        </w:rPr>
        <w:t xml:space="preserve"> популација старосне доби 45–49 год.</w:t>
      </w:r>
      <w:r w:rsidR="00450DB2" w:rsidRPr="00CA3AD8">
        <w:rPr>
          <w:rFonts w:ascii="Arial" w:hAnsi="Arial" w:cs="Arial"/>
          <w:sz w:val="20"/>
          <w:szCs w:val="20"/>
        </w:rPr>
        <w:t xml:space="preserve">, док је у </w:t>
      </w:r>
      <w:r w:rsidR="00E0303C" w:rsidRPr="00CA3AD8">
        <w:rPr>
          <w:rFonts w:ascii="Arial" w:hAnsi="Arial" w:cs="Arial"/>
          <w:sz w:val="20"/>
          <w:szCs w:val="20"/>
        </w:rPr>
        <w:t>201</w:t>
      </w:r>
      <w:r w:rsidR="00693C05" w:rsidRPr="00CA3AD8">
        <w:rPr>
          <w:rFonts w:ascii="Arial" w:hAnsi="Arial" w:cs="Arial"/>
          <w:sz w:val="20"/>
          <w:szCs w:val="20"/>
        </w:rPr>
        <w:t>9</w:t>
      </w:r>
      <w:r w:rsidR="00934817" w:rsidRPr="00CA3AD8">
        <w:rPr>
          <w:rFonts w:ascii="Arial" w:hAnsi="Arial" w:cs="Arial"/>
          <w:sz w:val="20"/>
          <w:szCs w:val="20"/>
        </w:rPr>
        <w:t>,</w:t>
      </w:r>
      <w:r w:rsidR="00E0303C" w:rsidRPr="00CA3AD8">
        <w:rPr>
          <w:rFonts w:ascii="Arial" w:hAnsi="Arial" w:cs="Arial"/>
          <w:sz w:val="20"/>
          <w:szCs w:val="20"/>
        </w:rPr>
        <w:t xml:space="preserve"> </w:t>
      </w:r>
      <w:r w:rsidR="003C4F00" w:rsidRPr="00CA3AD8">
        <w:rPr>
          <w:rFonts w:ascii="Arial" w:hAnsi="Arial" w:cs="Arial"/>
          <w:sz w:val="20"/>
          <w:szCs w:val="20"/>
        </w:rPr>
        <w:t>у укупној популацији</w:t>
      </w:r>
      <w:r w:rsidR="00934817" w:rsidRPr="00CA3AD8">
        <w:rPr>
          <w:rFonts w:ascii="Arial" w:hAnsi="Arial" w:cs="Arial"/>
          <w:sz w:val="20"/>
          <w:szCs w:val="20"/>
        </w:rPr>
        <w:t>,</w:t>
      </w:r>
      <w:r w:rsidR="003C4F00" w:rsidRPr="00CA3AD8">
        <w:rPr>
          <w:rFonts w:ascii="Arial" w:hAnsi="Arial" w:cs="Arial"/>
          <w:sz w:val="20"/>
          <w:szCs w:val="20"/>
        </w:rPr>
        <w:t xml:space="preserve"> </w:t>
      </w:r>
      <w:r w:rsidR="00E0303C" w:rsidRPr="00CA3AD8">
        <w:rPr>
          <w:rFonts w:ascii="Arial" w:hAnsi="Arial" w:cs="Arial"/>
          <w:sz w:val="20"/>
          <w:szCs w:val="20"/>
        </w:rPr>
        <w:t xml:space="preserve">највећи удео мушкараца </w:t>
      </w:r>
      <w:r w:rsidR="003E3892" w:rsidRPr="00CA3AD8">
        <w:rPr>
          <w:rFonts w:ascii="Arial" w:hAnsi="Arial" w:cs="Arial"/>
          <w:sz w:val="20"/>
          <w:szCs w:val="20"/>
        </w:rPr>
        <w:t xml:space="preserve">старих </w:t>
      </w:r>
      <w:r w:rsidR="00CA3AD8">
        <w:rPr>
          <w:rFonts w:ascii="Arial" w:hAnsi="Arial" w:cs="Arial"/>
          <w:sz w:val="20"/>
          <w:szCs w:val="20"/>
          <w:lang w:val="sr-Latn-RS"/>
        </w:rPr>
        <w:t xml:space="preserve">                   </w:t>
      </w:r>
      <w:r w:rsidR="00E0303C" w:rsidRPr="00CA3AD8">
        <w:rPr>
          <w:rFonts w:ascii="Arial" w:hAnsi="Arial" w:cs="Arial"/>
          <w:sz w:val="20"/>
          <w:szCs w:val="20"/>
        </w:rPr>
        <w:t>40–44 год. и жена 6</w:t>
      </w:r>
      <w:r w:rsidR="0044102D" w:rsidRPr="00CA3AD8">
        <w:rPr>
          <w:rFonts w:ascii="Arial" w:hAnsi="Arial" w:cs="Arial"/>
          <w:sz w:val="20"/>
          <w:szCs w:val="20"/>
        </w:rPr>
        <w:t>5</w:t>
      </w:r>
      <w:r w:rsidR="00E0303C" w:rsidRPr="00CA3AD8">
        <w:rPr>
          <w:rFonts w:ascii="Arial" w:hAnsi="Arial" w:cs="Arial"/>
          <w:sz w:val="20"/>
          <w:szCs w:val="20"/>
        </w:rPr>
        <w:t>–</w:t>
      </w:r>
      <w:r w:rsidR="00450DB2" w:rsidRPr="00CA3AD8">
        <w:rPr>
          <w:rFonts w:ascii="Arial" w:hAnsi="Arial" w:cs="Arial"/>
          <w:sz w:val="20"/>
          <w:szCs w:val="20"/>
        </w:rPr>
        <w:t>6</w:t>
      </w:r>
      <w:r w:rsidR="0044102D" w:rsidRPr="00CA3AD8">
        <w:rPr>
          <w:rFonts w:ascii="Arial" w:hAnsi="Arial" w:cs="Arial"/>
          <w:sz w:val="20"/>
          <w:szCs w:val="20"/>
        </w:rPr>
        <w:t>9</w:t>
      </w:r>
      <w:r w:rsidR="00450DB2" w:rsidRPr="00CA3AD8">
        <w:rPr>
          <w:rFonts w:ascii="Arial" w:hAnsi="Arial" w:cs="Arial"/>
          <w:sz w:val="20"/>
          <w:szCs w:val="20"/>
        </w:rPr>
        <w:t xml:space="preserve"> год.</w:t>
      </w:r>
      <w:r w:rsidR="00450DB2" w:rsidRPr="0071026F">
        <w:rPr>
          <w:rFonts w:ascii="Arial" w:hAnsi="Arial" w:cs="Arial"/>
          <w:sz w:val="20"/>
          <w:szCs w:val="20"/>
        </w:rPr>
        <w:t xml:space="preserve"> </w:t>
      </w:r>
    </w:p>
    <w:p w14:paraId="1ADA7510" w14:textId="77777777" w:rsidR="006F479B" w:rsidRPr="006F479B" w:rsidRDefault="006F479B" w:rsidP="006F479B">
      <w:pPr>
        <w:spacing w:before="120"/>
        <w:jc w:val="both"/>
        <w:rPr>
          <w:rFonts w:ascii="Arial" w:hAnsi="Arial" w:cs="Arial"/>
          <w:color w:val="FF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4950"/>
        <w:gridCol w:w="5254"/>
      </w:tblGrid>
      <w:tr w:rsidR="007A6970" w:rsidRPr="007A6970" w14:paraId="4C4D26B4" w14:textId="77777777" w:rsidTr="00E81407">
        <w:trPr>
          <w:trHeight w:val="227"/>
          <w:jc w:val="center"/>
        </w:trPr>
        <w:tc>
          <w:tcPr>
            <w:tcW w:w="4950" w:type="dxa"/>
            <w:vAlign w:val="bottom"/>
          </w:tcPr>
          <w:p w14:paraId="49C9AAEC" w14:textId="77777777" w:rsidR="007A6970" w:rsidRPr="007A6970" w:rsidRDefault="007A6970" w:rsidP="00BA42DF">
            <w:pPr>
              <w:spacing w:after="60"/>
              <w:rPr>
                <w:rFonts w:ascii="Arial" w:hAnsi="Arial" w:cs="Arial"/>
                <w:sz w:val="18"/>
                <w:szCs w:val="18"/>
              </w:rPr>
            </w:pPr>
            <w:r w:rsidRPr="007A6970">
              <w:rPr>
                <w:rFonts w:ascii="Arial" w:hAnsi="Arial" w:cs="Arial"/>
                <w:sz w:val="18"/>
                <w:szCs w:val="18"/>
              </w:rPr>
              <w:t>Граф</w:t>
            </w:r>
            <w:r w:rsidR="00E0303C">
              <w:rPr>
                <w:rFonts w:ascii="Arial" w:hAnsi="Arial" w:cs="Arial"/>
                <w:sz w:val="18"/>
                <w:szCs w:val="18"/>
              </w:rPr>
              <w:t xml:space="preserve">. </w:t>
            </w:r>
            <w:r w:rsidRPr="007A6970">
              <w:rPr>
                <w:rFonts w:ascii="Arial" w:hAnsi="Arial" w:cs="Arial"/>
                <w:sz w:val="18"/>
                <w:szCs w:val="18"/>
              </w:rPr>
              <w:t>3</w:t>
            </w:r>
            <w:r w:rsidRPr="007A6970">
              <w:rPr>
                <w:rFonts w:ascii="Arial" w:hAnsi="Arial" w:cs="Arial"/>
                <w:sz w:val="18"/>
                <w:szCs w:val="18"/>
                <w:lang w:val="sr-Latn-RS"/>
              </w:rPr>
              <w:t>.</w:t>
            </w:r>
            <w:r w:rsidRPr="007A6970">
              <w:rPr>
                <w:rFonts w:ascii="Arial" w:hAnsi="Arial" w:cs="Arial"/>
                <w:sz w:val="18"/>
                <w:szCs w:val="18"/>
              </w:rPr>
              <w:t xml:space="preserve"> Старосна пирамида становништва</w:t>
            </w:r>
          </w:p>
        </w:tc>
        <w:tc>
          <w:tcPr>
            <w:tcW w:w="5254" w:type="dxa"/>
            <w:vAlign w:val="bottom"/>
          </w:tcPr>
          <w:p w14:paraId="58AEFDD8" w14:textId="77777777" w:rsidR="007A6970" w:rsidRPr="007A6970" w:rsidRDefault="007A6970" w:rsidP="00BA42DF">
            <w:pPr>
              <w:spacing w:after="60"/>
              <w:rPr>
                <w:rFonts w:ascii="Arial" w:hAnsi="Arial" w:cs="Arial"/>
                <w:bCs/>
                <w:sz w:val="18"/>
                <w:szCs w:val="18"/>
              </w:rPr>
            </w:pPr>
            <w:r w:rsidRPr="007A6970">
              <w:rPr>
                <w:rFonts w:ascii="Arial" w:hAnsi="Arial" w:cs="Arial"/>
                <w:bCs/>
                <w:sz w:val="18"/>
                <w:szCs w:val="18"/>
              </w:rPr>
              <w:t>Табела 2.</w:t>
            </w:r>
            <w:r w:rsidR="00F36225">
              <w:rPr>
                <w:rFonts w:ascii="Arial" w:hAnsi="Arial" w:cs="Arial"/>
                <w:bCs/>
                <w:sz w:val="18"/>
                <w:szCs w:val="18"/>
                <w:lang w:val="en-US"/>
              </w:rPr>
              <w:t xml:space="preserve"> </w:t>
            </w:r>
            <w:r w:rsidRPr="007A6970">
              <w:rPr>
                <w:rFonts w:ascii="Arial" w:hAnsi="Arial" w:cs="Arial"/>
                <w:bCs/>
                <w:sz w:val="18"/>
                <w:szCs w:val="18"/>
              </w:rPr>
              <w:t>Демографски показатељи</w:t>
            </w:r>
          </w:p>
        </w:tc>
      </w:tr>
      <w:tr w:rsidR="007A6970" w14:paraId="15BA7011" w14:textId="77777777" w:rsidTr="00E81407">
        <w:trPr>
          <w:trHeight w:val="4932"/>
          <w:jc w:val="center"/>
        </w:trPr>
        <w:tc>
          <w:tcPr>
            <w:tcW w:w="4950" w:type="dxa"/>
          </w:tcPr>
          <w:p w14:paraId="46D29C0F" w14:textId="77777777" w:rsidR="007A6970" w:rsidRDefault="002B660E" w:rsidP="00CD76A0">
            <w:pPr>
              <w:spacing w:before="40"/>
              <w:jc w:val="center"/>
              <w:rPr>
                <w:rFonts w:ascii="Arial" w:hAnsi="Arial" w:cs="Arial"/>
                <w:sz w:val="20"/>
                <w:szCs w:val="20"/>
              </w:rPr>
            </w:pPr>
            <w:r>
              <w:rPr>
                <w:rFonts w:ascii="Arial" w:hAnsi="Arial" w:cs="Arial"/>
                <w:noProof/>
                <w:sz w:val="20"/>
                <w:szCs w:val="20"/>
                <w:lang w:val="en-US"/>
              </w:rPr>
              <w:drawing>
                <wp:inline distT="0" distB="0" distL="0" distR="0" wp14:anchorId="0AD93CE7" wp14:editId="4B021C6B">
                  <wp:extent cx="2846832" cy="31577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70-2020-Pir-saop-SR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6832" cy="3157728"/>
                          </a:xfrm>
                          <a:prstGeom prst="rect">
                            <a:avLst/>
                          </a:prstGeom>
                        </pic:spPr>
                      </pic:pic>
                    </a:graphicData>
                  </a:graphic>
                </wp:inline>
              </w:drawing>
            </w:r>
          </w:p>
        </w:tc>
        <w:tc>
          <w:tcPr>
            <w:tcW w:w="5254" w:type="dxa"/>
            <w:vAlign w:val="center"/>
          </w:tcPr>
          <w:tbl>
            <w:tblPr>
              <w:tblpPr w:leftFromText="180" w:rightFromText="180" w:vertAnchor="text" w:tblpXSpec="right" w:tblpY="1"/>
              <w:tblOverlap w:val="never"/>
              <w:tblW w:w="5246" w:type="dxa"/>
              <w:tblLayout w:type="fixed"/>
              <w:tblCellMar>
                <w:left w:w="28" w:type="dxa"/>
                <w:right w:w="28" w:type="dxa"/>
              </w:tblCellMar>
              <w:tblLook w:val="04A0" w:firstRow="1" w:lastRow="0" w:firstColumn="1" w:lastColumn="0" w:noHBand="0" w:noVBand="1"/>
            </w:tblPr>
            <w:tblGrid>
              <w:gridCol w:w="2022"/>
              <w:gridCol w:w="644"/>
              <w:gridCol w:w="645"/>
              <w:gridCol w:w="645"/>
              <w:gridCol w:w="645"/>
              <w:gridCol w:w="645"/>
            </w:tblGrid>
            <w:tr w:rsidR="007A6970" w:rsidRPr="00043EAD" w14:paraId="7E3F008C" w14:textId="77777777" w:rsidTr="008D5069">
              <w:trPr>
                <w:trHeight w:val="26"/>
              </w:trPr>
              <w:tc>
                <w:tcPr>
                  <w:tcW w:w="23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18B9CF08" w14:textId="77777777" w:rsidR="007A6970" w:rsidRPr="0071026F" w:rsidRDefault="007A6970" w:rsidP="007A6970">
                  <w:pPr>
                    <w:spacing w:before="120" w:after="120"/>
                    <w:rPr>
                      <w:rFonts w:ascii="Arial" w:hAnsi="Arial" w:cs="Arial"/>
                      <w:bCs/>
                      <w:sz w:val="16"/>
                      <w:szCs w:val="16"/>
                    </w:rPr>
                  </w:pPr>
                  <w:r w:rsidRPr="0071026F">
                    <w:rPr>
                      <w:rFonts w:ascii="Arial" w:hAnsi="Arial" w:cs="Arial"/>
                      <w:bCs/>
                      <w:sz w:val="16"/>
                      <w:szCs w:val="16"/>
                    </w:rPr>
                    <w:t> </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2B4828BE" w14:textId="77777777" w:rsidR="007A6970" w:rsidRPr="0071026F" w:rsidRDefault="007A6970" w:rsidP="007A6970">
                  <w:pPr>
                    <w:spacing w:before="120" w:after="120"/>
                    <w:jc w:val="center"/>
                    <w:rPr>
                      <w:rFonts w:ascii="Arial" w:hAnsi="Arial" w:cs="Arial"/>
                      <w:bCs/>
                      <w:sz w:val="16"/>
                      <w:szCs w:val="16"/>
                    </w:rPr>
                  </w:pPr>
                  <w:r w:rsidRPr="0071026F">
                    <w:rPr>
                      <w:rFonts w:ascii="Arial" w:hAnsi="Arial" w:cs="Arial"/>
                      <w:bCs/>
                      <w:sz w:val="16"/>
                      <w:szCs w:val="16"/>
                    </w:rPr>
                    <w:t>2002</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0A4FDBC4" w14:textId="77777777" w:rsidR="007A6970" w:rsidRPr="0071026F" w:rsidRDefault="007A6970" w:rsidP="007A6970">
                  <w:pPr>
                    <w:spacing w:before="120" w:after="120"/>
                    <w:jc w:val="center"/>
                    <w:rPr>
                      <w:rFonts w:ascii="Arial" w:hAnsi="Arial" w:cs="Arial"/>
                      <w:bCs/>
                      <w:sz w:val="16"/>
                      <w:szCs w:val="16"/>
                    </w:rPr>
                  </w:pPr>
                  <w:r w:rsidRPr="0071026F">
                    <w:rPr>
                      <w:rFonts w:ascii="Arial" w:hAnsi="Arial" w:cs="Arial"/>
                      <w:bCs/>
                      <w:sz w:val="16"/>
                      <w:szCs w:val="16"/>
                    </w:rPr>
                    <w:t>2011</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34AEA068" w14:textId="77777777" w:rsidR="007A6970" w:rsidRPr="0071026F" w:rsidRDefault="007A6970" w:rsidP="006F479B">
                  <w:pPr>
                    <w:spacing w:before="120" w:after="120"/>
                    <w:jc w:val="center"/>
                    <w:rPr>
                      <w:rFonts w:ascii="Arial" w:hAnsi="Arial" w:cs="Arial"/>
                      <w:bCs/>
                      <w:sz w:val="16"/>
                      <w:szCs w:val="16"/>
                    </w:rPr>
                  </w:pPr>
                  <w:r w:rsidRPr="0071026F">
                    <w:rPr>
                      <w:rFonts w:ascii="Arial" w:hAnsi="Arial" w:cs="Arial"/>
                      <w:bCs/>
                      <w:sz w:val="16"/>
                      <w:szCs w:val="16"/>
                    </w:rPr>
                    <w:t>201</w:t>
                  </w:r>
                  <w:r w:rsidR="006F479B" w:rsidRPr="0071026F">
                    <w:rPr>
                      <w:rFonts w:ascii="Arial" w:hAnsi="Arial" w:cs="Arial"/>
                      <w:bCs/>
                      <w:sz w:val="16"/>
                      <w:szCs w:val="16"/>
                    </w:rPr>
                    <w:t>7</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2A4C8415" w14:textId="77777777" w:rsidR="007A6970" w:rsidRPr="0071026F" w:rsidRDefault="007A6970" w:rsidP="007A6970">
                  <w:pPr>
                    <w:spacing w:before="120" w:after="120"/>
                    <w:jc w:val="center"/>
                    <w:rPr>
                      <w:rFonts w:ascii="Arial" w:hAnsi="Arial" w:cs="Arial"/>
                      <w:bCs/>
                      <w:sz w:val="16"/>
                      <w:szCs w:val="16"/>
                    </w:rPr>
                  </w:pPr>
                  <w:r w:rsidRPr="0071026F">
                    <w:rPr>
                      <w:rFonts w:ascii="Arial" w:hAnsi="Arial" w:cs="Arial"/>
                      <w:bCs/>
                      <w:sz w:val="16"/>
                      <w:szCs w:val="16"/>
                    </w:rPr>
                    <w:t>2</w:t>
                  </w:r>
                  <w:r w:rsidR="006F479B" w:rsidRPr="0071026F">
                    <w:rPr>
                      <w:rFonts w:ascii="Arial" w:hAnsi="Arial" w:cs="Arial"/>
                      <w:bCs/>
                      <w:sz w:val="16"/>
                      <w:szCs w:val="16"/>
                    </w:rPr>
                    <w:t>018</w:t>
                  </w:r>
                </w:p>
              </w:tc>
              <w:tc>
                <w:tcPr>
                  <w:tcW w:w="737"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hideMark/>
                </w:tcPr>
                <w:p w14:paraId="5473EC59" w14:textId="77777777" w:rsidR="007A6970" w:rsidRPr="0071026F" w:rsidRDefault="007A6970" w:rsidP="006F479B">
                  <w:pPr>
                    <w:spacing w:before="120" w:after="120"/>
                    <w:jc w:val="center"/>
                    <w:rPr>
                      <w:rFonts w:ascii="Arial" w:hAnsi="Arial" w:cs="Arial"/>
                      <w:bCs/>
                      <w:sz w:val="16"/>
                      <w:szCs w:val="16"/>
                    </w:rPr>
                  </w:pPr>
                  <w:r w:rsidRPr="0071026F">
                    <w:rPr>
                      <w:rFonts w:ascii="Arial" w:hAnsi="Arial" w:cs="Arial"/>
                      <w:bCs/>
                      <w:sz w:val="16"/>
                      <w:szCs w:val="16"/>
                    </w:rPr>
                    <w:t>201</w:t>
                  </w:r>
                  <w:r w:rsidR="006F479B" w:rsidRPr="0071026F">
                    <w:rPr>
                      <w:rFonts w:ascii="Arial" w:hAnsi="Arial" w:cs="Arial"/>
                      <w:bCs/>
                      <w:sz w:val="16"/>
                      <w:szCs w:val="16"/>
                    </w:rPr>
                    <w:t>9</w:t>
                  </w:r>
                </w:p>
              </w:tc>
            </w:tr>
            <w:tr w:rsidR="007A6970" w:rsidRPr="00043EAD" w14:paraId="253CF9D5" w14:textId="77777777" w:rsidTr="008D5069">
              <w:trPr>
                <w:trHeight w:val="26"/>
              </w:trPr>
              <w:tc>
                <w:tcPr>
                  <w:tcW w:w="737" w:type="dxa"/>
                  <w:gridSpan w:val="6"/>
                  <w:tcBorders>
                    <w:top w:val="single" w:sz="4" w:space="0" w:color="808080" w:themeColor="background1" w:themeShade="80"/>
                    <w:left w:val="nil"/>
                    <w:bottom w:val="single" w:sz="4" w:space="0" w:color="D9D9D9" w:themeColor="background1" w:themeShade="D9"/>
                    <w:right w:val="nil"/>
                  </w:tcBorders>
                  <w:shd w:val="clear" w:color="auto" w:fill="auto"/>
                  <w:vAlign w:val="center"/>
                  <w:hideMark/>
                </w:tcPr>
                <w:p w14:paraId="5205027B" w14:textId="77777777" w:rsidR="007A6970" w:rsidRPr="0071026F" w:rsidRDefault="007A6970" w:rsidP="007A6970">
                  <w:pPr>
                    <w:spacing w:before="40"/>
                    <w:rPr>
                      <w:rFonts w:ascii="Arial" w:hAnsi="Arial" w:cs="Arial"/>
                      <w:b/>
                      <w:bCs/>
                      <w:iCs/>
                      <w:sz w:val="16"/>
                      <w:szCs w:val="16"/>
                    </w:rPr>
                  </w:pPr>
                  <w:r w:rsidRPr="0071026F">
                    <w:rPr>
                      <w:rFonts w:ascii="Arial" w:hAnsi="Arial" w:cs="Arial"/>
                      <w:b/>
                      <w:bCs/>
                      <w:iCs/>
                      <w:sz w:val="16"/>
                      <w:szCs w:val="16"/>
                    </w:rPr>
                    <w:t>Број становника у хиљ</w:t>
                  </w:r>
                  <w:r w:rsidR="00E0303C" w:rsidRPr="0071026F">
                    <w:rPr>
                      <w:rFonts w:ascii="Arial" w:hAnsi="Arial" w:cs="Arial"/>
                      <w:b/>
                      <w:bCs/>
                      <w:iCs/>
                      <w:sz w:val="16"/>
                      <w:szCs w:val="16"/>
                    </w:rPr>
                    <w:t>.</w:t>
                  </w:r>
                </w:p>
              </w:tc>
            </w:tr>
            <w:tr w:rsidR="006F479B" w:rsidRPr="00043EAD" w14:paraId="719E6151" w14:textId="77777777" w:rsidTr="008D5069">
              <w:trPr>
                <w:trHeight w:val="26"/>
              </w:trPr>
              <w:tc>
                <w:tcPr>
                  <w:tcW w:w="2155"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2F492F5B" w14:textId="77777777" w:rsidR="006F479B" w:rsidRPr="0071026F" w:rsidRDefault="006F479B" w:rsidP="006F479B">
                  <w:pPr>
                    <w:spacing w:before="40"/>
                    <w:rPr>
                      <w:rFonts w:ascii="Arial" w:hAnsi="Arial" w:cs="Arial"/>
                      <w:sz w:val="16"/>
                      <w:szCs w:val="16"/>
                    </w:rPr>
                  </w:pPr>
                  <w:r w:rsidRPr="0071026F">
                    <w:rPr>
                      <w:rFonts w:ascii="Arial" w:hAnsi="Arial" w:cs="Arial"/>
                      <w:sz w:val="16"/>
                      <w:szCs w:val="16"/>
                    </w:rPr>
                    <w:t>Укупно</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25AA7AC5"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7500,0</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1834A0B3"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7236,5</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3605B14B"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7020,9</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136F61EA"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6982,6</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330C156A" w14:textId="77777777" w:rsidR="006F479B" w:rsidRPr="0071026F" w:rsidRDefault="006F479B" w:rsidP="00A50E36">
                  <w:pPr>
                    <w:spacing w:before="40"/>
                    <w:jc w:val="right"/>
                    <w:rPr>
                      <w:rFonts w:ascii="Arial" w:hAnsi="Arial" w:cs="Arial"/>
                      <w:sz w:val="16"/>
                      <w:szCs w:val="16"/>
                    </w:rPr>
                  </w:pPr>
                  <w:r w:rsidRPr="0071026F">
                    <w:rPr>
                      <w:rFonts w:ascii="Arial" w:hAnsi="Arial" w:cs="Arial"/>
                      <w:sz w:val="16"/>
                      <w:szCs w:val="16"/>
                    </w:rPr>
                    <w:t>69</w:t>
                  </w:r>
                  <w:r w:rsidR="00A50E36" w:rsidRPr="0071026F">
                    <w:rPr>
                      <w:rFonts w:ascii="Arial" w:hAnsi="Arial" w:cs="Arial"/>
                      <w:sz w:val="16"/>
                      <w:szCs w:val="16"/>
                    </w:rPr>
                    <w:t>45</w:t>
                  </w:r>
                  <w:r w:rsidRPr="0071026F">
                    <w:rPr>
                      <w:rFonts w:ascii="Arial" w:hAnsi="Arial" w:cs="Arial"/>
                      <w:sz w:val="16"/>
                      <w:szCs w:val="16"/>
                    </w:rPr>
                    <w:t>,</w:t>
                  </w:r>
                  <w:r w:rsidR="00A50E36" w:rsidRPr="0071026F">
                    <w:rPr>
                      <w:rFonts w:ascii="Arial" w:hAnsi="Arial" w:cs="Arial"/>
                      <w:sz w:val="16"/>
                      <w:szCs w:val="16"/>
                    </w:rPr>
                    <w:t>2</w:t>
                  </w:r>
                </w:p>
              </w:tc>
            </w:tr>
            <w:tr w:rsidR="006F479B" w:rsidRPr="00043EAD" w14:paraId="4AE15C8A" w14:textId="77777777" w:rsidTr="008D5069">
              <w:trPr>
                <w:trHeight w:val="26"/>
              </w:trPr>
              <w:tc>
                <w:tcPr>
                  <w:tcW w:w="2155"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64084A26" w14:textId="77777777" w:rsidR="006F479B" w:rsidRPr="0071026F" w:rsidRDefault="006F479B" w:rsidP="006F479B">
                  <w:pPr>
                    <w:spacing w:before="40"/>
                    <w:rPr>
                      <w:rFonts w:ascii="Arial" w:hAnsi="Arial" w:cs="Arial"/>
                      <w:sz w:val="16"/>
                      <w:szCs w:val="16"/>
                    </w:rPr>
                  </w:pPr>
                  <w:r w:rsidRPr="0071026F">
                    <w:rPr>
                      <w:rFonts w:ascii="Arial" w:hAnsi="Arial" w:cs="Arial"/>
                      <w:sz w:val="16"/>
                      <w:szCs w:val="16"/>
                    </w:rPr>
                    <w:t>Мушко</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2D117909"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3647,2</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125D10F5"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3523,9</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176053CF"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3419,8</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657BE6A4"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3401,7</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5D4C157E" w14:textId="77777777" w:rsidR="006F479B" w:rsidRPr="0071026F" w:rsidRDefault="00A50E36" w:rsidP="006F479B">
                  <w:pPr>
                    <w:spacing w:before="40"/>
                    <w:jc w:val="right"/>
                    <w:rPr>
                      <w:rFonts w:ascii="Arial" w:hAnsi="Arial" w:cs="Arial"/>
                      <w:sz w:val="16"/>
                      <w:szCs w:val="16"/>
                    </w:rPr>
                  </w:pPr>
                  <w:r w:rsidRPr="0071026F">
                    <w:rPr>
                      <w:rFonts w:ascii="Arial" w:hAnsi="Arial" w:cs="Arial"/>
                      <w:sz w:val="16"/>
                      <w:szCs w:val="16"/>
                    </w:rPr>
                    <w:t>3383</w:t>
                  </w:r>
                  <w:r w:rsidR="006F479B" w:rsidRPr="0071026F">
                    <w:rPr>
                      <w:rFonts w:ascii="Arial" w:hAnsi="Arial" w:cs="Arial"/>
                      <w:sz w:val="16"/>
                      <w:szCs w:val="16"/>
                    </w:rPr>
                    <w:t>,7</w:t>
                  </w:r>
                </w:p>
              </w:tc>
            </w:tr>
            <w:tr w:rsidR="006F479B" w:rsidRPr="00043EAD" w14:paraId="3271A35E" w14:textId="77777777" w:rsidTr="008D5069">
              <w:trPr>
                <w:trHeight w:val="26"/>
              </w:trPr>
              <w:tc>
                <w:tcPr>
                  <w:tcW w:w="2155"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42A7E4D6" w14:textId="77777777" w:rsidR="006F479B" w:rsidRPr="0071026F" w:rsidRDefault="006F479B" w:rsidP="006F479B">
                  <w:pPr>
                    <w:spacing w:before="40"/>
                    <w:rPr>
                      <w:rFonts w:ascii="Arial" w:hAnsi="Arial" w:cs="Arial"/>
                      <w:sz w:val="16"/>
                      <w:szCs w:val="16"/>
                    </w:rPr>
                  </w:pPr>
                  <w:r w:rsidRPr="0071026F">
                    <w:rPr>
                      <w:rFonts w:ascii="Arial" w:hAnsi="Arial" w:cs="Arial"/>
                      <w:sz w:val="16"/>
                      <w:szCs w:val="16"/>
                    </w:rPr>
                    <w:t>Женско</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3E02C341"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3852,8</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0B096278"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3712,6</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02133E82"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3601,0</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3751BB72"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3580,9</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5590E36D" w14:textId="77777777" w:rsidR="006F479B" w:rsidRPr="0071026F" w:rsidRDefault="006F479B" w:rsidP="00A50E36">
                  <w:pPr>
                    <w:spacing w:before="40"/>
                    <w:jc w:val="right"/>
                    <w:rPr>
                      <w:rFonts w:ascii="Arial" w:hAnsi="Arial" w:cs="Arial"/>
                      <w:sz w:val="16"/>
                      <w:szCs w:val="16"/>
                    </w:rPr>
                  </w:pPr>
                  <w:r w:rsidRPr="0071026F">
                    <w:rPr>
                      <w:rFonts w:ascii="Arial" w:hAnsi="Arial" w:cs="Arial"/>
                      <w:sz w:val="16"/>
                      <w:szCs w:val="16"/>
                    </w:rPr>
                    <w:t>35</w:t>
                  </w:r>
                  <w:r w:rsidR="00A50E36" w:rsidRPr="0071026F">
                    <w:rPr>
                      <w:rFonts w:ascii="Arial" w:hAnsi="Arial" w:cs="Arial"/>
                      <w:sz w:val="16"/>
                      <w:szCs w:val="16"/>
                    </w:rPr>
                    <w:t>61,5</w:t>
                  </w:r>
                </w:p>
              </w:tc>
            </w:tr>
            <w:tr w:rsidR="006F479B" w:rsidRPr="00043EAD" w14:paraId="321F92B1" w14:textId="77777777" w:rsidTr="008D5069">
              <w:trPr>
                <w:trHeight w:val="26"/>
              </w:trPr>
              <w:tc>
                <w:tcPr>
                  <w:tcW w:w="2155"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4C950DA9" w14:textId="77777777" w:rsidR="006F479B" w:rsidRPr="0071026F" w:rsidRDefault="006F479B" w:rsidP="006F479B">
                  <w:pPr>
                    <w:spacing w:before="40"/>
                    <w:rPr>
                      <w:rFonts w:ascii="Arial" w:hAnsi="Arial" w:cs="Arial"/>
                      <w:b/>
                      <w:sz w:val="16"/>
                      <w:szCs w:val="16"/>
                    </w:rPr>
                  </w:pPr>
                  <w:r w:rsidRPr="0071026F">
                    <w:rPr>
                      <w:rFonts w:ascii="Arial" w:hAnsi="Arial" w:cs="Arial"/>
                      <w:b/>
                      <w:sz w:val="16"/>
                      <w:szCs w:val="16"/>
                    </w:rPr>
                    <w:t>Стопа маскулинитета</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0D39F54C"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946,6</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0384237A"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949,2</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7F51C201"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949,7</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7E8C9386"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950,0</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noWrap/>
                  <w:hideMark/>
                </w:tcPr>
                <w:p w14:paraId="720482EC" w14:textId="77777777" w:rsidR="006F479B" w:rsidRPr="0071026F" w:rsidRDefault="006F479B" w:rsidP="0044102D">
                  <w:pPr>
                    <w:spacing w:before="40"/>
                    <w:jc w:val="right"/>
                    <w:rPr>
                      <w:rFonts w:ascii="Arial" w:hAnsi="Arial" w:cs="Arial"/>
                      <w:sz w:val="16"/>
                      <w:szCs w:val="16"/>
                      <w:lang w:val="en-US"/>
                    </w:rPr>
                  </w:pPr>
                  <w:r w:rsidRPr="0071026F">
                    <w:rPr>
                      <w:rFonts w:ascii="Arial" w:hAnsi="Arial" w:cs="Arial"/>
                      <w:sz w:val="16"/>
                      <w:szCs w:val="16"/>
                    </w:rPr>
                    <w:t>950,</w:t>
                  </w:r>
                  <w:r w:rsidR="0044102D" w:rsidRPr="0071026F">
                    <w:rPr>
                      <w:rFonts w:ascii="Arial" w:hAnsi="Arial" w:cs="Arial"/>
                      <w:sz w:val="16"/>
                      <w:szCs w:val="16"/>
                      <w:lang w:val="en-US"/>
                    </w:rPr>
                    <w:t>1</w:t>
                  </w:r>
                </w:p>
              </w:tc>
            </w:tr>
            <w:tr w:rsidR="006F479B" w:rsidRPr="00043EAD" w14:paraId="68A0F3D5" w14:textId="77777777" w:rsidTr="008D5069">
              <w:trPr>
                <w:trHeight w:val="26"/>
              </w:trPr>
              <w:tc>
                <w:tcPr>
                  <w:tcW w:w="737" w:type="dxa"/>
                  <w:gridSpan w:val="6"/>
                  <w:tcBorders>
                    <w:top w:val="single" w:sz="4" w:space="0" w:color="D9D9D9" w:themeColor="background1" w:themeShade="D9"/>
                    <w:left w:val="nil"/>
                    <w:bottom w:val="single" w:sz="4" w:space="0" w:color="D9D9D9" w:themeColor="background1" w:themeShade="D9"/>
                    <w:right w:val="nil"/>
                  </w:tcBorders>
                  <w:shd w:val="clear" w:color="auto" w:fill="auto"/>
                  <w:hideMark/>
                </w:tcPr>
                <w:p w14:paraId="004B6CFE" w14:textId="77777777" w:rsidR="006F479B" w:rsidRPr="0071026F" w:rsidRDefault="006F479B" w:rsidP="006F479B">
                  <w:pPr>
                    <w:spacing w:before="40"/>
                    <w:rPr>
                      <w:rFonts w:ascii="Arial" w:hAnsi="Arial" w:cs="Arial"/>
                      <w:b/>
                      <w:sz w:val="16"/>
                      <w:szCs w:val="16"/>
                    </w:rPr>
                  </w:pPr>
                  <w:r w:rsidRPr="0071026F">
                    <w:rPr>
                      <w:rFonts w:ascii="Arial" w:hAnsi="Arial" w:cs="Arial"/>
                      <w:b/>
                      <w:sz w:val="16"/>
                      <w:szCs w:val="16"/>
                    </w:rPr>
                    <w:t>Старосне групе (%)</w:t>
                  </w:r>
                </w:p>
              </w:tc>
            </w:tr>
            <w:tr w:rsidR="006F479B" w:rsidRPr="00043EAD" w14:paraId="608B5DAB" w14:textId="77777777" w:rsidTr="008D5069">
              <w:trPr>
                <w:trHeight w:val="26"/>
              </w:trPr>
              <w:tc>
                <w:tcPr>
                  <w:tcW w:w="234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1B72EFE" w14:textId="77777777" w:rsidR="006F479B" w:rsidRPr="0071026F" w:rsidRDefault="006F479B" w:rsidP="006F479B">
                  <w:pPr>
                    <w:spacing w:before="40"/>
                    <w:rPr>
                      <w:rFonts w:ascii="Arial" w:hAnsi="Arial" w:cs="Arial"/>
                      <w:sz w:val="16"/>
                      <w:szCs w:val="16"/>
                    </w:rPr>
                  </w:pPr>
                  <w:r w:rsidRPr="0071026F">
                    <w:rPr>
                      <w:rFonts w:ascii="Arial" w:hAnsi="Arial" w:cs="Arial"/>
                      <w:sz w:val="16"/>
                      <w:szCs w:val="16"/>
                    </w:rPr>
                    <w:t>0</w:t>
                  </w:r>
                  <w:r w:rsidR="00E60803" w:rsidRPr="0071026F">
                    <w:rPr>
                      <w:rFonts w:ascii="Arial" w:hAnsi="Arial" w:cs="Arial"/>
                      <w:sz w:val="16"/>
                      <w:szCs w:val="16"/>
                    </w:rPr>
                    <w:t>–</w:t>
                  </w:r>
                  <w:r w:rsidRPr="0071026F">
                    <w:rPr>
                      <w:rFonts w:ascii="Arial" w:hAnsi="Arial" w:cs="Arial"/>
                      <w:sz w:val="16"/>
                      <w:szCs w:val="16"/>
                    </w:rPr>
                    <w:t>14</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6B926464"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16,1</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6A225148"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14,4</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419518CA"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14,4</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FE4CADD"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14,3</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7472CB7"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14,3</w:t>
                  </w:r>
                </w:p>
              </w:tc>
            </w:tr>
            <w:tr w:rsidR="006F479B" w:rsidRPr="00043EAD" w14:paraId="0F2D7912" w14:textId="77777777" w:rsidTr="008D5069">
              <w:trPr>
                <w:trHeight w:val="26"/>
              </w:trPr>
              <w:tc>
                <w:tcPr>
                  <w:tcW w:w="234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D954641" w14:textId="77777777" w:rsidR="006F479B" w:rsidRPr="0071026F" w:rsidRDefault="006F479B" w:rsidP="006F479B">
                  <w:pPr>
                    <w:spacing w:before="40"/>
                    <w:rPr>
                      <w:rFonts w:ascii="Arial" w:hAnsi="Arial" w:cs="Arial"/>
                      <w:sz w:val="16"/>
                      <w:szCs w:val="16"/>
                    </w:rPr>
                  </w:pPr>
                  <w:r w:rsidRPr="0071026F">
                    <w:rPr>
                      <w:rFonts w:ascii="Arial" w:hAnsi="Arial" w:cs="Arial"/>
                      <w:sz w:val="16"/>
                      <w:szCs w:val="16"/>
                    </w:rPr>
                    <w:t>15</w:t>
                  </w:r>
                  <w:r w:rsidR="00E60803" w:rsidRPr="0071026F">
                    <w:rPr>
                      <w:rFonts w:ascii="Arial" w:hAnsi="Arial" w:cs="Arial"/>
                      <w:sz w:val="16"/>
                      <w:szCs w:val="16"/>
                    </w:rPr>
                    <w:t>–</w:t>
                  </w:r>
                  <w:r w:rsidRPr="0071026F">
                    <w:rPr>
                      <w:rFonts w:ascii="Arial" w:hAnsi="Arial" w:cs="Arial"/>
                      <w:sz w:val="16"/>
                      <w:szCs w:val="16"/>
                    </w:rPr>
                    <w:t>64</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42B52359"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67,3</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3A19F136"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68,3</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0478354"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66</w:t>
                  </w:r>
                  <w:r w:rsidR="00E81407" w:rsidRPr="0071026F">
                    <w:rPr>
                      <w:rFonts w:ascii="Arial" w:hAnsi="Arial" w:cs="Arial"/>
                      <w:sz w:val="16"/>
                      <w:szCs w:val="16"/>
                    </w:rPr>
                    <w:t>,0</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285F7C6"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65,5</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87F1AA2" w14:textId="77777777" w:rsidR="006F479B" w:rsidRPr="0071026F" w:rsidRDefault="006F479B" w:rsidP="00A50E36">
                  <w:pPr>
                    <w:spacing w:before="40"/>
                    <w:jc w:val="right"/>
                    <w:rPr>
                      <w:rFonts w:ascii="Arial" w:hAnsi="Arial" w:cs="Arial"/>
                      <w:sz w:val="16"/>
                      <w:szCs w:val="16"/>
                    </w:rPr>
                  </w:pPr>
                  <w:r w:rsidRPr="0071026F">
                    <w:rPr>
                      <w:rFonts w:ascii="Arial" w:hAnsi="Arial" w:cs="Arial"/>
                      <w:sz w:val="16"/>
                      <w:szCs w:val="16"/>
                    </w:rPr>
                    <w:t>65,</w:t>
                  </w:r>
                  <w:r w:rsidR="00A50E36" w:rsidRPr="0071026F">
                    <w:rPr>
                      <w:rFonts w:ascii="Arial" w:hAnsi="Arial" w:cs="Arial"/>
                      <w:sz w:val="16"/>
                      <w:szCs w:val="16"/>
                    </w:rPr>
                    <w:t>0</w:t>
                  </w:r>
                </w:p>
              </w:tc>
            </w:tr>
            <w:tr w:rsidR="006F479B" w:rsidRPr="00043EAD" w14:paraId="1A1971A2" w14:textId="77777777" w:rsidTr="008D5069">
              <w:trPr>
                <w:trHeight w:val="26"/>
              </w:trPr>
              <w:tc>
                <w:tcPr>
                  <w:tcW w:w="234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E8A4E33" w14:textId="77777777" w:rsidR="006F479B" w:rsidRPr="0071026F" w:rsidRDefault="006F479B" w:rsidP="006F479B">
                  <w:pPr>
                    <w:spacing w:before="40"/>
                    <w:rPr>
                      <w:rFonts w:ascii="Arial" w:hAnsi="Arial" w:cs="Arial"/>
                      <w:sz w:val="16"/>
                      <w:szCs w:val="16"/>
                    </w:rPr>
                  </w:pPr>
                  <w:r w:rsidRPr="0071026F">
                    <w:rPr>
                      <w:rFonts w:ascii="Arial" w:hAnsi="Arial" w:cs="Arial"/>
                      <w:sz w:val="16"/>
                      <w:szCs w:val="16"/>
                    </w:rPr>
                    <w:t>65 и више</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AE6F03D"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16,6</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89B3BB7"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17,3</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464E9028"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19,6</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4EFD1C9B"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20,2</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F3F4A7C" w14:textId="77777777" w:rsidR="006F479B" w:rsidRPr="0071026F" w:rsidRDefault="006F479B" w:rsidP="00A50E36">
                  <w:pPr>
                    <w:spacing w:before="40"/>
                    <w:jc w:val="right"/>
                    <w:rPr>
                      <w:rFonts w:ascii="Arial" w:hAnsi="Arial" w:cs="Arial"/>
                      <w:sz w:val="16"/>
                      <w:szCs w:val="16"/>
                    </w:rPr>
                  </w:pPr>
                  <w:r w:rsidRPr="0071026F">
                    <w:rPr>
                      <w:rFonts w:ascii="Arial" w:hAnsi="Arial" w:cs="Arial"/>
                      <w:sz w:val="16"/>
                      <w:szCs w:val="16"/>
                    </w:rPr>
                    <w:t>20,</w:t>
                  </w:r>
                  <w:r w:rsidR="00A50E36" w:rsidRPr="0071026F">
                    <w:rPr>
                      <w:rFonts w:ascii="Arial" w:hAnsi="Arial" w:cs="Arial"/>
                      <w:sz w:val="16"/>
                      <w:szCs w:val="16"/>
                    </w:rPr>
                    <w:t>7</w:t>
                  </w:r>
                </w:p>
              </w:tc>
            </w:tr>
            <w:tr w:rsidR="006F479B" w:rsidRPr="00043EAD" w14:paraId="3C3C0C6C" w14:textId="77777777" w:rsidTr="008D5069">
              <w:trPr>
                <w:trHeight w:val="26"/>
              </w:trPr>
              <w:tc>
                <w:tcPr>
                  <w:tcW w:w="234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D290D9F" w14:textId="77777777" w:rsidR="006F479B" w:rsidRPr="0071026F" w:rsidRDefault="006F479B" w:rsidP="006F479B">
                  <w:pPr>
                    <w:spacing w:before="40"/>
                    <w:rPr>
                      <w:rFonts w:ascii="Arial" w:hAnsi="Arial" w:cs="Arial"/>
                      <w:sz w:val="16"/>
                      <w:szCs w:val="16"/>
                    </w:rPr>
                  </w:pPr>
                  <w:r w:rsidRPr="0071026F">
                    <w:rPr>
                      <w:rFonts w:ascii="Arial" w:hAnsi="Arial" w:cs="Arial"/>
                      <w:sz w:val="16"/>
                      <w:szCs w:val="16"/>
                    </w:rPr>
                    <w:t>Фертилни контингент</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AFC6854"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24,1</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03B10A5"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22,6</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44FA5146"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22,1</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20CC145"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21,8</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4E5F61E9" w14:textId="77777777" w:rsidR="006F479B" w:rsidRPr="0071026F" w:rsidRDefault="006F479B" w:rsidP="00A50E36">
                  <w:pPr>
                    <w:spacing w:before="40"/>
                    <w:jc w:val="right"/>
                    <w:rPr>
                      <w:rFonts w:ascii="Arial" w:hAnsi="Arial" w:cs="Arial"/>
                      <w:sz w:val="16"/>
                      <w:szCs w:val="16"/>
                    </w:rPr>
                  </w:pPr>
                  <w:r w:rsidRPr="0071026F">
                    <w:rPr>
                      <w:rFonts w:ascii="Arial" w:hAnsi="Arial" w:cs="Arial"/>
                      <w:sz w:val="16"/>
                      <w:szCs w:val="16"/>
                    </w:rPr>
                    <w:t>21,</w:t>
                  </w:r>
                  <w:r w:rsidR="00A50E36" w:rsidRPr="0071026F">
                    <w:rPr>
                      <w:rFonts w:ascii="Arial" w:hAnsi="Arial" w:cs="Arial"/>
                      <w:sz w:val="16"/>
                      <w:szCs w:val="16"/>
                    </w:rPr>
                    <w:t>7</w:t>
                  </w:r>
                </w:p>
              </w:tc>
            </w:tr>
            <w:tr w:rsidR="006F479B" w:rsidRPr="00043EAD" w14:paraId="59B6A745" w14:textId="77777777" w:rsidTr="008D5069">
              <w:trPr>
                <w:trHeight w:val="26"/>
              </w:trPr>
              <w:tc>
                <w:tcPr>
                  <w:tcW w:w="737" w:type="dxa"/>
                  <w:gridSpan w:val="6"/>
                  <w:tcBorders>
                    <w:top w:val="single" w:sz="4" w:space="0" w:color="D9D9D9" w:themeColor="background1" w:themeShade="D9"/>
                    <w:left w:val="nil"/>
                    <w:bottom w:val="single" w:sz="4" w:space="0" w:color="D9D9D9" w:themeColor="background1" w:themeShade="D9"/>
                    <w:right w:val="nil"/>
                  </w:tcBorders>
                  <w:shd w:val="clear" w:color="auto" w:fill="auto"/>
                  <w:hideMark/>
                </w:tcPr>
                <w:p w14:paraId="66B570D6" w14:textId="77777777" w:rsidR="006F479B" w:rsidRPr="0071026F" w:rsidRDefault="006F479B" w:rsidP="006F479B">
                  <w:pPr>
                    <w:spacing w:before="40"/>
                    <w:rPr>
                      <w:rFonts w:ascii="Arial" w:hAnsi="Arial" w:cs="Arial"/>
                      <w:b/>
                      <w:sz w:val="16"/>
                      <w:szCs w:val="16"/>
                    </w:rPr>
                  </w:pPr>
                  <w:r w:rsidRPr="0071026F">
                    <w:rPr>
                      <w:rFonts w:ascii="Arial" w:hAnsi="Arial" w:cs="Arial"/>
                      <w:b/>
                      <w:sz w:val="16"/>
                      <w:szCs w:val="16"/>
                    </w:rPr>
                    <w:t>Коефицијенти зависности</w:t>
                  </w:r>
                </w:p>
              </w:tc>
            </w:tr>
            <w:tr w:rsidR="006F479B" w:rsidRPr="00043EAD" w14:paraId="6341B585" w14:textId="77777777" w:rsidTr="008D5069">
              <w:trPr>
                <w:trHeight w:val="26"/>
              </w:trPr>
              <w:tc>
                <w:tcPr>
                  <w:tcW w:w="234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4F3BE0A0" w14:textId="77777777" w:rsidR="006F479B" w:rsidRPr="0071026F" w:rsidRDefault="006F479B" w:rsidP="006F479B">
                  <w:pPr>
                    <w:spacing w:before="40"/>
                    <w:rPr>
                      <w:rFonts w:ascii="Arial" w:hAnsi="Arial" w:cs="Arial"/>
                      <w:sz w:val="16"/>
                      <w:szCs w:val="16"/>
                    </w:rPr>
                  </w:pPr>
                  <w:r w:rsidRPr="0071026F">
                    <w:rPr>
                      <w:rFonts w:ascii="Arial" w:hAnsi="Arial" w:cs="Arial"/>
                      <w:sz w:val="16"/>
                      <w:szCs w:val="16"/>
                    </w:rPr>
                    <w:t>Коефицијент зависности младих</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47253CCE"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23,9</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A9A8D23"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21,1</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62583E9"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21,8</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38422F6D"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21,9</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E2241C3" w14:textId="77777777" w:rsidR="006F479B" w:rsidRPr="0071026F" w:rsidRDefault="006F479B" w:rsidP="00A50E36">
                  <w:pPr>
                    <w:spacing w:before="40"/>
                    <w:jc w:val="right"/>
                    <w:rPr>
                      <w:rFonts w:ascii="Arial" w:hAnsi="Arial" w:cs="Arial"/>
                      <w:sz w:val="16"/>
                      <w:szCs w:val="16"/>
                    </w:rPr>
                  </w:pPr>
                  <w:r w:rsidRPr="0071026F">
                    <w:rPr>
                      <w:rFonts w:ascii="Arial" w:hAnsi="Arial" w:cs="Arial"/>
                      <w:sz w:val="16"/>
                      <w:szCs w:val="16"/>
                    </w:rPr>
                    <w:t>2</w:t>
                  </w:r>
                  <w:r w:rsidR="00A50E36" w:rsidRPr="0071026F">
                    <w:rPr>
                      <w:rFonts w:ascii="Arial" w:hAnsi="Arial" w:cs="Arial"/>
                      <w:sz w:val="16"/>
                      <w:szCs w:val="16"/>
                    </w:rPr>
                    <w:t>2</w:t>
                  </w:r>
                  <w:r w:rsidRPr="0071026F">
                    <w:rPr>
                      <w:rFonts w:ascii="Arial" w:hAnsi="Arial" w:cs="Arial"/>
                      <w:sz w:val="16"/>
                      <w:szCs w:val="16"/>
                    </w:rPr>
                    <w:t>,</w:t>
                  </w:r>
                  <w:r w:rsidR="00A50E36" w:rsidRPr="0071026F">
                    <w:rPr>
                      <w:rFonts w:ascii="Arial" w:hAnsi="Arial" w:cs="Arial"/>
                      <w:sz w:val="16"/>
                      <w:szCs w:val="16"/>
                    </w:rPr>
                    <w:t>0</w:t>
                  </w:r>
                </w:p>
              </w:tc>
            </w:tr>
            <w:tr w:rsidR="006F479B" w:rsidRPr="00043EAD" w14:paraId="5DF1D00C" w14:textId="77777777" w:rsidTr="008D5069">
              <w:trPr>
                <w:trHeight w:val="26"/>
              </w:trPr>
              <w:tc>
                <w:tcPr>
                  <w:tcW w:w="234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6ADDADCB" w14:textId="77777777" w:rsidR="006F479B" w:rsidRPr="0071026F" w:rsidRDefault="006F479B" w:rsidP="006F479B">
                  <w:pPr>
                    <w:spacing w:before="40"/>
                    <w:rPr>
                      <w:rFonts w:ascii="Arial" w:hAnsi="Arial" w:cs="Arial"/>
                      <w:sz w:val="16"/>
                      <w:szCs w:val="16"/>
                    </w:rPr>
                  </w:pPr>
                  <w:r w:rsidRPr="0071026F">
                    <w:rPr>
                      <w:rFonts w:ascii="Arial" w:hAnsi="Arial" w:cs="Arial"/>
                      <w:sz w:val="16"/>
                      <w:szCs w:val="16"/>
                    </w:rPr>
                    <w:t>Коефицијент зависности старих</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56135F6"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24,7</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D6009E5"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25,2</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38683C68"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29,8</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1E22DB0"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30,8</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CFF6C7D" w14:textId="77777777" w:rsidR="006F479B" w:rsidRPr="0071026F" w:rsidRDefault="00A50E36" w:rsidP="006F479B">
                  <w:pPr>
                    <w:spacing w:before="40"/>
                    <w:jc w:val="right"/>
                    <w:rPr>
                      <w:rFonts w:ascii="Arial" w:hAnsi="Arial" w:cs="Arial"/>
                      <w:sz w:val="16"/>
                      <w:szCs w:val="16"/>
                    </w:rPr>
                  </w:pPr>
                  <w:r w:rsidRPr="0071026F">
                    <w:rPr>
                      <w:rFonts w:ascii="Arial" w:hAnsi="Arial" w:cs="Arial"/>
                      <w:sz w:val="16"/>
                      <w:szCs w:val="16"/>
                    </w:rPr>
                    <w:t>31</w:t>
                  </w:r>
                  <w:r w:rsidR="006F479B" w:rsidRPr="0071026F">
                    <w:rPr>
                      <w:rFonts w:ascii="Arial" w:hAnsi="Arial" w:cs="Arial"/>
                      <w:sz w:val="16"/>
                      <w:szCs w:val="16"/>
                    </w:rPr>
                    <w:t>,8</w:t>
                  </w:r>
                </w:p>
              </w:tc>
            </w:tr>
            <w:tr w:rsidR="006F479B" w:rsidRPr="00043EAD" w14:paraId="5D6408A0" w14:textId="77777777" w:rsidTr="008D5069">
              <w:trPr>
                <w:trHeight w:val="26"/>
              </w:trPr>
              <w:tc>
                <w:tcPr>
                  <w:tcW w:w="234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0C757FE" w14:textId="77777777" w:rsidR="006F479B" w:rsidRPr="0071026F" w:rsidRDefault="006F479B" w:rsidP="006F479B">
                  <w:pPr>
                    <w:spacing w:before="40"/>
                    <w:rPr>
                      <w:rFonts w:ascii="Arial" w:hAnsi="Arial" w:cs="Arial"/>
                      <w:sz w:val="16"/>
                      <w:szCs w:val="16"/>
                    </w:rPr>
                  </w:pPr>
                  <w:r w:rsidRPr="0071026F">
                    <w:rPr>
                      <w:rFonts w:ascii="Arial" w:hAnsi="Arial" w:cs="Arial"/>
                      <w:sz w:val="16"/>
                      <w:szCs w:val="16"/>
                    </w:rPr>
                    <w:t xml:space="preserve">Коефицијент укупне зависности </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A8779E0"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48,6</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A5B4E9B"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46,3</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BE36E0A"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51,5</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F017EC0"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52,7</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768752C" w14:textId="77777777" w:rsidR="006F479B" w:rsidRPr="0071026F" w:rsidRDefault="006F479B" w:rsidP="00A50E36">
                  <w:pPr>
                    <w:spacing w:before="40"/>
                    <w:jc w:val="right"/>
                    <w:rPr>
                      <w:rFonts w:ascii="Arial" w:hAnsi="Arial" w:cs="Arial"/>
                      <w:sz w:val="16"/>
                      <w:szCs w:val="16"/>
                    </w:rPr>
                  </w:pPr>
                  <w:r w:rsidRPr="0071026F">
                    <w:rPr>
                      <w:rFonts w:ascii="Arial" w:hAnsi="Arial" w:cs="Arial"/>
                      <w:sz w:val="16"/>
                      <w:szCs w:val="16"/>
                    </w:rPr>
                    <w:t>5</w:t>
                  </w:r>
                  <w:r w:rsidR="00A50E36" w:rsidRPr="0071026F">
                    <w:rPr>
                      <w:rFonts w:ascii="Arial" w:hAnsi="Arial" w:cs="Arial"/>
                      <w:sz w:val="16"/>
                      <w:szCs w:val="16"/>
                    </w:rPr>
                    <w:t>3</w:t>
                  </w:r>
                  <w:r w:rsidRPr="0071026F">
                    <w:rPr>
                      <w:rFonts w:ascii="Arial" w:hAnsi="Arial" w:cs="Arial"/>
                      <w:sz w:val="16"/>
                      <w:szCs w:val="16"/>
                    </w:rPr>
                    <w:t>,</w:t>
                  </w:r>
                  <w:r w:rsidR="00A50E36" w:rsidRPr="0071026F">
                    <w:rPr>
                      <w:rFonts w:ascii="Arial" w:hAnsi="Arial" w:cs="Arial"/>
                      <w:sz w:val="16"/>
                      <w:szCs w:val="16"/>
                    </w:rPr>
                    <w:t>8</w:t>
                  </w:r>
                </w:p>
              </w:tc>
            </w:tr>
            <w:tr w:rsidR="006F479B" w:rsidRPr="00043EAD" w14:paraId="180B59BA" w14:textId="77777777" w:rsidTr="008D5069">
              <w:trPr>
                <w:trHeight w:val="26"/>
              </w:trPr>
              <w:tc>
                <w:tcPr>
                  <w:tcW w:w="737" w:type="dxa"/>
                  <w:gridSpan w:val="6"/>
                  <w:tcBorders>
                    <w:top w:val="single" w:sz="4" w:space="0" w:color="D9D9D9" w:themeColor="background1" w:themeShade="D9"/>
                    <w:left w:val="nil"/>
                    <w:bottom w:val="single" w:sz="4" w:space="0" w:color="D9D9D9" w:themeColor="background1" w:themeShade="D9"/>
                    <w:right w:val="nil"/>
                  </w:tcBorders>
                  <w:shd w:val="clear" w:color="auto" w:fill="auto"/>
                  <w:hideMark/>
                </w:tcPr>
                <w:p w14:paraId="61ABD4B0" w14:textId="77777777" w:rsidR="006F479B" w:rsidRPr="0071026F" w:rsidRDefault="006F479B" w:rsidP="006F479B">
                  <w:pPr>
                    <w:spacing w:before="40"/>
                    <w:rPr>
                      <w:rFonts w:ascii="Arial" w:hAnsi="Arial" w:cs="Arial"/>
                      <w:b/>
                      <w:sz w:val="16"/>
                      <w:szCs w:val="16"/>
                    </w:rPr>
                  </w:pPr>
                  <w:r w:rsidRPr="0071026F">
                    <w:rPr>
                      <w:rFonts w:ascii="Arial" w:hAnsi="Arial" w:cs="Arial"/>
                      <w:b/>
                      <w:sz w:val="16"/>
                      <w:szCs w:val="16"/>
                    </w:rPr>
                    <w:t>Показатељи старости</w:t>
                  </w:r>
                </w:p>
              </w:tc>
            </w:tr>
            <w:tr w:rsidR="006F479B" w:rsidRPr="00043EAD" w14:paraId="6B439C0C" w14:textId="77777777" w:rsidTr="008D5069">
              <w:trPr>
                <w:trHeight w:val="26"/>
              </w:trPr>
              <w:tc>
                <w:tcPr>
                  <w:tcW w:w="234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067DFCBB" w14:textId="77777777" w:rsidR="006F479B" w:rsidRPr="0071026F" w:rsidRDefault="006F479B" w:rsidP="006F479B">
                  <w:pPr>
                    <w:spacing w:before="40"/>
                    <w:rPr>
                      <w:rFonts w:ascii="Arial" w:hAnsi="Arial" w:cs="Arial"/>
                      <w:sz w:val="16"/>
                      <w:szCs w:val="16"/>
                    </w:rPr>
                  </w:pPr>
                  <w:r w:rsidRPr="0071026F">
                    <w:rPr>
                      <w:rFonts w:ascii="Arial" w:hAnsi="Arial" w:cs="Arial"/>
                      <w:sz w:val="16"/>
                      <w:szCs w:val="16"/>
                    </w:rPr>
                    <w:t>Просечна старост</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A554257"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40,2</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3DEC41F"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42,1</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34169BCD"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43,0</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6263C656"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43,2</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8BCBA4B" w14:textId="77777777" w:rsidR="006F479B" w:rsidRPr="0071026F" w:rsidRDefault="006F479B" w:rsidP="00A50E36">
                  <w:pPr>
                    <w:spacing w:before="40"/>
                    <w:jc w:val="right"/>
                    <w:rPr>
                      <w:rFonts w:ascii="Arial" w:hAnsi="Arial" w:cs="Arial"/>
                      <w:sz w:val="16"/>
                      <w:szCs w:val="16"/>
                    </w:rPr>
                  </w:pPr>
                  <w:r w:rsidRPr="0071026F">
                    <w:rPr>
                      <w:rFonts w:ascii="Arial" w:hAnsi="Arial" w:cs="Arial"/>
                      <w:sz w:val="16"/>
                      <w:szCs w:val="16"/>
                    </w:rPr>
                    <w:t>43,</w:t>
                  </w:r>
                  <w:r w:rsidR="00A50E36" w:rsidRPr="0071026F">
                    <w:rPr>
                      <w:rFonts w:ascii="Arial" w:hAnsi="Arial" w:cs="Arial"/>
                      <w:sz w:val="16"/>
                      <w:szCs w:val="16"/>
                    </w:rPr>
                    <w:t>3</w:t>
                  </w:r>
                </w:p>
              </w:tc>
            </w:tr>
            <w:tr w:rsidR="006F479B" w:rsidRPr="00043EAD" w14:paraId="0249B77C" w14:textId="77777777" w:rsidTr="008D5069">
              <w:trPr>
                <w:trHeight w:val="26"/>
              </w:trPr>
              <w:tc>
                <w:tcPr>
                  <w:tcW w:w="2340"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1BC6592B" w14:textId="77777777" w:rsidR="006F479B" w:rsidRPr="0071026F" w:rsidRDefault="006F479B" w:rsidP="006F479B">
                  <w:pPr>
                    <w:spacing w:before="40"/>
                    <w:rPr>
                      <w:rFonts w:ascii="Arial" w:hAnsi="Arial" w:cs="Arial"/>
                      <w:sz w:val="16"/>
                      <w:szCs w:val="16"/>
                    </w:rPr>
                  </w:pPr>
                  <w:r w:rsidRPr="0071026F">
                    <w:rPr>
                      <w:rFonts w:ascii="Arial" w:hAnsi="Arial" w:cs="Arial"/>
                      <w:sz w:val="16"/>
                      <w:szCs w:val="16"/>
                    </w:rPr>
                    <w:t>Индекс старења</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357942D"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99,1</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71DC35BF"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121,9</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806D175"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141,6</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289E2CBA"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142,9</w:t>
                  </w:r>
                </w:p>
              </w:tc>
              <w:tc>
                <w:tcPr>
                  <w:tcW w:w="737" w:type="dxa"/>
                  <w:tcBorders>
                    <w:top w:val="single" w:sz="4" w:space="0" w:color="D9D9D9" w:themeColor="background1" w:themeShade="D9"/>
                    <w:left w:val="nil"/>
                    <w:bottom w:val="single" w:sz="4" w:space="0" w:color="D9D9D9" w:themeColor="background1" w:themeShade="D9"/>
                    <w:right w:val="nil"/>
                  </w:tcBorders>
                  <w:shd w:val="clear" w:color="auto" w:fill="auto"/>
                  <w:hideMark/>
                </w:tcPr>
                <w:p w14:paraId="5726B063" w14:textId="77777777" w:rsidR="006F479B" w:rsidRPr="0071026F" w:rsidRDefault="006F479B" w:rsidP="00A50E36">
                  <w:pPr>
                    <w:spacing w:before="40"/>
                    <w:jc w:val="right"/>
                    <w:rPr>
                      <w:rFonts w:ascii="Arial" w:hAnsi="Arial" w:cs="Arial"/>
                      <w:sz w:val="16"/>
                      <w:szCs w:val="16"/>
                    </w:rPr>
                  </w:pPr>
                  <w:r w:rsidRPr="0071026F">
                    <w:rPr>
                      <w:rFonts w:ascii="Arial" w:hAnsi="Arial" w:cs="Arial"/>
                      <w:sz w:val="16"/>
                      <w:szCs w:val="16"/>
                    </w:rPr>
                    <w:t>14</w:t>
                  </w:r>
                  <w:r w:rsidR="00A50E36" w:rsidRPr="0071026F">
                    <w:rPr>
                      <w:rFonts w:ascii="Arial" w:hAnsi="Arial" w:cs="Arial"/>
                      <w:sz w:val="16"/>
                      <w:szCs w:val="16"/>
                    </w:rPr>
                    <w:t>4</w:t>
                  </w:r>
                  <w:r w:rsidRPr="0071026F">
                    <w:rPr>
                      <w:rFonts w:ascii="Arial" w:hAnsi="Arial" w:cs="Arial"/>
                      <w:sz w:val="16"/>
                      <w:szCs w:val="16"/>
                    </w:rPr>
                    <w:t>,</w:t>
                  </w:r>
                  <w:r w:rsidR="00A50E36" w:rsidRPr="0071026F">
                    <w:rPr>
                      <w:rFonts w:ascii="Arial" w:hAnsi="Arial" w:cs="Arial"/>
                      <w:sz w:val="16"/>
                      <w:szCs w:val="16"/>
                    </w:rPr>
                    <w:t>1</w:t>
                  </w:r>
                </w:p>
              </w:tc>
            </w:tr>
            <w:tr w:rsidR="006F479B" w:rsidRPr="00043EAD" w14:paraId="4186A0CA" w14:textId="77777777" w:rsidTr="008D5069">
              <w:trPr>
                <w:trHeight w:val="26"/>
              </w:trPr>
              <w:tc>
                <w:tcPr>
                  <w:tcW w:w="2340" w:type="dxa"/>
                  <w:tcBorders>
                    <w:top w:val="single" w:sz="4" w:space="0" w:color="D9D9D9" w:themeColor="background1" w:themeShade="D9"/>
                    <w:left w:val="nil"/>
                    <w:bottom w:val="single" w:sz="4" w:space="0" w:color="808080" w:themeColor="background1" w:themeShade="80"/>
                    <w:right w:val="nil"/>
                  </w:tcBorders>
                  <w:shd w:val="clear" w:color="auto" w:fill="auto"/>
                  <w:hideMark/>
                </w:tcPr>
                <w:p w14:paraId="6110CAA4" w14:textId="77777777" w:rsidR="006F479B" w:rsidRPr="0071026F" w:rsidRDefault="006F479B" w:rsidP="006F479B">
                  <w:pPr>
                    <w:spacing w:before="40"/>
                    <w:rPr>
                      <w:rFonts w:ascii="Arial" w:hAnsi="Arial" w:cs="Arial"/>
                      <w:sz w:val="16"/>
                      <w:szCs w:val="16"/>
                    </w:rPr>
                  </w:pPr>
                  <w:r w:rsidRPr="0071026F">
                    <w:rPr>
                      <w:rFonts w:ascii="Arial" w:hAnsi="Arial" w:cs="Arial"/>
                      <w:sz w:val="16"/>
                      <w:szCs w:val="16"/>
                    </w:rPr>
                    <w:t>Очекивано трајање живота</w:t>
                  </w:r>
                </w:p>
              </w:tc>
              <w:tc>
                <w:tcPr>
                  <w:tcW w:w="737" w:type="dxa"/>
                  <w:tcBorders>
                    <w:top w:val="single" w:sz="4" w:space="0" w:color="D9D9D9" w:themeColor="background1" w:themeShade="D9"/>
                    <w:left w:val="nil"/>
                    <w:bottom w:val="single" w:sz="4" w:space="0" w:color="808080" w:themeColor="background1" w:themeShade="80"/>
                    <w:right w:val="nil"/>
                  </w:tcBorders>
                  <w:shd w:val="clear" w:color="auto" w:fill="auto"/>
                  <w:hideMark/>
                </w:tcPr>
                <w:p w14:paraId="5C3AD111"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72,3</w:t>
                  </w:r>
                </w:p>
              </w:tc>
              <w:tc>
                <w:tcPr>
                  <w:tcW w:w="737" w:type="dxa"/>
                  <w:tcBorders>
                    <w:top w:val="single" w:sz="4" w:space="0" w:color="D9D9D9" w:themeColor="background1" w:themeShade="D9"/>
                    <w:left w:val="nil"/>
                    <w:bottom w:val="single" w:sz="4" w:space="0" w:color="808080" w:themeColor="background1" w:themeShade="80"/>
                    <w:right w:val="nil"/>
                  </w:tcBorders>
                  <w:shd w:val="clear" w:color="auto" w:fill="auto"/>
                  <w:hideMark/>
                </w:tcPr>
                <w:p w14:paraId="577361B3"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74,2</w:t>
                  </w:r>
                </w:p>
              </w:tc>
              <w:tc>
                <w:tcPr>
                  <w:tcW w:w="737" w:type="dxa"/>
                  <w:tcBorders>
                    <w:top w:val="single" w:sz="4" w:space="0" w:color="D9D9D9" w:themeColor="background1" w:themeShade="D9"/>
                    <w:left w:val="nil"/>
                    <w:bottom w:val="single" w:sz="4" w:space="0" w:color="808080" w:themeColor="background1" w:themeShade="80"/>
                    <w:right w:val="nil"/>
                  </w:tcBorders>
                  <w:shd w:val="clear" w:color="auto" w:fill="auto"/>
                  <w:hideMark/>
                </w:tcPr>
                <w:p w14:paraId="0077F8C8"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75,4</w:t>
                  </w:r>
                </w:p>
              </w:tc>
              <w:tc>
                <w:tcPr>
                  <w:tcW w:w="737" w:type="dxa"/>
                  <w:tcBorders>
                    <w:top w:val="single" w:sz="4" w:space="0" w:color="D9D9D9" w:themeColor="background1" w:themeShade="D9"/>
                    <w:left w:val="nil"/>
                    <w:bottom w:val="single" w:sz="4" w:space="0" w:color="808080" w:themeColor="background1" w:themeShade="80"/>
                    <w:right w:val="nil"/>
                  </w:tcBorders>
                  <w:shd w:val="clear" w:color="auto" w:fill="auto"/>
                  <w:hideMark/>
                </w:tcPr>
                <w:p w14:paraId="158FC196" w14:textId="77777777" w:rsidR="006F479B" w:rsidRPr="0071026F" w:rsidRDefault="006F479B" w:rsidP="006F479B">
                  <w:pPr>
                    <w:spacing w:before="40"/>
                    <w:jc w:val="right"/>
                    <w:rPr>
                      <w:rFonts w:ascii="Arial" w:hAnsi="Arial" w:cs="Arial"/>
                      <w:sz w:val="16"/>
                      <w:szCs w:val="16"/>
                    </w:rPr>
                  </w:pPr>
                  <w:r w:rsidRPr="0071026F">
                    <w:rPr>
                      <w:rFonts w:ascii="Arial" w:hAnsi="Arial" w:cs="Arial"/>
                      <w:sz w:val="16"/>
                      <w:szCs w:val="16"/>
                    </w:rPr>
                    <w:t>75,6</w:t>
                  </w:r>
                </w:p>
              </w:tc>
              <w:tc>
                <w:tcPr>
                  <w:tcW w:w="737" w:type="dxa"/>
                  <w:tcBorders>
                    <w:top w:val="single" w:sz="4" w:space="0" w:color="D9D9D9" w:themeColor="background1" w:themeShade="D9"/>
                    <w:left w:val="nil"/>
                    <w:bottom w:val="single" w:sz="4" w:space="0" w:color="808080" w:themeColor="background1" w:themeShade="80"/>
                    <w:right w:val="nil"/>
                  </w:tcBorders>
                  <w:shd w:val="clear" w:color="auto" w:fill="auto"/>
                  <w:hideMark/>
                </w:tcPr>
                <w:p w14:paraId="4702626C" w14:textId="77777777" w:rsidR="006F479B" w:rsidRPr="0071026F" w:rsidRDefault="006F479B" w:rsidP="00A50E36">
                  <w:pPr>
                    <w:spacing w:before="40"/>
                    <w:jc w:val="right"/>
                    <w:rPr>
                      <w:rFonts w:ascii="Arial" w:hAnsi="Arial" w:cs="Arial"/>
                      <w:sz w:val="16"/>
                      <w:szCs w:val="16"/>
                    </w:rPr>
                  </w:pPr>
                  <w:r w:rsidRPr="0071026F">
                    <w:rPr>
                      <w:rFonts w:ascii="Arial" w:hAnsi="Arial" w:cs="Arial"/>
                      <w:sz w:val="16"/>
                      <w:szCs w:val="16"/>
                    </w:rPr>
                    <w:t>75,</w:t>
                  </w:r>
                  <w:r w:rsidR="00A50E36" w:rsidRPr="0071026F">
                    <w:rPr>
                      <w:rFonts w:ascii="Arial" w:hAnsi="Arial" w:cs="Arial"/>
                      <w:sz w:val="16"/>
                      <w:szCs w:val="16"/>
                    </w:rPr>
                    <w:t>7</w:t>
                  </w:r>
                </w:p>
              </w:tc>
            </w:tr>
          </w:tbl>
          <w:p w14:paraId="64D3358E" w14:textId="77777777" w:rsidR="007A6970" w:rsidRDefault="007A6970" w:rsidP="007A6970">
            <w:pPr>
              <w:rPr>
                <w:rFonts w:ascii="Arial" w:hAnsi="Arial" w:cs="Arial"/>
                <w:sz w:val="20"/>
                <w:szCs w:val="20"/>
              </w:rPr>
            </w:pPr>
          </w:p>
        </w:tc>
      </w:tr>
    </w:tbl>
    <w:p w14:paraId="2C69E9BC" w14:textId="77777777" w:rsidR="00AF79F4" w:rsidRPr="0071026F" w:rsidRDefault="00E0303C" w:rsidP="008D5069">
      <w:pPr>
        <w:spacing w:before="240" w:line="216" w:lineRule="auto"/>
        <w:jc w:val="both"/>
        <w:rPr>
          <w:rFonts w:ascii="Arial" w:hAnsi="Arial" w:cs="Arial"/>
          <w:sz w:val="20"/>
          <w:szCs w:val="20"/>
        </w:rPr>
      </w:pPr>
      <w:r w:rsidRPr="0071026F">
        <w:rPr>
          <w:rFonts w:ascii="Arial" w:hAnsi="Arial" w:cs="Arial"/>
          <w:sz w:val="20"/>
          <w:szCs w:val="20"/>
        </w:rPr>
        <w:t>У периоду 2002–</w:t>
      </w:r>
      <w:r w:rsidR="00AF79F4" w:rsidRPr="0071026F">
        <w:rPr>
          <w:rFonts w:ascii="Arial" w:hAnsi="Arial" w:cs="Arial"/>
          <w:sz w:val="20"/>
          <w:szCs w:val="20"/>
        </w:rPr>
        <w:t>201</w:t>
      </w:r>
      <w:r w:rsidR="00B41CAF" w:rsidRPr="0071026F">
        <w:rPr>
          <w:rFonts w:ascii="Arial" w:hAnsi="Arial" w:cs="Arial"/>
          <w:sz w:val="20"/>
          <w:szCs w:val="20"/>
        </w:rPr>
        <w:t>9</w:t>
      </w:r>
      <w:r w:rsidRPr="0071026F">
        <w:rPr>
          <w:rFonts w:ascii="Arial" w:hAnsi="Arial" w:cs="Arial"/>
          <w:sz w:val="20"/>
          <w:szCs w:val="20"/>
        </w:rPr>
        <w:t>.</w:t>
      </w:r>
      <w:r w:rsidR="00AF79F4" w:rsidRPr="0071026F">
        <w:rPr>
          <w:rFonts w:ascii="Arial" w:hAnsi="Arial" w:cs="Arial"/>
          <w:sz w:val="20"/>
          <w:szCs w:val="20"/>
        </w:rPr>
        <w:t xml:space="preserve"> удео лица млађих од 15 година је смањен са 16,1% на 14,3%, док је</w:t>
      </w:r>
      <w:r w:rsidR="00970776" w:rsidRPr="0071026F">
        <w:rPr>
          <w:rFonts w:ascii="Arial" w:hAnsi="Arial" w:cs="Arial"/>
          <w:sz w:val="20"/>
          <w:szCs w:val="20"/>
        </w:rPr>
        <w:t xml:space="preserve"> истовремено удео старих (65 и</w:t>
      </w:r>
      <w:r w:rsidR="00AF79F4" w:rsidRPr="0071026F">
        <w:rPr>
          <w:rFonts w:ascii="Arial" w:hAnsi="Arial" w:cs="Arial"/>
          <w:sz w:val="20"/>
          <w:szCs w:val="20"/>
        </w:rPr>
        <w:t xml:space="preserve"> више година) повећан са 16,6% на 20,</w:t>
      </w:r>
      <w:r w:rsidR="00B41CAF" w:rsidRPr="0071026F">
        <w:rPr>
          <w:rFonts w:ascii="Arial" w:hAnsi="Arial" w:cs="Arial"/>
          <w:sz w:val="20"/>
          <w:szCs w:val="20"/>
        </w:rPr>
        <w:t>7</w:t>
      </w:r>
      <w:r w:rsidR="00AF79F4" w:rsidRPr="0071026F">
        <w:rPr>
          <w:rFonts w:ascii="Arial" w:hAnsi="Arial" w:cs="Arial"/>
          <w:sz w:val="20"/>
          <w:szCs w:val="20"/>
        </w:rPr>
        <w:t>%. Учешће жен</w:t>
      </w:r>
      <w:r w:rsidRPr="0071026F">
        <w:rPr>
          <w:rFonts w:ascii="Arial" w:hAnsi="Arial" w:cs="Arial"/>
          <w:sz w:val="20"/>
          <w:szCs w:val="20"/>
        </w:rPr>
        <w:t>ског фертилног становништва (15–</w:t>
      </w:r>
      <w:r w:rsidR="00AF79F4" w:rsidRPr="0071026F">
        <w:rPr>
          <w:rFonts w:ascii="Arial" w:hAnsi="Arial" w:cs="Arial"/>
          <w:sz w:val="20"/>
          <w:szCs w:val="20"/>
        </w:rPr>
        <w:t>49 година) у укупном становништву у истом периоду је смањено за 2,</w:t>
      </w:r>
      <w:r w:rsidR="00B41CAF" w:rsidRPr="0071026F">
        <w:rPr>
          <w:rFonts w:ascii="Arial" w:hAnsi="Arial" w:cs="Arial"/>
          <w:sz w:val="20"/>
          <w:szCs w:val="20"/>
        </w:rPr>
        <w:t>4</w:t>
      </w:r>
      <w:r w:rsidR="00AF79F4" w:rsidRPr="0071026F">
        <w:rPr>
          <w:rFonts w:ascii="Arial" w:hAnsi="Arial" w:cs="Arial"/>
          <w:sz w:val="20"/>
          <w:szCs w:val="20"/>
        </w:rPr>
        <w:t xml:space="preserve">%. </w:t>
      </w:r>
    </w:p>
    <w:p w14:paraId="7638958E" w14:textId="77777777" w:rsidR="00AF79F4" w:rsidRPr="0071026F" w:rsidRDefault="00AF79F4" w:rsidP="008D5069">
      <w:pPr>
        <w:spacing w:before="120" w:line="216" w:lineRule="auto"/>
        <w:jc w:val="both"/>
        <w:rPr>
          <w:rFonts w:ascii="Arial" w:hAnsi="Arial" w:cs="Arial"/>
          <w:sz w:val="16"/>
          <w:szCs w:val="16"/>
        </w:rPr>
      </w:pPr>
      <w:r w:rsidRPr="0071026F">
        <w:rPr>
          <w:rFonts w:ascii="Arial" w:hAnsi="Arial" w:cs="Arial"/>
          <w:sz w:val="20"/>
          <w:szCs w:val="20"/>
        </w:rPr>
        <w:t xml:space="preserve">Овакви трендови утичу и на смањење учешћа становништва радног узраста </w:t>
      </w:r>
      <w:r w:rsidR="00E0303C" w:rsidRPr="0071026F">
        <w:rPr>
          <w:rFonts w:ascii="Arial" w:hAnsi="Arial" w:cs="Arial"/>
          <w:sz w:val="20"/>
          <w:szCs w:val="20"/>
        </w:rPr>
        <w:t>(15–</w:t>
      </w:r>
      <w:r w:rsidRPr="0071026F">
        <w:rPr>
          <w:rFonts w:ascii="Arial" w:hAnsi="Arial" w:cs="Arial"/>
          <w:sz w:val="20"/>
          <w:szCs w:val="20"/>
        </w:rPr>
        <w:t>64) у укупној популацији, са 67,3% (2002) на 65,</w:t>
      </w:r>
      <w:r w:rsidR="00B41CAF" w:rsidRPr="0071026F">
        <w:rPr>
          <w:rFonts w:ascii="Arial" w:hAnsi="Arial" w:cs="Arial"/>
          <w:sz w:val="20"/>
          <w:szCs w:val="20"/>
        </w:rPr>
        <w:t>0</w:t>
      </w:r>
      <w:r w:rsidRPr="0071026F">
        <w:rPr>
          <w:rFonts w:ascii="Arial" w:hAnsi="Arial" w:cs="Arial"/>
          <w:sz w:val="20"/>
          <w:szCs w:val="20"/>
        </w:rPr>
        <w:t>% (201</w:t>
      </w:r>
      <w:r w:rsidR="00B41CAF" w:rsidRPr="0071026F">
        <w:rPr>
          <w:rFonts w:ascii="Arial" w:hAnsi="Arial" w:cs="Arial"/>
          <w:sz w:val="20"/>
          <w:szCs w:val="20"/>
        </w:rPr>
        <w:t>9</w:t>
      </w:r>
      <w:r w:rsidRPr="0071026F">
        <w:rPr>
          <w:rFonts w:ascii="Arial" w:hAnsi="Arial" w:cs="Arial"/>
          <w:sz w:val="20"/>
          <w:szCs w:val="20"/>
        </w:rPr>
        <w:t xml:space="preserve">). У истом временском интервалу, просечна старост становништва је порасла за </w:t>
      </w:r>
      <w:r w:rsidRPr="007764C1">
        <w:rPr>
          <w:rFonts w:ascii="Arial" w:hAnsi="Arial" w:cs="Arial"/>
          <w:sz w:val="20"/>
          <w:szCs w:val="20"/>
        </w:rPr>
        <w:t>три године</w:t>
      </w:r>
      <w:r w:rsidRPr="0071026F">
        <w:rPr>
          <w:rFonts w:ascii="Arial" w:hAnsi="Arial" w:cs="Arial"/>
          <w:sz w:val="20"/>
          <w:szCs w:val="20"/>
        </w:rPr>
        <w:t>, са 40,2 на 43,</w:t>
      </w:r>
      <w:r w:rsidR="00740920" w:rsidRPr="0071026F">
        <w:rPr>
          <w:rFonts w:ascii="Arial" w:hAnsi="Arial" w:cs="Arial"/>
          <w:sz w:val="20"/>
          <w:szCs w:val="20"/>
        </w:rPr>
        <w:t>3</w:t>
      </w:r>
      <w:r w:rsidRPr="0071026F">
        <w:rPr>
          <w:rFonts w:ascii="Arial" w:hAnsi="Arial" w:cs="Arial"/>
          <w:sz w:val="20"/>
          <w:szCs w:val="20"/>
        </w:rPr>
        <w:t xml:space="preserve"> године. На повећање броја старих утиче и продужење очекиваног трајања живота, које за укупно становништво износи 3,</w:t>
      </w:r>
      <w:r w:rsidR="00740920" w:rsidRPr="0071026F">
        <w:rPr>
          <w:rFonts w:ascii="Arial" w:hAnsi="Arial" w:cs="Arial"/>
          <w:sz w:val="20"/>
          <w:szCs w:val="20"/>
        </w:rPr>
        <w:t>4</w:t>
      </w:r>
      <w:r w:rsidRPr="0071026F">
        <w:rPr>
          <w:rFonts w:ascii="Arial" w:hAnsi="Arial" w:cs="Arial"/>
          <w:sz w:val="20"/>
          <w:szCs w:val="20"/>
        </w:rPr>
        <w:t xml:space="preserve"> године, од 72,3 године у 2002, до 75,</w:t>
      </w:r>
      <w:r w:rsidR="00740920" w:rsidRPr="0071026F">
        <w:rPr>
          <w:rFonts w:ascii="Arial" w:hAnsi="Arial" w:cs="Arial"/>
          <w:sz w:val="20"/>
          <w:szCs w:val="20"/>
        </w:rPr>
        <w:t>7</w:t>
      </w:r>
      <w:r w:rsidRPr="0071026F">
        <w:rPr>
          <w:rFonts w:ascii="Arial" w:hAnsi="Arial" w:cs="Arial"/>
          <w:sz w:val="20"/>
          <w:szCs w:val="20"/>
        </w:rPr>
        <w:t xml:space="preserve"> година у 201</w:t>
      </w:r>
      <w:r w:rsidR="00740920" w:rsidRPr="0071026F">
        <w:rPr>
          <w:rFonts w:ascii="Arial" w:hAnsi="Arial" w:cs="Arial"/>
          <w:sz w:val="20"/>
          <w:szCs w:val="20"/>
        </w:rPr>
        <w:t>9</w:t>
      </w:r>
      <w:r w:rsidRPr="0071026F">
        <w:rPr>
          <w:rFonts w:ascii="Arial" w:hAnsi="Arial" w:cs="Arial"/>
          <w:sz w:val="20"/>
          <w:szCs w:val="20"/>
        </w:rPr>
        <w:t>.</w:t>
      </w:r>
    </w:p>
    <w:p w14:paraId="73CE54A1" w14:textId="77777777" w:rsidR="00E602E2" w:rsidRPr="0071026F" w:rsidRDefault="00E602E2" w:rsidP="008D5069">
      <w:pPr>
        <w:spacing w:before="360" w:line="216" w:lineRule="auto"/>
        <w:jc w:val="both"/>
        <w:rPr>
          <w:rFonts w:ascii="Arial" w:hAnsi="Arial" w:cs="Arial"/>
          <w:b/>
          <w:sz w:val="20"/>
          <w:szCs w:val="20"/>
        </w:rPr>
      </w:pPr>
      <w:r w:rsidRPr="0071026F">
        <w:rPr>
          <w:rFonts w:ascii="Arial" w:hAnsi="Arial" w:cs="Arial"/>
          <w:b/>
          <w:sz w:val="20"/>
          <w:szCs w:val="20"/>
        </w:rPr>
        <w:t>Становништво по типу насеља</w:t>
      </w:r>
    </w:p>
    <w:p w14:paraId="4D91A1FE" w14:textId="77777777" w:rsidR="004A1088" w:rsidRPr="0071026F" w:rsidRDefault="00AC1CBA" w:rsidP="008D5069">
      <w:pPr>
        <w:spacing w:before="120" w:line="216" w:lineRule="auto"/>
        <w:jc w:val="both"/>
        <w:rPr>
          <w:rFonts w:ascii="Arial" w:hAnsi="Arial" w:cs="Arial"/>
          <w:sz w:val="20"/>
          <w:szCs w:val="20"/>
        </w:rPr>
      </w:pPr>
      <w:r w:rsidRPr="0071026F">
        <w:rPr>
          <w:rFonts w:ascii="Arial" w:hAnsi="Arial" w:cs="Arial"/>
          <w:sz w:val="20"/>
          <w:szCs w:val="20"/>
        </w:rPr>
        <w:t>Према проценама становништва по типу насеља, у Републици Србији преовлађује градско становништво (6</w:t>
      </w:r>
      <w:r w:rsidR="00740920" w:rsidRPr="0071026F">
        <w:rPr>
          <w:rFonts w:ascii="Arial" w:hAnsi="Arial" w:cs="Arial"/>
          <w:sz w:val="20"/>
          <w:szCs w:val="20"/>
        </w:rPr>
        <w:t>1</w:t>
      </w:r>
      <w:r w:rsidRPr="0071026F">
        <w:rPr>
          <w:rFonts w:ascii="Arial" w:hAnsi="Arial" w:cs="Arial"/>
          <w:sz w:val="20"/>
          <w:szCs w:val="20"/>
        </w:rPr>
        <w:t>,</w:t>
      </w:r>
      <w:r w:rsidR="00740920" w:rsidRPr="0071026F">
        <w:rPr>
          <w:rFonts w:ascii="Arial" w:hAnsi="Arial" w:cs="Arial"/>
          <w:sz w:val="20"/>
          <w:szCs w:val="20"/>
        </w:rPr>
        <w:t>0</w:t>
      </w:r>
      <w:r w:rsidRPr="0071026F">
        <w:rPr>
          <w:rFonts w:ascii="Arial" w:hAnsi="Arial" w:cs="Arial"/>
          <w:sz w:val="20"/>
          <w:szCs w:val="20"/>
        </w:rPr>
        <w:t>%)</w:t>
      </w:r>
      <w:r w:rsidR="00B94ED7" w:rsidRPr="0071026F">
        <w:rPr>
          <w:rFonts w:ascii="Arial" w:hAnsi="Arial" w:cs="Arial"/>
          <w:sz w:val="20"/>
          <w:szCs w:val="20"/>
        </w:rPr>
        <w:t>.</w:t>
      </w:r>
      <w:r w:rsidRPr="0071026F">
        <w:rPr>
          <w:rFonts w:ascii="Arial" w:hAnsi="Arial" w:cs="Arial"/>
          <w:sz w:val="20"/>
          <w:szCs w:val="20"/>
        </w:rPr>
        <w:t xml:space="preserve"> Градско становништво је демографски млађе </w:t>
      </w:r>
      <w:r w:rsidR="000A6D6E" w:rsidRPr="0071026F">
        <w:rPr>
          <w:rFonts w:ascii="Arial" w:hAnsi="Arial" w:cs="Arial"/>
          <w:sz w:val="20"/>
          <w:szCs w:val="20"/>
        </w:rPr>
        <w:t>од становништва осталих насеља.</w:t>
      </w:r>
      <w:r w:rsidRPr="0071026F">
        <w:rPr>
          <w:rFonts w:ascii="Arial" w:hAnsi="Arial" w:cs="Arial"/>
          <w:sz w:val="20"/>
          <w:szCs w:val="20"/>
        </w:rPr>
        <w:t xml:space="preserve"> </w:t>
      </w:r>
      <w:r w:rsidR="000A6D6E" w:rsidRPr="0071026F">
        <w:rPr>
          <w:rFonts w:ascii="Arial" w:hAnsi="Arial" w:cs="Arial"/>
          <w:sz w:val="20"/>
          <w:szCs w:val="20"/>
        </w:rPr>
        <w:t>П</w:t>
      </w:r>
      <w:r w:rsidRPr="0071026F">
        <w:rPr>
          <w:rFonts w:ascii="Arial" w:hAnsi="Arial" w:cs="Arial"/>
          <w:sz w:val="20"/>
          <w:szCs w:val="20"/>
        </w:rPr>
        <w:t>росечна старост градског становништва је мања од просечне старости становништва у тзв</w:t>
      </w:r>
      <w:r w:rsidR="000A6D6E" w:rsidRPr="0071026F">
        <w:rPr>
          <w:rFonts w:ascii="Arial" w:hAnsi="Arial" w:cs="Arial"/>
          <w:sz w:val="20"/>
          <w:szCs w:val="20"/>
        </w:rPr>
        <w:t>.</w:t>
      </w:r>
      <w:r w:rsidRPr="0071026F">
        <w:rPr>
          <w:rFonts w:ascii="Arial" w:hAnsi="Arial" w:cs="Arial"/>
          <w:sz w:val="20"/>
          <w:szCs w:val="20"/>
        </w:rPr>
        <w:t xml:space="preserve"> осталим насељима</w:t>
      </w:r>
      <w:r w:rsidR="00E967F1" w:rsidRPr="0071026F">
        <w:rPr>
          <w:rFonts w:ascii="Arial" w:hAnsi="Arial" w:cs="Arial"/>
          <w:sz w:val="20"/>
          <w:szCs w:val="20"/>
        </w:rPr>
        <w:t>,</w:t>
      </w:r>
      <w:r w:rsidR="000A6D6E" w:rsidRPr="0071026F">
        <w:rPr>
          <w:rFonts w:ascii="Arial" w:hAnsi="Arial" w:cs="Arial"/>
          <w:sz w:val="20"/>
          <w:szCs w:val="20"/>
        </w:rPr>
        <w:t xml:space="preserve"> и</w:t>
      </w:r>
      <w:r w:rsidRPr="0071026F">
        <w:rPr>
          <w:rFonts w:ascii="Arial" w:hAnsi="Arial" w:cs="Arial"/>
          <w:sz w:val="20"/>
          <w:szCs w:val="20"/>
        </w:rPr>
        <w:t xml:space="preserve"> </w:t>
      </w:r>
      <w:r w:rsidR="000A6D6E" w:rsidRPr="0071026F">
        <w:rPr>
          <w:rFonts w:ascii="Arial" w:hAnsi="Arial" w:cs="Arial"/>
          <w:sz w:val="20"/>
          <w:szCs w:val="20"/>
        </w:rPr>
        <w:t xml:space="preserve">то за </w:t>
      </w:r>
      <w:r w:rsidRPr="0071026F">
        <w:rPr>
          <w:rFonts w:ascii="Arial" w:hAnsi="Arial" w:cs="Arial"/>
          <w:sz w:val="20"/>
          <w:szCs w:val="20"/>
        </w:rPr>
        <w:t>2,</w:t>
      </w:r>
      <w:r w:rsidR="00D311BA" w:rsidRPr="0071026F">
        <w:rPr>
          <w:rFonts w:ascii="Arial" w:hAnsi="Arial" w:cs="Arial"/>
          <w:sz w:val="20"/>
          <w:szCs w:val="20"/>
        </w:rPr>
        <w:t>6</w:t>
      </w:r>
      <w:r w:rsidRPr="0071026F">
        <w:rPr>
          <w:rFonts w:ascii="Arial" w:hAnsi="Arial" w:cs="Arial"/>
          <w:sz w:val="20"/>
          <w:szCs w:val="20"/>
        </w:rPr>
        <w:t xml:space="preserve"> годин</w:t>
      </w:r>
      <w:r w:rsidR="00D311BA" w:rsidRPr="0071026F">
        <w:rPr>
          <w:rFonts w:ascii="Arial" w:hAnsi="Arial" w:cs="Arial"/>
          <w:sz w:val="20"/>
          <w:szCs w:val="20"/>
        </w:rPr>
        <w:t>а.</w:t>
      </w:r>
    </w:p>
    <w:p w14:paraId="670070B4" w14:textId="1C8CA866" w:rsidR="00946D2B" w:rsidRPr="00E409D0" w:rsidRDefault="00946D2B" w:rsidP="008D5069">
      <w:pPr>
        <w:spacing w:before="120" w:line="216" w:lineRule="auto"/>
        <w:jc w:val="both"/>
        <w:rPr>
          <w:rFonts w:ascii="Arial" w:hAnsi="Arial" w:cs="Arial"/>
          <w:sz w:val="20"/>
          <w:szCs w:val="20"/>
        </w:rPr>
      </w:pPr>
      <w:r w:rsidRPr="00CA3AD8">
        <w:rPr>
          <w:rFonts w:ascii="Arial" w:hAnsi="Arial" w:cs="Arial"/>
          <w:sz w:val="20"/>
          <w:szCs w:val="20"/>
        </w:rPr>
        <w:t>Различите старосне структуре становништва по типу насеља</w:t>
      </w:r>
      <w:r w:rsidR="003C4F00" w:rsidRPr="00CA3AD8">
        <w:rPr>
          <w:rFonts w:ascii="Arial" w:hAnsi="Arial" w:cs="Arial"/>
          <w:sz w:val="20"/>
          <w:szCs w:val="20"/>
          <w:lang w:val="sr-Latn-RS"/>
        </w:rPr>
        <w:t>,</w:t>
      </w:r>
      <w:r w:rsidRPr="00CA3AD8">
        <w:rPr>
          <w:rFonts w:ascii="Arial" w:hAnsi="Arial" w:cs="Arial"/>
          <w:sz w:val="20"/>
          <w:szCs w:val="20"/>
        </w:rPr>
        <w:t xml:space="preserve"> условљене су различитим фертилитетом</w:t>
      </w:r>
      <w:r w:rsidR="003E3892" w:rsidRPr="00CA3AD8">
        <w:rPr>
          <w:rFonts w:ascii="Arial" w:hAnsi="Arial" w:cs="Arial"/>
          <w:sz w:val="20"/>
          <w:szCs w:val="20"/>
        </w:rPr>
        <w:t xml:space="preserve"> и морталитетом</w:t>
      </w:r>
      <w:r w:rsidRPr="00CA3AD8">
        <w:rPr>
          <w:rFonts w:ascii="Arial" w:hAnsi="Arial" w:cs="Arial"/>
          <w:sz w:val="20"/>
          <w:szCs w:val="20"/>
        </w:rPr>
        <w:t>, али пре свега разликама у погледу смера и обима миграционих кретања</w:t>
      </w:r>
      <w:r w:rsidR="00C02070" w:rsidRPr="00CA3AD8">
        <w:rPr>
          <w:rFonts w:ascii="Arial" w:hAnsi="Arial" w:cs="Arial"/>
          <w:sz w:val="20"/>
          <w:szCs w:val="20"/>
        </w:rPr>
        <w:t>.</w:t>
      </w:r>
      <w:r w:rsidRPr="00E409D0">
        <w:rPr>
          <w:rFonts w:ascii="Arial" w:hAnsi="Arial" w:cs="Arial"/>
          <w:sz w:val="20"/>
          <w:szCs w:val="20"/>
        </w:rPr>
        <w:t xml:space="preserve"> </w:t>
      </w:r>
    </w:p>
    <w:p w14:paraId="16F084A8" w14:textId="77777777" w:rsidR="008D5069" w:rsidRDefault="00801C16" w:rsidP="008D5069">
      <w:pPr>
        <w:spacing w:before="240"/>
        <w:jc w:val="both"/>
        <w:rPr>
          <w:rFonts w:ascii="Arial" w:hAnsi="Arial" w:cs="Arial"/>
          <w:sz w:val="20"/>
          <w:szCs w:val="20"/>
        </w:rPr>
      </w:pPr>
      <w:r>
        <w:rPr>
          <w:rFonts w:ascii="Arial" w:hAnsi="Arial" w:cs="Arial"/>
          <w:sz w:val="20"/>
          <w:szCs w:val="20"/>
        </w:rPr>
        <w:t>Табела 3. Становништво по типу насеља</w:t>
      </w:r>
    </w:p>
    <w:tbl>
      <w:tblPr>
        <w:tblW w:w="10211" w:type="dxa"/>
        <w:tblLayout w:type="fixed"/>
        <w:tblCellMar>
          <w:left w:w="28" w:type="dxa"/>
          <w:right w:w="28" w:type="dxa"/>
        </w:tblCellMar>
        <w:tblLook w:val="04A0" w:firstRow="1" w:lastRow="0" w:firstColumn="1" w:lastColumn="0" w:noHBand="0" w:noVBand="1"/>
      </w:tblPr>
      <w:tblGrid>
        <w:gridCol w:w="2552"/>
        <w:gridCol w:w="851"/>
        <w:gridCol w:w="851"/>
        <w:gridCol w:w="851"/>
        <w:gridCol w:w="851"/>
        <w:gridCol w:w="851"/>
        <w:gridCol w:w="851"/>
        <w:gridCol w:w="851"/>
        <w:gridCol w:w="851"/>
        <w:gridCol w:w="851"/>
      </w:tblGrid>
      <w:tr w:rsidR="008D5069" w:rsidRPr="00E409D0" w14:paraId="4715BDD9" w14:textId="77777777" w:rsidTr="00A73D4E">
        <w:trPr>
          <w:trHeight w:val="20"/>
        </w:trPr>
        <w:tc>
          <w:tcPr>
            <w:tcW w:w="2552" w:type="dxa"/>
            <w:vMerge w:val="restart"/>
            <w:tcBorders>
              <w:top w:val="single" w:sz="4" w:space="0" w:color="808080" w:themeColor="background1" w:themeShade="80"/>
              <w:left w:val="nil"/>
              <w:right w:val="single" w:sz="4" w:space="0" w:color="808080" w:themeColor="background1" w:themeShade="80"/>
            </w:tcBorders>
            <w:shd w:val="clear" w:color="auto" w:fill="F2F2F2" w:themeFill="background1" w:themeFillShade="F2"/>
            <w:vAlign w:val="center"/>
          </w:tcPr>
          <w:p w14:paraId="241DDDA6" w14:textId="77777777" w:rsidR="008D5069" w:rsidRPr="00E409D0" w:rsidRDefault="008D5069" w:rsidP="00A73D4E">
            <w:pPr>
              <w:spacing w:before="60" w:afterLines="60" w:after="144"/>
              <w:rPr>
                <w:rFonts w:ascii="Arial" w:hAnsi="Arial" w:cs="Arial"/>
                <w:sz w:val="16"/>
                <w:szCs w:val="16"/>
              </w:rPr>
            </w:pPr>
            <w:r w:rsidRPr="00E409D0">
              <w:rPr>
                <w:rFonts w:ascii="Arial" w:hAnsi="Arial" w:cs="Arial"/>
                <w:sz w:val="16"/>
                <w:szCs w:val="16"/>
              </w:rPr>
              <w:t> </w:t>
            </w:r>
          </w:p>
        </w:tc>
        <w:tc>
          <w:tcPr>
            <w:tcW w:w="25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28CD011F" w14:textId="77777777" w:rsidR="008D5069" w:rsidRPr="00E409D0" w:rsidRDefault="008D5069" w:rsidP="00A73D4E">
            <w:pPr>
              <w:spacing w:before="60" w:afterLines="60" w:after="144"/>
              <w:jc w:val="center"/>
              <w:rPr>
                <w:rFonts w:ascii="Arial" w:hAnsi="Arial" w:cs="Arial"/>
                <w:sz w:val="16"/>
                <w:szCs w:val="16"/>
              </w:rPr>
            </w:pPr>
            <w:r w:rsidRPr="00E409D0">
              <w:rPr>
                <w:rFonts w:ascii="Arial" w:hAnsi="Arial" w:cs="Arial"/>
                <w:sz w:val="16"/>
                <w:szCs w:val="16"/>
              </w:rPr>
              <w:t>2002</w:t>
            </w:r>
          </w:p>
        </w:tc>
        <w:tc>
          <w:tcPr>
            <w:tcW w:w="25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5BB0D79B" w14:textId="77777777" w:rsidR="008D5069" w:rsidRPr="00E409D0" w:rsidRDefault="008D5069" w:rsidP="00A73D4E">
            <w:pPr>
              <w:spacing w:before="60" w:afterLines="60" w:after="144"/>
              <w:jc w:val="center"/>
              <w:rPr>
                <w:rFonts w:ascii="Arial" w:hAnsi="Arial" w:cs="Arial"/>
                <w:sz w:val="16"/>
                <w:szCs w:val="16"/>
              </w:rPr>
            </w:pPr>
            <w:r w:rsidRPr="00E409D0">
              <w:rPr>
                <w:rFonts w:ascii="Arial" w:hAnsi="Arial" w:cs="Arial"/>
                <w:sz w:val="16"/>
                <w:szCs w:val="16"/>
              </w:rPr>
              <w:t>2011</w:t>
            </w:r>
          </w:p>
        </w:tc>
        <w:tc>
          <w:tcPr>
            <w:tcW w:w="25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bottom"/>
          </w:tcPr>
          <w:p w14:paraId="2A4C2AE1" w14:textId="77777777" w:rsidR="008D5069" w:rsidRPr="00E409D0" w:rsidRDefault="008D5069" w:rsidP="008D5069">
            <w:pPr>
              <w:spacing w:before="60" w:afterLines="60" w:after="144"/>
              <w:jc w:val="center"/>
              <w:rPr>
                <w:rFonts w:ascii="Arial" w:hAnsi="Arial" w:cs="Arial"/>
                <w:sz w:val="16"/>
                <w:szCs w:val="16"/>
              </w:rPr>
            </w:pPr>
            <w:r w:rsidRPr="00E409D0">
              <w:rPr>
                <w:rFonts w:ascii="Arial" w:hAnsi="Arial" w:cs="Arial"/>
                <w:sz w:val="16"/>
                <w:szCs w:val="16"/>
              </w:rPr>
              <w:t>201</w:t>
            </w:r>
            <w:r>
              <w:rPr>
                <w:rFonts w:ascii="Arial" w:hAnsi="Arial" w:cs="Arial"/>
                <w:sz w:val="16"/>
                <w:szCs w:val="16"/>
              </w:rPr>
              <w:t>9</w:t>
            </w:r>
          </w:p>
        </w:tc>
      </w:tr>
      <w:tr w:rsidR="008D5069" w:rsidRPr="00E409D0" w14:paraId="690685CE" w14:textId="77777777" w:rsidTr="00A73D4E">
        <w:trPr>
          <w:trHeight w:val="20"/>
        </w:trPr>
        <w:tc>
          <w:tcPr>
            <w:tcW w:w="2552" w:type="dxa"/>
            <w:vMerge/>
            <w:tcBorders>
              <w:left w:val="nil"/>
              <w:right w:val="single" w:sz="4" w:space="0" w:color="808080" w:themeColor="background1" w:themeShade="80"/>
            </w:tcBorders>
            <w:shd w:val="clear" w:color="auto" w:fill="F2F2F2" w:themeFill="background1" w:themeFillShade="F2"/>
            <w:vAlign w:val="center"/>
            <w:hideMark/>
          </w:tcPr>
          <w:p w14:paraId="28210BF2" w14:textId="77777777" w:rsidR="008D5069" w:rsidRPr="00E409D0" w:rsidRDefault="008D5069" w:rsidP="00A73D4E">
            <w:pPr>
              <w:spacing w:before="60" w:afterLines="60" w:after="144"/>
              <w:rPr>
                <w:rFonts w:ascii="Arial" w:hAnsi="Arial" w:cs="Arial"/>
                <w:sz w:val="16"/>
                <w:szCs w:val="16"/>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16D3FBCA" w14:textId="77777777" w:rsidR="008D5069" w:rsidRPr="00E409D0" w:rsidRDefault="008D5069" w:rsidP="00A73D4E">
            <w:pPr>
              <w:spacing w:before="60" w:afterLines="60" w:after="144"/>
              <w:jc w:val="center"/>
              <w:rPr>
                <w:rFonts w:ascii="Arial" w:hAnsi="Arial" w:cs="Arial"/>
                <w:sz w:val="16"/>
                <w:szCs w:val="16"/>
              </w:rPr>
            </w:pPr>
            <w:r w:rsidRPr="00E409D0">
              <w:rPr>
                <w:rFonts w:ascii="Arial" w:hAnsi="Arial" w:cs="Arial"/>
                <w:sz w:val="16"/>
                <w:szCs w:val="16"/>
              </w:rPr>
              <w:t>укупно</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5D6F22B0" w14:textId="77777777" w:rsidR="008D5069" w:rsidRPr="00E409D0" w:rsidRDefault="008D5069" w:rsidP="00A73D4E">
            <w:pPr>
              <w:spacing w:before="60" w:afterLines="60" w:after="144"/>
              <w:jc w:val="center"/>
              <w:rPr>
                <w:rFonts w:ascii="Arial" w:hAnsi="Arial" w:cs="Arial"/>
                <w:sz w:val="16"/>
                <w:szCs w:val="16"/>
              </w:rPr>
            </w:pPr>
            <w:r w:rsidRPr="00E409D0">
              <w:rPr>
                <w:rFonts w:ascii="Arial" w:hAnsi="Arial" w:cs="Arial"/>
                <w:sz w:val="16"/>
                <w:szCs w:val="16"/>
              </w:rPr>
              <w:t xml:space="preserve">градска </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0B929D85" w14:textId="77777777" w:rsidR="008D5069" w:rsidRPr="00E409D0" w:rsidRDefault="008D5069" w:rsidP="00A73D4E">
            <w:pPr>
              <w:spacing w:before="60" w:afterLines="60" w:after="144"/>
              <w:jc w:val="center"/>
              <w:rPr>
                <w:rFonts w:ascii="Arial" w:hAnsi="Arial" w:cs="Arial"/>
                <w:sz w:val="16"/>
                <w:szCs w:val="16"/>
              </w:rPr>
            </w:pPr>
            <w:r w:rsidRPr="00E409D0">
              <w:rPr>
                <w:rFonts w:ascii="Arial" w:hAnsi="Arial" w:cs="Arial"/>
                <w:sz w:val="16"/>
                <w:szCs w:val="16"/>
              </w:rPr>
              <w:t xml:space="preserve">остала </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12B1BA28" w14:textId="77777777" w:rsidR="008D5069" w:rsidRPr="00E409D0" w:rsidRDefault="008D5069" w:rsidP="00A73D4E">
            <w:pPr>
              <w:spacing w:before="60" w:afterLines="60" w:after="144"/>
              <w:jc w:val="center"/>
              <w:rPr>
                <w:rFonts w:ascii="Arial" w:hAnsi="Arial" w:cs="Arial"/>
                <w:sz w:val="16"/>
                <w:szCs w:val="16"/>
              </w:rPr>
            </w:pPr>
            <w:r w:rsidRPr="00E409D0">
              <w:rPr>
                <w:rFonts w:ascii="Arial" w:hAnsi="Arial" w:cs="Arial"/>
                <w:sz w:val="16"/>
                <w:szCs w:val="16"/>
              </w:rPr>
              <w:t>укупно</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473F44E8" w14:textId="77777777" w:rsidR="008D5069" w:rsidRPr="00E409D0" w:rsidRDefault="008D5069" w:rsidP="00A73D4E">
            <w:pPr>
              <w:spacing w:before="60" w:afterLines="60" w:after="144"/>
              <w:jc w:val="center"/>
              <w:rPr>
                <w:rFonts w:ascii="Arial" w:hAnsi="Arial" w:cs="Arial"/>
                <w:sz w:val="16"/>
                <w:szCs w:val="16"/>
              </w:rPr>
            </w:pPr>
            <w:r w:rsidRPr="00E409D0">
              <w:rPr>
                <w:rFonts w:ascii="Arial" w:hAnsi="Arial" w:cs="Arial"/>
                <w:sz w:val="16"/>
                <w:szCs w:val="16"/>
              </w:rPr>
              <w:t xml:space="preserve">градска </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614350D8" w14:textId="77777777" w:rsidR="008D5069" w:rsidRPr="00E409D0" w:rsidRDefault="008D5069" w:rsidP="00A73D4E">
            <w:pPr>
              <w:spacing w:before="60" w:afterLines="60" w:after="144"/>
              <w:jc w:val="center"/>
              <w:rPr>
                <w:rFonts w:ascii="Arial" w:hAnsi="Arial" w:cs="Arial"/>
                <w:sz w:val="16"/>
                <w:szCs w:val="16"/>
              </w:rPr>
            </w:pPr>
            <w:r w:rsidRPr="00E409D0">
              <w:rPr>
                <w:rFonts w:ascii="Arial" w:hAnsi="Arial" w:cs="Arial"/>
                <w:sz w:val="16"/>
                <w:szCs w:val="16"/>
              </w:rPr>
              <w:t xml:space="preserve">остала </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6E816321" w14:textId="77777777" w:rsidR="008D5069" w:rsidRPr="00E409D0" w:rsidRDefault="008D5069" w:rsidP="00A73D4E">
            <w:pPr>
              <w:spacing w:before="60" w:afterLines="60" w:after="144"/>
              <w:jc w:val="center"/>
              <w:rPr>
                <w:rFonts w:ascii="Arial" w:hAnsi="Arial" w:cs="Arial"/>
                <w:sz w:val="16"/>
                <w:szCs w:val="16"/>
              </w:rPr>
            </w:pPr>
            <w:r w:rsidRPr="00E409D0">
              <w:rPr>
                <w:rFonts w:ascii="Arial" w:hAnsi="Arial" w:cs="Arial"/>
                <w:sz w:val="16"/>
                <w:szCs w:val="16"/>
              </w:rPr>
              <w:t>укупно</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hideMark/>
          </w:tcPr>
          <w:p w14:paraId="74C4E212" w14:textId="77777777" w:rsidR="008D5069" w:rsidRPr="00E409D0" w:rsidRDefault="008D5069" w:rsidP="00A73D4E">
            <w:pPr>
              <w:spacing w:before="60" w:afterLines="60" w:after="144"/>
              <w:jc w:val="center"/>
              <w:rPr>
                <w:rFonts w:ascii="Arial" w:hAnsi="Arial" w:cs="Arial"/>
                <w:sz w:val="16"/>
                <w:szCs w:val="16"/>
              </w:rPr>
            </w:pPr>
            <w:r w:rsidRPr="00E409D0">
              <w:rPr>
                <w:rFonts w:ascii="Arial" w:hAnsi="Arial" w:cs="Arial"/>
                <w:sz w:val="16"/>
                <w:szCs w:val="16"/>
              </w:rPr>
              <w:t xml:space="preserve">градска </w:t>
            </w: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hideMark/>
          </w:tcPr>
          <w:p w14:paraId="4021BAC2" w14:textId="77777777" w:rsidR="008D5069" w:rsidRPr="00E409D0" w:rsidRDefault="008D5069" w:rsidP="00A73D4E">
            <w:pPr>
              <w:spacing w:before="60" w:afterLines="60" w:after="144"/>
              <w:jc w:val="center"/>
              <w:rPr>
                <w:rFonts w:ascii="Arial" w:hAnsi="Arial" w:cs="Arial"/>
                <w:sz w:val="16"/>
                <w:szCs w:val="16"/>
              </w:rPr>
            </w:pPr>
            <w:r w:rsidRPr="00E409D0">
              <w:rPr>
                <w:rFonts w:ascii="Arial" w:hAnsi="Arial" w:cs="Arial"/>
                <w:sz w:val="16"/>
                <w:szCs w:val="16"/>
              </w:rPr>
              <w:t xml:space="preserve">остала </w:t>
            </w:r>
          </w:p>
        </w:tc>
      </w:tr>
      <w:tr w:rsidR="008D5069" w:rsidRPr="00E409D0" w14:paraId="100B35AE" w14:textId="77777777" w:rsidTr="007B78AB">
        <w:trPr>
          <w:trHeight w:val="20"/>
        </w:trPr>
        <w:tc>
          <w:tcPr>
            <w:tcW w:w="2552" w:type="dxa"/>
            <w:tcBorders>
              <w:top w:val="single" w:sz="4" w:space="0" w:color="808080" w:themeColor="background1" w:themeShade="80"/>
              <w:left w:val="nil"/>
              <w:bottom w:val="single" w:sz="4" w:space="0" w:color="D9D9D9" w:themeColor="background1" w:themeShade="D9"/>
              <w:right w:val="single" w:sz="4" w:space="0" w:color="808080" w:themeColor="background1" w:themeShade="80"/>
            </w:tcBorders>
            <w:shd w:val="clear" w:color="auto" w:fill="auto"/>
            <w:vAlign w:val="center"/>
          </w:tcPr>
          <w:p w14:paraId="3A482E2A" w14:textId="77777777" w:rsidR="008D5069" w:rsidRPr="008D5069" w:rsidRDefault="008D5069" w:rsidP="008D5069">
            <w:pPr>
              <w:spacing w:before="40" w:after="40"/>
              <w:rPr>
                <w:rFonts w:ascii="Arial" w:hAnsi="Arial" w:cs="Arial"/>
                <w:color w:val="000000"/>
                <w:sz w:val="16"/>
                <w:szCs w:val="16"/>
                <w:lang w:val="en-US"/>
              </w:rPr>
            </w:pPr>
            <w:proofErr w:type="spellStart"/>
            <w:r w:rsidRPr="008D5069">
              <w:rPr>
                <w:rFonts w:ascii="Arial" w:hAnsi="Arial" w:cs="Arial"/>
                <w:color w:val="000000"/>
                <w:sz w:val="16"/>
                <w:szCs w:val="16"/>
                <w:lang w:val="en-US"/>
              </w:rPr>
              <w:t>Број</w:t>
            </w:r>
            <w:proofErr w:type="spellEnd"/>
            <w:r w:rsidRPr="008D5069">
              <w:rPr>
                <w:rFonts w:ascii="Arial" w:hAnsi="Arial" w:cs="Arial"/>
                <w:color w:val="000000"/>
                <w:sz w:val="16"/>
                <w:szCs w:val="16"/>
                <w:lang w:val="en-US"/>
              </w:rPr>
              <w:t xml:space="preserve"> </w:t>
            </w:r>
            <w:proofErr w:type="spellStart"/>
            <w:r w:rsidRPr="008D5069">
              <w:rPr>
                <w:rFonts w:ascii="Arial" w:hAnsi="Arial" w:cs="Arial"/>
                <w:color w:val="000000"/>
                <w:sz w:val="16"/>
                <w:szCs w:val="16"/>
                <w:lang w:val="en-US"/>
              </w:rPr>
              <w:t>становника</w:t>
            </w:r>
            <w:proofErr w:type="spellEnd"/>
          </w:p>
        </w:tc>
        <w:tc>
          <w:tcPr>
            <w:tcW w:w="851" w:type="dxa"/>
            <w:tcBorders>
              <w:top w:val="single" w:sz="4" w:space="0" w:color="808080" w:themeColor="background1" w:themeShade="80"/>
              <w:left w:val="single" w:sz="4" w:space="0" w:color="808080" w:themeColor="background1" w:themeShade="80"/>
              <w:bottom w:val="single" w:sz="4" w:space="0" w:color="D9D9D9" w:themeColor="background1" w:themeShade="D9"/>
              <w:right w:val="nil"/>
            </w:tcBorders>
            <w:shd w:val="clear" w:color="auto" w:fill="auto"/>
            <w:noWrap/>
            <w:vAlign w:val="center"/>
          </w:tcPr>
          <w:p w14:paraId="7E1FE489"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7500031</w:t>
            </w:r>
          </w:p>
        </w:tc>
        <w:tc>
          <w:tcPr>
            <w:tcW w:w="851" w:type="dxa"/>
            <w:tcBorders>
              <w:top w:val="single" w:sz="4" w:space="0" w:color="808080" w:themeColor="background1" w:themeShade="80"/>
              <w:left w:val="nil"/>
              <w:bottom w:val="single" w:sz="4" w:space="0" w:color="D9D9D9" w:themeColor="background1" w:themeShade="D9"/>
              <w:right w:val="nil"/>
            </w:tcBorders>
            <w:shd w:val="clear" w:color="auto" w:fill="auto"/>
            <w:noWrap/>
            <w:vAlign w:val="center"/>
          </w:tcPr>
          <w:p w14:paraId="288F4F76"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4233302</w:t>
            </w:r>
          </w:p>
        </w:tc>
        <w:tc>
          <w:tcPr>
            <w:tcW w:w="851" w:type="dxa"/>
            <w:tcBorders>
              <w:top w:val="single" w:sz="4" w:space="0" w:color="808080" w:themeColor="background1" w:themeShade="80"/>
              <w:left w:val="nil"/>
              <w:bottom w:val="single" w:sz="4" w:space="0" w:color="D9D9D9" w:themeColor="background1" w:themeShade="D9"/>
            </w:tcBorders>
            <w:shd w:val="clear" w:color="auto" w:fill="auto"/>
            <w:noWrap/>
            <w:vAlign w:val="center"/>
          </w:tcPr>
          <w:p w14:paraId="1CE826BB"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3266729</w:t>
            </w:r>
          </w:p>
        </w:tc>
        <w:tc>
          <w:tcPr>
            <w:tcW w:w="851" w:type="dxa"/>
            <w:tcBorders>
              <w:top w:val="single" w:sz="4" w:space="0" w:color="808080" w:themeColor="background1" w:themeShade="80"/>
              <w:left w:val="nil"/>
              <w:bottom w:val="single" w:sz="4" w:space="0" w:color="D9D9D9" w:themeColor="background1" w:themeShade="D9"/>
              <w:right w:val="nil"/>
            </w:tcBorders>
            <w:shd w:val="clear" w:color="auto" w:fill="auto"/>
            <w:noWrap/>
            <w:vAlign w:val="center"/>
          </w:tcPr>
          <w:p w14:paraId="112284A4"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7236519</w:t>
            </w:r>
          </w:p>
        </w:tc>
        <w:tc>
          <w:tcPr>
            <w:tcW w:w="851" w:type="dxa"/>
            <w:tcBorders>
              <w:top w:val="single" w:sz="4" w:space="0" w:color="808080" w:themeColor="background1" w:themeShade="80"/>
              <w:left w:val="nil"/>
              <w:bottom w:val="single" w:sz="4" w:space="0" w:color="D9D9D9" w:themeColor="background1" w:themeShade="D9"/>
              <w:right w:val="nil"/>
            </w:tcBorders>
            <w:shd w:val="clear" w:color="auto" w:fill="auto"/>
            <w:noWrap/>
            <w:vAlign w:val="center"/>
          </w:tcPr>
          <w:p w14:paraId="74473D99"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4275178</w:t>
            </w:r>
          </w:p>
        </w:tc>
        <w:tc>
          <w:tcPr>
            <w:tcW w:w="851" w:type="dxa"/>
            <w:tcBorders>
              <w:top w:val="single" w:sz="4" w:space="0" w:color="808080" w:themeColor="background1" w:themeShade="80"/>
              <w:left w:val="nil"/>
              <w:bottom w:val="single" w:sz="4" w:space="0" w:color="D9D9D9" w:themeColor="background1" w:themeShade="D9"/>
            </w:tcBorders>
            <w:shd w:val="clear" w:color="auto" w:fill="auto"/>
            <w:noWrap/>
            <w:vAlign w:val="center"/>
          </w:tcPr>
          <w:p w14:paraId="6C13155C"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2961341</w:t>
            </w:r>
          </w:p>
        </w:tc>
        <w:tc>
          <w:tcPr>
            <w:tcW w:w="851" w:type="dxa"/>
            <w:tcBorders>
              <w:top w:val="single" w:sz="4" w:space="0" w:color="808080" w:themeColor="background1" w:themeShade="80"/>
              <w:left w:val="nil"/>
              <w:bottom w:val="single" w:sz="4" w:space="0" w:color="D9D9D9" w:themeColor="background1" w:themeShade="D9"/>
              <w:right w:val="nil"/>
            </w:tcBorders>
            <w:shd w:val="clear" w:color="auto" w:fill="auto"/>
            <w:noWrap/>
            <w:vAlign w:val="center"/>
          </w:tcPr>
          <w:p w14:paraId="33275126"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6945235</w:t>
            </w:r>
          </w:p>
        </w:tc>
        <w:tc>
          <w:tcPr>
            <w:tcW w:w="851" w:type="dxa"/>
            <w:tcBorders>
              <w:top w:val="single" w:sz="4" w:space="0" w:color="808080" w:themeColor="background1" w:themeShade="80"/>
              <w:left w:val="nil"/>
              <w:bottom w:val="single" w:sz="4" w:space="0" w:color="D9D9D9" w:themeColor="background1" w:themeShade="D9"/>
              <w:right w:val="nil"/>
            </w:tcBorders>
            <w:shd w:val="clear" w:color="auto" w:fill="auto"/>
            <w:noWrap/>
            <w:vAlign w:val="center"/>
          </w:tcPr>
          <w:p w14:paraId="0660F9D9"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4240015</w:t>
            </w:r>
          </w:p>
        </w:tc>
        <w:tc>
          <w:tcPr>
            <w:tcW w:w="851" w:type="dxa"/>
            <w:tcBorders>
              <w:top w:val="single" w:sz="4" w:space="0" w:color="808080" w:themeColor="background1" w:themeShade="80"/>
              <w:left w:val="nil"/>
              <w:bottom w:val="single" w:sz="4" w:space="0" w:color="D9D9D9" w:themeColor="background1" w:themeShade="D9"/>
            </w:tcBorders>
            <w:shd w:val="clear" w:color="auto" w:fill="auto"/>
            <w:noWrap/>
            <w:vAlign w:val="center"/>
          </w:tcPr>
          <w:p w14:paraId="515DA18B"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2705220</w:t>
            </w:r>
          </w:p>
        </w:tc>
      </w:tr>
      <w:tr w:rsidR="008D5069" w:rsidRPr="00E409D0" w14:paraId="67D66EA3" w14:textId="77777777" w:rsidTr="007B78AB">
        <w:trPr>
          <w:trHeight w:val="20"/>
        </w:trPr>
        <w:tc>
          <w:tcPr>
            <w:tcW w:w="2552" w:type="dxa"/>
            <w:tcBorders>
              <w:top w:val="single" w:sz="4" w:space="0" w:color="D9D9D9" w:themeColor="background1" w:themeShade="D9"/>
              <w:left w:val="nil"/>
              <w:bottom w:val="single" w:sz="4" w:space="0" w:color="D9D9D9" w:themeColor="background1" w:themeShade="D9"/>
              <w:right w:val="single" w:sz="4" w:space="0" w:color="808080" w:themeColor="background1" w:themeShade="80"/>
            </w:tcBorders>
            <w:shd w:val="clear" w:color="auto" w:fill="auto"/>
            <w:vAlign w:val="center"/>
          </w:tcPr>
          <w:p w14:paraId="19170212" w14:textId="77777777" w:rsidR="008D5069" w:rsidRPr="008D5069" w:rsidRDefault="008D5069" w:rsidP="008D5069">
            <w:pPr>
              <w:spacing w:before="40" w:after="40"/>
              <w:rPr>
                <w:rFonts w:ascii="Arial" w:hAnsi="Arial" w:cs="Arial"/>
                <w:color w:val="000000"/>
                <w:sz w:val="16"/>
                <w:szCs w:val="16"/>
                <w:lang w:val="en-US"/>
              </w:rPr>
            </w:pPr>
            <w:proofErr w:type="spellStart"/>
            <w:r w:rsidRPr="008D5069">
              <w:rPr>
                <w:rFonts w:ascii="Arial" w:hAnsi="Arial" w:cs="Arial"/>
                <w:color w:val="000000"/>
                <w:sz w:val="16"/>
                <w:szCs w:val="16"/>
                <w:lang w:val="en-US"/>
              </w:rPr>
              <w:t>Удео</w:t>
            </w:r>
            <w:proofErr w:type="spellEnd"/>
            <w:r w:rsidRPr="008D5069">
              <w:rPr>
                <w:rFonts w:ascii="Arial" w:hAnsi="Arial" w:cs="Arial"/>
                <w:color w:val="000000"/>
                <w:sz w:val="16"/>
                <w:szCs w:val="16"/>
                <w:lang w:val="en-US"/>
              </w:rPr>
              <w:t xml:space="preserve"> у </w:t>
            </w:r>
            <w:proofErr w:type="spellStart"/>
            <w:r w:rsidRPr="008D5069">
              <w:rPr>
                <w:rFonts w:ascii="Arial" w:hAnsi="Arial" w:cs="Arial"/>
                <w:color w:val="000000"/>
                <w:sz w:val="16"/>
                <w:szCs w:val="16"/>
                <w:lang w:val="en-US"/>
              </w:rPr>
              <w:t>укупном</w:t>
            </w:r>
            <w:proofErr w:type="spellEnd"/>
            <w:r w:rsidRPr="008D5069">
              <w:rPr>
                <w:rFonts w:ascii="Arial" w:hAnsi="Arial" w:cs="Arial"/>
                <w:color w:val="000000"/>
                <w:sz w:val="16"/>
                <w:szCs w:val="16"/>
                <w:lang w:val="en-US"/>
              </w:rPr>
              <w:t xml:space="preserve"> (%)</w:t>
            </w:r>
          </w:p>
        </w:tc>
        <w:tc>
          <w:tcPr>
            <w:tcW w:w="851" w:type="dxa"/>
            <w:tcBorders>
              <w:top w:val="single" w:sz="4" w:space="0" w:color="D9D9D9" w:themeColor="background1" w:themeShade="D9"/>
              <w:left w:val="single" w:sz="4" w:space="0" w:color="808080" w:themeColor="background1" w:themeShade="80"/>
              <w:bottom w:val="single" w:sz="4" w:space="0" w:color="D9D9D9" w:themeColor="background1" w:themeShade="D9"/>
              <w:right w:val="nil"/>
            </w:tcBorders>
            <w:shd w:val="clear" w:color="auto" w:fill="auto"/>
            <w:noWrap/>
            <w:vAlign w:val="center"/>
          </w:tcPr>
          <w:p w14:paraId="22B72650"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100,0</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67458042"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56,4</w:t>
            </w:r>
          </w:p>
        </w:tc>
        <w:tc>
          <w:tcPr>
            <w:tcW w:w="851" w:type="dxa"/>
            <w:tcBorders>
              <w:top w:val="single" w:sz="4" w:space="0" w:color="D9D9D9" w:themeColor="background1" w:themeShade="D9"/>
              <w:left w:val="nil"/>
              <w:bottom w:val="single" w:sz="4" w:space="0" w:color="D9D9D9" w:themeColor="background1" w:themeShade="D9"/>
            </w:tcBorders>
            <w:shd w:val="clear" w:color="auto" w:fill="auto"/>
            <w:noWrap/>
            <w:vAlign w:val="center"/>
          </w:tcPr>
          <w:p w14:paraId="705662D4"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41,6</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3D1A4CB6"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100,0</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34FDB8F6"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59,1</w:t>
            </w:r>
          </w:p>
        </w:tc>
        <w:tc>
          <w:tcPr>
            <w:tcW w:w="851" w:type="dxa"/>
            <w:tcBorders>
              <w:top w:val="single" w:sz="4" w:space="0" w:color="D9D9D9" w:themeColor="background1" w:themeShade="D9"/>
              <w:left w:val="nil"/>
              <w:bottom w:val="single" w:sz="4" w:space="0" w:color="D9D9D9" w:themeColor="background1" w:themeShade="D9"/>
            </w:tcBorders>
            <w:shd w:val="clear" w:color="auto" w:fill="auto"/>
            <w:noWrap/>
            <w:vAlign w:val="center"/>
          </w:tcPr>
          <w:p w14:paraId="04AD7CDA"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40,9</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0E9B759D"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100,0</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7CFBC745"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61,0</w:t>
            </w:r>
          </w:p>
        </w:tc>
        <w:tc>
          <w:tcPr>
            <w:tcW w:w="851" w:type="dxa"/>
            <w:tcBorders>
              <w:top w:val="single" w:sz="4" w:space="0" w:color="D9D9D9" w:themeColor="background1" w:themeShade="D9"/>
              <w:left w:val="nil"/>
              <w:bottom w:val="single" w:sz="4" w:space="0" w:color="D9D9D9" w:themeColor="background1" w:themeShade="D9"/>
            </w:tcBorders>
            <w:shd w:val="clear" w:color="auto" w:fill="auto"/>
            <w:noWrap/>
            <w:vAlign w:val="center"/>
          </w:tcPr>
          <w:p w14:paraId="6218ADF5"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39,0</w:t>
            </w:r>
          </w:p>
        </w:tc>
      </w:tr>
      <w:tr w:rsidR="008D5069" w:rsidRPr="00E409D0" w14:paraId="6449FBDF" w14:textId="77777777" w:rsidTr="007B78AB">
        <w:trPr>
          <w:trHeight w:val="80"/>
        </w:trPr>
        <w:tc>
          <w:tcPr>
            <w:tcW w:w="2552" w:type="dxa"/>
            <w:tcBorders>
              <w:top w:val="single" w:sz="4" w:space="0" w:color="D9D9D9" w:themeColor="background1" w:themeShade="D9"/>
              <w:left w:val="nil"/>
              <w:bottom w:val="single" w:sz="4" w:space="0" w:color="D9D9D9" w:themeColor="background1" w:themeShade="D9"/>
              <w:right w:val="single" w:sz="4" w:space="0" w:color="808080" w:themeColor="background1" w:themeShade="80"/>
            </w:tcBorders>
            <w:shd w:val="clear" w:color="auto" w:fill="auto"/>
            <w:vAlign w:val="center"/>
          </w:tcPr>
          <w:p w14:paraId="285F4CDE" w14:textId="77777777" w:rsidR="008D5069" w:rsidRPr="008D5069" w:rsidRDefault="008D5069" w:rsidP="008D5069">
            <w:pPr>
              <w:spacing w:before="40" w:after="40"/>
              <w:rPr>
                <w:rFonts w:ascii="Arial" w:hAnsi="Arial" w:cs="Arial"/>
                <w:color w:val="000000"/>
                <w:sz w:val="16"/>
                <w:szCs w:val="16"/>
                <w:lang w:val="en-US"/>
              </w:rPr>
            </w:pPr>
            <w:proofErr w:type="spellStart"/>
            <w:r w:rsidRPr="008D5069">
              <w:rPr>
                <w:rFonts w:ascii="Arial" w:hAnsi="Arial" w:cs="Arial"/>
                <w:color w:val="000000"/>
                <w:sz w:val="16"/>
                <w:szCs w:val="16"/>
                <w:lang w:val="en-US"/>
              </w:rPr>
              <w:t>Просечна</w:t>
            </w:r>
            <w:proofErr w:type="spellEnd"/>
            <w:r w:rsidRPr="008D5069">
              <w:rPr>
                <w:rFonts w:ascii="Arial" w:hAnsi="Arial" w:cs="Arial"/>
                <w:color w:val="000000"/>
                <w:sz w:val="16"/>
                <w:szCs w:val="16"/>
                <w:lang w:val="en-US"/>
              </w:rPr>
              <w:t xml:space="preserve"> </w:t>
            </w:r>
            <w:proofErr w:type="spellStart"/>
            <w:r w:rsidRPr="008D5069">
              <w:rPr>
                <w:rFonts w:ascii="Arial" w:hAnsi="Arial" w:cs="Arial"/>
                <w:color w:val="000000"/>
                <w:sz w:val="16"/>
                <w:szCs w:val="16"/>
                <w:lang w:val="en-US"/>
              </w:rPr>
              <w:t>старост</w:t>
            </w:r>
            <w:proofErr w:type="spellEnd"/>
          </w:p>
        </w:tc>
        <w:tc>
          <w:tcPr>
            <w:tcW w:w="851" w:type="dxa"/>
            <w:tcBorders>
              <w:top w:val="single" w:sz="4" w:space="0" w:color="D9D9D9" w:themeColor="background1" w:themeShade="D9"/>
              <w:left w:val="single" w:sz="4" w:space="0" w:color="808080" w:themeColor="background1" w:themeShade="80"/>
              <w:bottom w:val="single" w:sz="4" w:space="0" w:color="D9D9D9" w:themeColor="background1" w:themeShade="D9"/>
              <w:right w:val="nil"/>
            </w:tcBorders>
            <w:shd w:val="clear" w:color="auto" w:fill="auto"/>
            <w:noWrap/>
            <w:vAlign w:val="center"/>
          </w:tcPr>
          <w:p w14:paraId="6B149878"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40,1</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102A19CD"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39,2</w:t>
            </w:r>
          </w:p>
        </w:tc>
        <w:tc>
          <w:tcPr>
            <w:tcW w:w="851" w:type="dxa"/>
            <w:tcBorders>
              <w:top w:val="single" w:sz="4" w:space="0" w:color="D9D9D9" w:themeColor="background1" w:themeShade="D9"/>
              <w:left w:val="nil"/>
              <w:bottom w:val="single" w:sz="4" w:space="0" w:color="D9D9D9" w:themeColor="background1" w:themeShade="D9"/>
            </w:tcBorders>
            <w:shd w:val="clear" w:color="auto" w:fill="auto"/>
            <w:noWrap/>
            <w:vAlign w:val="center"/>
          </w:tcPr>
          <w:p w14:paraId="3A2C77A8"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41,4</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56F74BFC"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42,1</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682AE839"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41,2</w:t>
            </w:r>
          </w:p>
        </w:tc>
        <w:tc>
          <w:tcPr>
            <w:tcW w:w="851" w:type="dxa"/>
            <w:tcBorders>
              <w:top w:val="single" w:sz="4" w:space="0" w:color="D9D9D9" w:themeColor="background1" w:themeShade="D9"/>
              <w:left w:val="nil"/>
              <w:bottom w:val="single" w:sz="4" w:space="0" w:color="D9D9D9" w:themeColor="background1" w:themeShade="D9"/>
            </w:tcBorders>
            <w:shd w:val="clear" w:color="auto" w:fill="auto"/>
            <w:noWrap/>
            <w:vAlign w:val="center"/>
          </w:tcPr>
          <w:p w14:paraId="511BBF34"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43,3</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30830855"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43,3</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2DE36192"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42,3</w:t>
            </w:r>
          </w:p>
        </w:tc>
        <w:tc>
          <w:tcPr>
            <w:tcW w:w="851" w:type="dxa"/>
            <w:tcBorders>
              <w:top w:val="single" w:sz="4" w:space="0" w:color="D9D9D9" w:themeColor="background1" w:themeShade="D9"/>
              <w:left w:val="nil"/>
              <w:bottom w:val="single" w:sz="4" w:space="0" w:color="D9D9D9" w:themeColor="background1" w:themeShade="D9"/>
            </w:tcBorders>
            <w:shd w:val="clear" w:color="auto" w:fill="auto"/>
            <w:noWrap/>
            <w:vAlign w:val="center"/>
          </w:tcPr>
          <w:p w14:paraId="0722FCD4"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44,9</w:t>
            </w:r>
          </w:p>
        </w:tc>
      </w:tr>
      <w:tr w:rsidR="008D5069" w:rsidRPr="00E409D0" w14:paraId="49F6F967" w14:textId="77777777" w:rsidTr="007B78AB">
        <w:trPr>
          <w:trHeight w:val="20"/>
        </w:trPr>
        <w:tc>
          <w:tcPr>
            <w:tcW w:w="2552" w:type="dxa"/>
            <w:tcBorders>
              <w:top w:val="single" w:sz="4" w:space="0" w:color="D9D9D9" w:themeColor="background1" w:themeShade="D9"/>
              <w:left w:val="nil"/>
              <w:bottom w:val="single" w:sz="4" w:space="0" w:color="D9D9D9" w:themeColor="background1" w:themeShade="D9"/>
              <w:right w:val="single" w:sz="4" w:space="0" w:color="808080" w:themeColor="background1" w:themeShade="80"/>
            </w:tcBorders>
            <w:shd w:val="clear" w:color="auto" w:fill="auto"/>
            <w:vAlign w:val="center"/>
          </w:tcPr>
          <w:p w14:paraId="05509652" w14:textId="77777777" w:rsidR="008D5069" w:rsidRPr="008D5069" w:rsidRDefault="008D5069" w:rsidP="008D5069">
            <w:pPr>
              <w:spacing w:before="40" w:after="40"/>
              <w:rPr>
                <w:rFonts w:ascii="Arial" w:hAnsi="Arial" w:cs="Arial"/>
                <w:color w:val="000000"/>
                <w:sz w:val="16"/>
                <w:szCs w:val="16"/>
                <w:lang w:val="en-US"/>
              </w:rPr>
            </w:pPr>
            <w:proofErr w:type="spellStart"/>
            <w:r w:rsidRPr="008D5069">
              <w:rPr>
                <w:rFonts w:ascii="Arial" w:hAnsi="Arial" w:cs="Arial"/>
                <w:color w:val="000000"/>
                <w:sz w:val="16"/>
                <w:szCs w:val="16"/>
                <w:lang w:val="en-US"/>
              </w:rPr>
              <w:t>Индекс</w:t>
            </w:r>
            <w:proofErr w:type="spellEnd"/>
            <w:r w:rsidRPr="008D5069">
              <w:rPr>
                <w:rFonts w:ascii="Arial" w:hAnsi="Arial" w:cs="Arial"/>
                <w:color w:val="000000"/>
                <w:sz w:val="16"/>
                <w:szCs w:val="16"/>
                <w:lang w:val="en-US"/>
              </w:rPr>
              <w:t xml:space="preserve"> </w:t>
            </w:r>
            <w:proofErr w:type="spellStart"/>
            <w:r w:rsidRPr="008D5069">
              <w:rPr>
                <w:rFonts w:ascii="Arial" w:hAnsi="Arial" w:cs="Arial"/>
                <w:color w:val="000000"/>
                <w:sz w:val="16"/>
                <w:szCs w:val="16"/>
                <w:lang w:val="en-US"/>
              </w:rPr>
              <w:t>старења</w:t>
            </w:r>
            <w:proofErr w:type="spellEnd"/>
          </w:p>
        </w:tc>
        <w:tc>
          <w:tcPr>
            <w:tcW w:w="851" w:type="dxa"/>
            <w:tcBorders>
              <w:top w:val="single" w:sz="4" w:space="0" w:color="D9D9D9" w:themeColor="background1" w:themeShade="D9"/>
              <w:left w:val="single" w:sz="4" w:space="0" w:color="808080" w:themeColor="background1" w:themeShade="80"/>
              <w:bottom w:val="single" w:sz="4" w:space="0" w:color="D9D9D9" w:themeColor="background1" w:themeShade="D9"/>
              <w:right w:val="nil"/>
            </w:tcBorders>
            <w:shd w:val="clear" w:color="auto" w:fill="auto"/>
            <w:noWrap/>
            <w:vAlign w:val="center"/>
          </w:tcPr>
          <w:p w14:paraId="7FA38860"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99,0</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3FB3BABE"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86,7</w:t>
            </w:r>
          </w:p>
        </w:tc>
        <w:tc>
          <w:tcPr>
            <w:tcW w:w="851" w:type="dxa"/>
            <w:tcBorders>
              <w:top w:val="single" w:sz="4" w:space="0" w:color="D9D9D9" w:themeColor="background1" w:themeShade="D9"/>
              <w:left w:val="nil"/>
              <w:bottom w:val="single" w:sz="4" w:space="0" w:color="D9D9D9" w:themeColor="background1" w:themeShade="D9"/>
            </w:tcBorders>
            <w:shd w:val="clear" w:color="auto" w:fill="auto"/>
            <w:noWrap/>
            <w:vAlign w:val="center"/>
          </w:tcPr>
          <w:p w14:paraId="6D0FEC34"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114,9</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16E57749"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121,9</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7C1DF0AD"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112,3</w:t>
            </w:r>
          </w:p>
        </w:tc>
        <w:tc>
          <w:tcPr>
            <w:tcW w:w="851" w:type="dxa"/>
            <w:tcBorders>
              <w:top w:val="single" w:sz="4" w:space="0" w:color="D9D9D9" w:themeColor="background1" w:themeShade="D9"/>
              <w:left w:val="nil"/>
              <w:bottom w:val="single" w:sz="4" w:space="0" w:color="D9D9D9" w:themeColor="background1" w:themeShade="D9"/>
            </w:tcBorders>
            <w:shd w:val="clear" w:color="auto" w:fill="auto"/>
            <w:noWrap/>
            <w:vAlign w:val="center"/>
          </w:tcPr>
          <w:p w14:paraId="23A70FCA"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136,0</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5B15846F"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144,1</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63867E2C"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128,7</w:t>
            </w:r>
          </w:p>
        </w:tc>
        <w:tc>
          <w:tcPr>
            <w:tcW w:w="851" w:type="dxa"/>
            <w:tcBorders>
              <w:top w:val="single" w:sz="4" w:space="0" w:color="D9D9D9" w:themeColor="background1" w:themeShade="D9"/>
              <w:left w:val="nil"/>
              <w:bottom w:val="single" w:sz="4" w:space="0" w:color="D9D9D9" w:themeColor="background1" w:themeShade="D9"/>
            </w:tcBorders>
            <w:shd w:val="clear" w:color="auto" w:fill="auto"/>
            <w:noWrap/>
            <w:vAlign w:val="center"/>
          </w:tcPr>
          <w:p w14:paraId="39A354BF"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171.0</w:t>
            </w:r>
          </w:p>
        </w:tc>
      </w:tr>
      <w:tr w:rsidR="008D5069" w:rsidRPr="00E409D0" w14:paraId="4355278E" w14:textId="77777777" w:rsidTr="007B78AB">
        <w:trPr>
          <w:trHeight w:val="20"/>
        </w:trPr>
        <w:tc>
          <w:tcPr>
            <w:tcW w:w="2552" w:type="dxa"/>
            <w:tcBorders>
              <w:top w:val="single" w:sz="4" w:space="0" w:color="D9D9D9" w:themeColor="background1" w:themeShade="D9"/>
              <w:left w:val="nil"/>
              <w:bottom w:val="single" w:sz="4" w:space="0" w:color="D9D9D9" w:themeColor="background1" w:themeShade="D9"/>
              <w:right w:val="single" w:sz="4" w:space="0" w:color="808080" w:themeColor="background1" w:themeShade="80"/>
            </w:tcBorders>
            <w:shd w:val="clear" w:color="auto" w:fill="auto"/>
            <w:vAlign w:val="center"/>
          </w:tcPr>
          <w:p w14:paraId="22CAD257" w14:textId="77777777" w:rsidR="008D5069" w:rsidRPr="008D5069" w:rsidRDefault="008D5069" w:rsidP="008D5069">
            <w:pPr>
              <w:spacing w:before="40" w:after="40"/>
              <w:rPr>
                <w:rFonts w:ascii="Arial" w:hAnsi="Arial" w:cs="Arial"/>
                <w:color w:val="000000"/>
                <w:sz w:val="16"/>
                <w:szCs w:val="16"/>
                <w:lang w:val="en-US"/>
              </w:rPr>
            </w:pPr>
            <w:proofErr w:type="spellStart"/>
            <w:r w:rsidRPr="008D5069">
              <w:rPr>
                <w:rFonts w:ascii="Arial" w:hAnsi="Arial" w:cs="Arial"/>
                <w:color w:val="000000"/>
                <w:sz w:val="16"/>
                <w:szCs w:val="16"/>
                <w:lang w:val="en-US"/>
              </w:rPr>
              <w:t>Коефицијент</w:t>
            </w:r>
            <w:proofErr w:type="spellEnd"/>
            <w:r w:rsidRPr="008D5069">
              <w:rPr>
                <w:rFonts w:ascii="Arial" w:hAnsi="Arial" w:cs="Arial"/>
                <w:color w:val="000000"/>
                <w:sz w:val="16"/>
                <w:szCs w:val="16"/>
                <w:lang w:val="en-US"/>
              </w:rPr>
              <w:t xml:space="preserve"> </w:t>
            </w:r>
            <w:proofErr w:type="spellStart"/>
            <w:r w:rsidRPr="008D5069">
              <w:rPr>
                <w:rFonts w:ascii="Arial" w:hAnsi="Arial" w:cs="Arial"/>
                <w:color w:val="000000"/>
                <w:sz w:val="16"/>
                <w:szCs w:val="16"/>
                <w:lang w:val="en-US"/>
              </w:rPr>
              <w:t>зависности</w:t>
            </w:r>
            <w:proofErr w:type="spellEnd"/>
            <w:r w:rsidRPr="008D5069">
              <w:rPr>
                <w:rFonts w:ascii="Arial" w:hAnsi="Arial" w:cs="Arial"/>
                <w:color w:val="000000"/>
                <w:sz w:val="16"/>
                <w:szCs w:val="16"/>
                <w:lang w:val="en-US"/>
              </w:rPr>
              <w:t xml:space="preserve"> </w:t>
            </w:r>
            <w:proofErr w:type="spellStart"/>
            <w:r w:rsidRPr="008D5069">
              <w:rPr>
                <w:rFonts w:ascii="Arial" w:hAnsi="Arial" w:cs="Arial"/>
                <w:color w:val="000000"/>
                <w:sz w:val="16"/>
                <w:szCs w:val="16"/>
                <w:lang w:val="en-US"/>
              </w:rPr>
              <w:t>старог</w:t>
            </w:r>
            <w:proofErr w:type="spellEnd"/>
            <w:r w:rsidRPr="008D5069">
              <w:rPr>
                <w:rFonts w:ascii="Arial" w:hAnsi="Arial" w:cs="Arial"/>
                <w:color w:val="000000"/>
                <w:sz w:val="16"/>
                <w:szCs w:val="16"/>
                <w:lang w:val="en-US"/>
              </w:rPr>
              <w:t xml:space="preserve"> </w:t>
            </w:r>
            <w:proofErr w:type="spellStart"/>
            <w:r w:rsidRPr="008D5069">
              <w:rPr>
                <w:rFonts w:ascii="Arial" w:hAnsi="Arial" w:cs="Arial"/>
                <w:color w:val="000000"/>
                <w:sz w:val="16"/>
                <w:szCs w:val="16"/>
                <w:lang w:val="en-US"/>
              </w:rPr>
              <w:t>становништва</w:t>
            </w:r>
            <w:proofErr w:type="spellEnd"/>
          </w:p>
        </w:tc>
        <w:tc>
          <w:tcPr>
            <w:tcW w:w="851" w:type="dxa"/>
            <w:tcBorders>
              <w:top w:val="single" w:sz="4" w:space="0" w:color="D9D9D9" w:themeColor="background1" w:themeShade="D9"/>
              <w:left w:val="single" w:sz="4" w:space="0" w:color="808080" w:themeColor="background1" w:themeShade="80"/>
              <w:bottom w:val="single" w:sz="4" w:space="0" w:color="D9D9D9" w:themeColor="background1" w:themeShade="D9"/>
              <w:right w:val="nil"/>
            </w:tcBorders>
            <w:shd w:val="clear" w:color="auto" w:fill="auto"/>
            <w:noWrap/>
            <w:vAlign w:val="center"/>
          </w:tcPr>
          <w:p w14:paraId="59F418FD"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24,7</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046F8365"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20,1</w:t>
            </w:r>
          </w:p>
        </w:tc>
        <w:tc>
          <w:tcPr>
            <w:tcW w:w="851" w:type="dxa"/>
            <w:tcBorders>
              <w:top w:val="single" w:sz="4" w:space="0" w:color="D9D9D9" w:themeColor="background1" w:themeShade="D9"/>
              <w:left w:val="nil"/>
              <w:bottom w:val="single" w:sz="4" w:space="0" w:color="D9D9D9" w:themeColor="background1" w:themeShade="D9"/>
            </w:tcBorders>
            <w:shd w:val="clear" w:color="auto" w:fill="auto"/>
            <w:noWrap/>
            <w:vAlign w:val="center"/>
          </w:tcPr>
          <w:p w14:paraId="4510793B"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31,4</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2407A779"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25,2</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54B09B08"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22,1</w:t>
            </w:r>
          </w:p>
        </w:tc>
        <w:tc>
          <w:tcPr>
            <w:tcW w:w="851" w:type="dxa"/>
            <w:tcBorders>
              <w:top w:val="single" w:sz="4" w:space="0" w:color="D9D9D9" w:themeColor="background1" w:themeShade="D9"/>
              <w:left w:val="nil"/>
              <w:bottom w:val="single" w:sz="4" w:space="0" w:color="D9D9D9" w:themeColor="background1" w:themeShade="D9"/>
            </w:tcBorders>
            <w:shd w:val="clear" w:color="auto" w:fill="auto"/>
            <w:noWrap/>
            <w:vAlign w:val="center"/>
          </w:tcPr>
          <w:p w14:paraId="16386617"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30,0</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0CB12E37"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31,8</w:t>
            </w:r>
          </w:p>
        </w:tc>
        <w:tc>
          <w:tcPr>
            <w:tcW w:w="851" w:type="dxa"/>
            <w:tcBorders>
              <w:top w:val="single" w:sz="4" w:space="0" w:color="D9D9D9" w:themeColor="background1" w:themeShade="D9"/>
              <w:left w:val="nil"/>
              <w:bottom w:val="single" w:sz="4" w:space="0" w:color="D9D9D9" w:themeColor="background1" w:themeShade="D9"/>
              <w:right w:val="nil"/>
            </w:tcBorders>
            <w:shd w:val="clear" w:color="auto" w:fill="auto"/>
            <w:noWrap/>
            <w:vAlign w:val="center"/>
          </w:tcPr>
          <w:p w14:paraId="0446ADC1"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29,1</w:t>
            </w:r>
          </w:p>
        </w:tc>
        <w:tc>
          <w:tcPr>
            <w:tcW w:w="851" w:type="dxa"/>
            <w:tcBorders>
              <w:top w:val="single" w:sz="4" w:space="0" w:color="D9D9D9" w:themeColor="background1" w:themeShade="D9"/>
              <w:left w:val="nil"/>
              <w:bottom w:val="single" w:sz="4" w:space="0" w:color="D9D9D9" w:themeColor="background1" w:themeShade="D9"/>
            </w:tcBorders>
            <w:shd w:val="clear" w:color="auto" w:fill="auto"/>
            <w:noWrap/>
            <w:vAlign w:val="center"/>
          </w:tcPr>
          <w:p w14:paraId="26847A50"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36,2</w:t>
            </w:r>
          </w:p>
        </w:tc>
      </w:tr>
      <w:tr w:rsidR="008D5069" w:rsidRPr="00E409D0" w14:paraId="2862FA2F" w14:textId="77777777" w:rsidTr="007B78AB">
        <w:trPr>
          <w:trHeight w:val="20"/>
        </w:trPr>
        <w:tc>
          <w:tcPr>
            <w:tcW w:w="2552" w:type="dxa"/>
            <w:tcBorders>
              <w:top w:val="single" w:sz="4" w:space="0" w:color="D9D9D9" w:themeColor="background1" w:themeShade="D9"/>
              <w:left w:val="nil"/>
              <w:bottom w:val="single" w:sz="4" w:space="0" w:color="808080" w:themeColor="background1" w:themeShade="80"/>
              <w:right w:val="single" w:sz="4" w:space="0" w:color="808080" w:themeColor="background1" w:themeShade="80"/>
            </w:tcBorders>
            <w:shd w:val="clear" w:color="auto" w:fill="auto"/>
            <w:vAlign w:val="center"/>
          </w:tcPr>
          <w:p w14:paraId="34DB39EB" w14:textId="77777777" w:rsidR="008D5069" w:rsidRPr="008D5069" w:rsidRDefault="008D5069" w:rsidP="008D5069">
            <w:pPr>
              <w:spacing w:before="40" w:after="40"/>
              <w:rPr>
                <w:rFonts w:ascii="Arial" w:hAnsi="Arial" w:cs="Arial"/>
                <w:color w:val="000000"/>
                <w:sz w:val="16"/>
                <w:szCs w:val="16"/>
                <w:lang w:val="en-US"/>
              </w:rPr>
            </w:pPr>
            <w:proofErr w:type="spellStart"/>
            <w:r w:rsidRPr="008D5069">
              <w:rPr>
                <w:rFonts w:ascii="Arial" w:hAnsi="Arial" w:cs="Arial"/>
                <w:color w:val="000000"/>
                <w:sz w:val="16"/>
                <w:szCs w:val="16"/>
                <w:lang w:val="en-US"/>
              </w:rPr>
              <w:t>Фертилни</w:t>
            </w:r>
            <w:proofErr w:type="spellEnd"/>
            <w:r w:rsidRPr="008D5069">
              <w:rPr>
                <w:rFonts w:ascii="Arial" w:hAnsi="Arial" w:cs="Arial"/>
                <w:color w:val="000000"/>
                <w:sz w:val="16"/>
                <w:szCs w:val="16"/>
                <w:lang w:val="en-US"/>
              </w:rPr>
              <w:t xml:space="preserve"> </w:t>
            </w:r>
            <w:proofErr w:type="spellStart"/>
            <w:r w:rsidRPr="008D5069">
              <w:rPr>
                <w:rFonts w:ascii="Arial" w:hAnsi="Arial" w:cs="Arial"/>
                <w:color w:val="000000"/>
                <w:sz w:val="16"/>
                <w:szCs w:val="16"/>
                <w:lang w:val="en-US"/>
              </w:rPr>
              <w:t>контингент</w:t>
            </w:r>
            <w:proofErr w:type="spellEnd"/>
          </w:p>
        </w:tc>
        <w:tc>
          <w:tcPr>
            <w:tcW w:w="851" w:type="dxa"/>
            <w:tcBorders>
              <w:top w:val="single" w:sz="4" w:space="0" w:color="D9D9D9" w:themeColor="background1" w:themeShade="D9"/>
              <w:left w:val="single" w:sz="4" w:space="0" w:color="808080" w:themeColor="background1" w:themeShade="80"/>
              <w:bottom w:val="single" w:sz="4" w:space="0" w:color="808080" w:themeColor="background1" w:themeShade="80"/>
              <w:right w:val="nil"/>
            </w:tcBorders>
            <w:shd w:val="clear" w:color="auto" w:fill="auto"/>
            <w:noWrap/>
            <w:vAlign w:val="center"/>
          </w:tcPr>
          <w:p w14:paraId="5949C336"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24,1</w:t>
            </w:r>
          </w:p>
        </w:tc>
        <w:tc>
          <w:tcPr>
            <w:tcW w:w="851" w:type="dxa"/>
            <w:tcBorders>
              <w:top w:val="single" w:sz="4" w:space="0" w:color="D9D9D9" w:themeColor="background1" w:themeShade="D9"/>
              <w:left w:val="nil"/>
              <w:bottom w:val="single" w:sz="4" w:space="0" w:color="808080" w:themeColor="background1" w:themeShade="80"/>
              <w:right w:val="nil"/>
            </w:tcBorders>
            <w:shd w:val="clear" w:color="auto" w:fill="auto"/>
            <w:noWrap/>
            <w:vAlign w:val="center"/>
          </w:tcPr>
          <w:p w14:paraId="7DD2DC75"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26,1</w:t>
            </w:r>
          </w:p>
        </w:tc>
        <w:tc>
          <w:tcPr>
            <w:tcW w:w="851" w:type="dxa"/>
            <w:tcBorders>
              <w:top w:val="single" w:sz="4" w:space="0" w:color="D9D9D9" w:themeColor="background1" w:themeShade="D9"/>
              <w:left w:val="nil"/>
              <w:bottom w:val="single" w:sz="4" w:space="0" w:color="808080" w:themeColor="background1" w:themeShade="80"/>
            </w:tcBorders>
            <w:shd w:val="clear" w:color="auto" w:fill="auto"/>
            <w:noWrap/>
            <w:vAlign w:val="center"/>
          </w:tcPr>
          <w:p w14:paraId="1D607FA6"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21,6</w:t>
            </w:r>
          </w:p>
        </w:tc>
        <w:tc>
          <w:tcPr>
            <w:tcW w:w="851" w:type="dxa"/>
            <w:tcBorders>
              <w:top w:val="single" w:sz="4" w:space="0" w:color="D9D9D9" w:themeColor="background1" w:themeShade="D9"/>
              <w:left w:val="nil"/>
              <w:bottom w:val="single" w:sz="4" w:space="0" w:color="808080" w:themeColor="background1" w:themeShade="80"/>
              <w:right w:val="nil"/>
            </w:tcBorders>
            <w:shd w:val="clear" w:color="auto" w:fill="auto"/>
            <w:noWrap/>
            <w:vAlign w:val="center"/>
          </w:tcPr>
          <w:p w14:paraId="1A0DC29F"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22,6</w:t>
            </w:r>
          </w:p>
        </w:tc>
        <w:tc>
          <w:tcPr>
            <w:tcW w:w="851" w:type="dxa"/>
            <w:tcBorders>
              <w:top w:val="single" w:sz="4" w:space="0" w:color="D9D9D9" w:themeColor="background1" w:themeShade="D9"/>
              <w:left w:val="nil"/>
              <w:bottom w:val="single" w:sz="4" w:space="0" w:color="808080" w:themeColor="background1" w:themeShade="80"/>
              <w:right w:val="nil"/>
            </w:tcBorders>
            <w:shd w:val="clear" w:color="auto" w:fill="auto"/>
            <w:noWrap/>
            <w:vAlign w:val="center"/>
          </w:tcPr>
          <w:p w14:paraId="1CF013E6"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24,0</w:t>
            </w:r>
          </w:p>
        </w:tc>
        <w:tc>
          <w:tcPr>
            <w:tcW w:w="851" w:type="dxa"/>
            <w:tcBorders>
              <w:top w:val="single" w:sz="4" w:space="0" w:color="D9D9D9" w:themeColor="background1" w:themeShade="D9"/>
              <w:left w:val="nil"/>
              <w:bottom w:val="single" w:sz="4" w:space="0" w:color="808080" w:themeColor="background1" w:themeShade="80"/>
            </w:tcBorders>
            <w:shd w:val="clear" w:color="auto" w:fill="auto"/>
            <w:noWrap/>
            <w:vAlign w:val="center"/>
          </w:tcPr>
          <w:p w14:paraId="413812A1"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20,5</w:t>
            </w:r>
          </w:p>
        </w:tc>
        <w:tc>
          <w:tcPr>
            <w:tcW w:w="851" w:type="dxa"/>
            <w:tcBorders>
              <w:top w:val="single" w:sz="4" w:space="0" w:color="D9D9D9" w:themeColor="background1" w:themeShade="D9"/>
              <w:left w:val="nil"/>
              <w:bottom w:val="single" w:sz="4" w:space="0" w:color="808080" w:themeColor="background1" w:themeShade="80"/>
              <w:right w:val="nil"/>
            </w:tcBorders>
            <w:shd w:val="clear" w:color="auto" w:fill="auto"/>
            <w:noWrap/>
            <w:vAlign w:val="center"/>
          </w:tcPr>
          <w:p w14:paraId="1F2F8D8C"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21,7</w:t>
            </w:r>
          </w:p>
        </w:tc>
        <w:tc>
          <w:tcPr>
            <w:tcW w:w="851" w:type="dxa"/>
            <w:tcBorders>
              <w:top w:val="single" w:sz="4" w:space="0" w:color="D9D9D9" w:themeColor="background1" w:themeShade="D9"/>
              <w:left w:val="nil"/>
              <w:bottom w:val="single" w:sz="4" w:space="0" w:color="808080" w:themeColor="background1" w:themeShade="80"/>
              <w:right w:val="nil"/>
            </w:tcBorders>
            <w:shd w:val="clear" w:color="auto" w:fill="auto"/>
            <w:noWrap/>
            <w:vAlign w:val="center"/>
          </w:tcPr>
          <w:p w14:paraId="7E55EC47"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22,9</w:t>
            </w:r>
          </w:p>
        </w:tc>
        <w:tc>
          <w:tcPr>
            <w:tcW w:w="851" w:type="dxa"/>
            <w:tcBorders>
              <w:top w:val="single" w:sz="4" w:space="0" w:color="D9D9D9" w:themeColor="background1" w:themeShade="D9"/>
              <w:left w:val="nil"/>
              <w:bottom w:val="single" w:sz="4" w:space="0" w:color="808080" w:themeColor="background1" w:themeShade="80"/>
            </w:tcBorders>
            <w:shd w:val="clear" w:color="auto" w:fill="auto"/>
            <w:noWrap/>
            <w:vAlign w:val="center"/>
          </w:tcPr>
          <w:p w14:paraId="41565761" w14:textId="77777777" w:rsidR="008D5069" w:rsidRPr="008D5069" w:rsidRDefault="008D5069" w:rsidP="008D5069">
            <w:pPr>
              <w:spacing w:before="40" w:after="40"/>
              <w:ind w:right="57"/>
              <w:jc w:val="right"/>
              <w:rPr>
                <w:rFonts w:ascii="Arial" w:hAnsi="Arial" w:cs="Arial"/>
                <w:sz w:val="16"/>
                <w:szCs w:val="16"/>
                <w:lang w:val="en-US"/>
              </w:rPr>
            </w:pPr>
            <w:r w:rsidRPr="008D5069">
              <w:rPr>
                <w:rFonts w:ascii="Arial" w:hAnsi="Arial" w:cs="Arial"/>
                <w:sz w:val="16"/>
                <w:szCs w:val="16"/>
                <w:lang w:val="en-US"/>
              </w:rPr>
              <w:t>19,9</w:t>
            </w:r>
          </w:p>
        </w:tc>
      </w:tr>
    </w:tbl>
    <w:p w14:paraId="78249DA9" w14:textId="66CCD82E" w:rsidR="008D5069" w:rsidRPr="0071026F" w:rsidRDefault="005C1CEA" w:rsidP="00BA42DF">
      <w:pPr>
        <w:spacing w:before="120"/>
        <w:jc w:val="both"/>
        <w:rPr>
          <w:rFonts w:ascii="Arial" w:hAnsi="Arial" w:cs="Arial"/>
          <w:sz w:val="20"/>
          <w:szCs w:val="20"/>
        </w:rPr>
      </w:pPr>
      <w:r w:rsidRPr="0071026F">
        <w:rPr>
          <w:rFonts w:ascii="Arial" w:hAnsi="Arial" w:cs="Arial"/>
          <w:sz w:val="20"/>
          <w:szCs w:val="20"/>
        </w:rPr>
        <w:t xml:space="preserve">Посматрано на нижем територијалном нивоу, у само </w:t>
      </w:r>
      <w:r w:rsidRPr="00882DF9">
        <w:rPr>
          <w:rFonts w:ascii="Arial" w:hAnsi="Arial" w:cs="Arial"/>
          <w:sz w:val="20"/>
          <w:szCs w:val="20"/>
        </w:rPr>
        <w:t>осам</w:t>
      </w:r>
      <w:r w:rsidRPr="0071026F">
        <w:rPr>
          <w:rFonts w:ascii="Arial" w:hAnsi="Arial" w:cs="Arial"/>
          <w:sz w:val="20"/>
          <w:szCs w:val="20"/>
        </w:rPr>
        <w:t xml:space="preserve"> области доминира становништво</w:t>
      </w:r>
      <w:r w:rsidR="000F3702">
        <w:rPr>
          <w:rFonts w:ascii="Arial" w:hAnsi="Arial" w:cs="Arial"/>
          <w:sz w:val="20"/>
          <w:szCs w:val="20"/>
        </w:rPr>
        <w:t xml:space="preserve"> осталих насеља</w:t>
      </w:r>
      <w:r w:rsidRPr="0071026F">
        <w:rPr>
          <w:rFonts w:ascii="Arial" w:hAnsi="Arial" w:cs="Arial"/>
          <w:sz w:val="20"/>
          <w:szCs w:val="20"/>
        </w:rPr>
        <w:t xml:space="preserve"> (</w:t>
      </w:r>
      <w:r w:rsidR="003258CD" w:rsidRPr="0071026F">
        <w:rPr>
          <w:rFonts w:ascii="Arial" w:hAnsi="Arial" w:cs="Arial"/>
          <w:sz w:val="20"/>
          <w:szCs w:val="20"/>
        </w:rPr>
        <w:t xml:space="preserve">Мачванска, Расинска, Браничевска, Сремска, Колубарска, Јабланичка, Пчињска и </w:t>
      </w:r>
      <w:r w:rsidRPr="0071026F">
        <w:rPr>
          <w:rFonts w:ascii="Arial" w:hAnsi="Arial" w:cs="Arial"/>
          <w:sz w:val="20"/>
          <w:szCs w:val="20"/>
        </w:rPr>
        <w:t>Поморавска област)</w:t>
      </w:r>
      <w:r w:rsidR="00C729FB" w:rsidRPr="0071026F">
        <w:rPr>
          <w:rFonts w:ascii="Arial" w:hAnsi="Arial" w:cs="Arial"/>
          <w:sz w:val="20"/>
          <w:szCs w:val="20"/>
        </w:rPr>
        <w:t>.</w:t>
      </w:r>
    </w:p>
    <w:p w14:paraId="2FC14C44" w14:textId="77777777" w:rsidR="00AC1CBA" w:rsidRPr="00043EAD" w:rsidRDefault="00AC1CBA" w:rsidP="00532D75">
      <w:pPr>
        <w:spacing w:before="360"/>
        <w:jc w:val="both"/>
        <w:rPr>
          <w:rFonts w:ascii="Arial" w:hAnsi="Arial" w:cs="Arial"/>
          <w:b/>
          <w:sz w:val="20"/>
          <w:szCs w:val="20"/>
        </w:rPr>
      </w:pPr>
      <w:r w:rsidRPr="00043EAD">
        <w:rPr>
          <w:rFonts w:ascii="Arial" w:hAnsi="Arial" w:cs="Arial"/>
          <w:b/>
          <w:sz w:val="20"/>
          <w:szCs w:val="20"/>
        </w:rPr>
        <w:lastRenderedPageBreak/>
        <w:t>Методолошка објашњења</w:t>
      </w:r>
    </w:p>
    <w:p w14:paraId="25978786" w14:textId="77777777" w:rsidR="00AC1CBA" w:rsidRPr="00043EAD" w:rsidRDefault="00AC1CBA" w:rsidP="00E07163">
      <w:pPr>
        <w:shd w:val="clear" w:color="auto" w:fill="FFFFFF"/>
        <w:spacing w:before="360" w:after="120" w:line="288" w:lineRule="auto"/>
        <w:jc w:val="both"/>
        <w:rPr>
          <w:rFonts w:ascii="Arial" w:hAnsi="Arial" w:cs="Arial"/>
          <w:sz w:val="20"/>
          <w:szCs w:val="20"/>
        </w:rPr>
      </w:pPr>
      <w:r w:rsidRPr="00043EAD">
        <w:rPr>
          <w:rFonts w:ascii="Arial" w:hAnsi="Arial" w:cs="Arial"/>
          <w:sz w:val="20"/>
          <w:szCs w:val="20"/>
        </w:rPr>
        <w:t>Процене становништва се израђују за пописну годину и послепописне године и засноване су на резултатима пописа становништва и резултатима обраде статистике природног и механичког кретања становништва (унутрашње миграције)</w:t>
      </w:r>
      <w:r w:rsidR="00C729FB" w:rsidRPr="00043EAD">
        <w:rPr>
          <w:rFonts w:ascii="Arial" w:hAnsi="Arial" w:cs="Arial"/>
          <w:sz w:val="20"/>
          <w:szCs w:val="20"/>
        </w:rPr>
        <w:t>. У општинама Прешево и Бујановац забележен је смањен обухват јединица пописа услед бојкота од стране већине припадника албанске националне заједнице, те полазну основу за израчунавање процењеног броја становника за ове општине представља процена међународног експертског тима о броју уобичајеног становништва у време Пописа 2011.</w:t>
      </w:r>
    </w:p>
    <w:p w14:paraId="4136E9B6" w14:textId="77777777" w:rsidR="006A4718" w:rsidRPr="00043EAD" w:rsidRDefault="0074655C" w:rsidP="00E07163">
      <w:pPr>
        <w:spacing w:before="120" w:after="120" w:line="288" w:lineRule="auto"/>
        <w:jc w:val="both"/>
        <w:rPr>
          <w:rFonts w:ascii="Arial" w:hAnsi="Arial" w:cs="Arial"/>
          <w:sz w:val="20"/>
          <w:szCs w:val="20"/>
        </w:rPr>
      </w:pPr>
      <w:r w:rsidRPr="00043EAD">
        <w:rPr>
          <w:rStyle w:val="Strong"/>
          <w:rFonts w:ascii="Arial" w:hAnsi="Arial" w:cs="Arial"/>
          <w:sz w:val="20"/>
          <w:szCs w:val="20"/>
        </w:rPr>
        <w:t>Стопа</w:t>
      </w:r>
      <w:r w:rsidR="006A4718" w:rsidRPr="00043EAD">
        <w:rPr>
          <w:rStyle w:val="Strong"/>
          <w:rFonts w:ascii="Arial" w:hAnsi="Arial" w:cs="Arial"/>
          <w:sz w:val="20"/>
          <w:szCs w:val="20"/>
        </w:rPr>
        <w:t xml:space="preserve"> раста становништва</w:t>
      </w:r>
      <w:r w:rsidR="006A4718" w:rsidRPr="00043EAD">
        <w:rPr>
          <w:rFonts w:ascii="Arial" w:hAnsi="Arial" w:cs="Arial"/>
          <w:sz w:val="20"/>
          <w:szCs w:val="20"/>
        </w:rPr>
        <w:t xml:space="preserve"> </w:t>
      </w:r>
      <w:r w:rsidRPr="00043EAD">
        <w:rPr>
          <w:rFonts w:ascii="Arial" w:hAnsi="Arial" w:cs="Arial"/>
          <w:sz w:val="20"/>
          <w:szCs w:val="20"/>
        </w:rPr>
        <w:t xml:space="preserve">је експоненцијална стопа која се рачуна по формули </w:t>
      </w:r>
      <w:r w:rsidRPr="00043EAD">
        <w:rPr>
          <w:rFonts w:ascii="Arial" w:hAnsi="Arial" w:cs="Arial"/>
          <w:sz w:val="20"/>
          <w:szCs w:val="20"/>
          <w:lang w:val="sr-Latn-RS"/>
        </w:rPr>
        <w:t>ln(P</w:t>
      </w:r>
      <w:r w:rsidRPr="00043EAD">
        <w:rPr>
          <w:rFonts w:ascii="Arial" w:hAnsi="Arial" w:cs="Arial"/>
          <w:sz w:val="20"/>
          <w:szCs w:val="20"/>
          <w:vertAlign w:val="subscript"/>
          <w:lang w:val="sr-Latn-RS"/>
        </w:rPr>
        <w:t>t</w:t>
      </w:r>
      <w:r w:rsidRPr="00043EAD">
        <w:rPr>
          <w:rFonts w:ascii="Arial" w:hAnsi="Arial" w:cs="Arial"/>
          <w:sz w:val="20"/>
          <w:szCs w:val="20"/>
          <w:lang w:val="sr-Latn-RS"/>
        </w:rPr>
        <w:t>/P</w:t>
      </w:r>
      <w:r w:rsidRPr="00043EAD">
        <w:rPr>
          <w:rFonts w:ascii="Arial" w:hAnsi="Arial" w:cs="Arial"/>
          <w:sz w:val="20"/>
          <w:szCs w:val="20"/>
          <w:vertAlign w:val="subscript"/>
          <w:lang w:val="sr-Latn-RS"/>
        </w:rPr>
        <w:t xml:space="preserve"> t</w:t>
      </w:r>
      <w:r w:rsidRPr="00043EAD">
        <w:rPr>
          <w:rFonts w:ascii="Arial" w:hAnsi="Arial" w:cs="Arial"/>
          <w:sz w:val="20"/>
          <w:szCs w:val="20"/>
          <w:vertAlign w:val="subscript"/>
        </w:rPr>
        <w:t>-1</w:t>
      </w:r>
      <w:r w:rsidRPr="00043EAD">
        <w:rPr>
          <w:rFonts w:ascii="Arial" w:hAnsi="Arial" w:cs="Arial"/>
          <w:sz w:val="20"/>
          <w:szCs w:val="20"/>
          <w:lang w:val="sr-Latn-RS"/>
        </w:rPr>
        <w:t>)</w:t>
      </w:r>
      <w:r w:rsidR="00E967F1">
        <w:rPr>
          <w:rFonts w:ascii="Arial" w:hAnsi="Arial" w:cs="Arial"/>
          <w:sz w:val="20"/>
          <w:szCs w:val="20"/>
        </w:rPr>
        <w:t>,</w:t>
      </w:r>
      <w:r w:rsidRPr="00043EAD">
        <w:rPr>
          <w:rFonts w:ascii="Arial" w:hAnsi="Arial" w:cs="Arial"/>
          <w:sz w:val="20"/>
          <w:szCs w:val="20"/>
          <w:lang w:val="sr-Latn-RS"/>
        </w:rPr>
        <w:t xml:space="preserve"> </w:t>
      </w:r>
      <w:r w:rsidRPr="00043EAD">
        <w:rPr>
          <w:rFonts w:ascii="Arial" w:hAnsi="Arial" w:cs="Arial"/>
          <w:sz w:val="20"/>
          <w:szCs w:val="20"/>
        </w:rPr>
        <w:t xml:space="preserve">где су </w:t>
      </w:r>
      <w:r w:rsidRPr="00043EAD">
        <w:rPr>
          <w:rFonts w:ascii="Arial" w:hAnsi="Arial" w:cs="Arial"/>
          <w:sz w:val="20"/>
          <w:szCs w:val="20"/>
          <w:lang w:val="sr-Latn-RS"/>
        </w:rPr>
        <w:t>P</w:t>
      </w:r>
      <w:r w:rsidRPr="00043EAD">
        <w:rPr>
          <w:rFonts w:ascii="Arial" w:hAnsi="Arial" w:cs="Arial"/>
          <w:sz w:val="20"/>
          <w:szCs w:val="20"/>
          <w:vertAlign w:val="subscript"/>
          <w:lang w:val="sr-Latn-RS"/>
        </w:rPr>
        <w:t>t</w:t>
      </w:r>
      <w:r w:rsidRPr="00043EAD">
        <w:rPr>
          <w:rFonts w:ascii="Arial" w:hAnsi="Arial" w:cs="Arial"/>
          <w:sz w:val="20"/>
          <w:szCs w:val="20"/>
        </w:rPr>
        <w:t xml:space="preserve"> и </w:t>
      </w:r>
      <w:r w:rsidRPr="00043EAD">
        <w:rPr>
          <w:rFonts w:ascii="Arial" w:hAnsi="Arial" w:cs="Arial"/>
          <w:sz w:val="20"/>
          <w:szCs w:val="20"/>
          <w:lang w:val="sr-Latn-RS"/>
        </w:rPr>
        <w:t>P</w:t>
      </w:r>
      <w:r w:rsidRPr="00043EAD">
        <w:rPr>
          <w:rFonts w:ascii="Arial" w:hAnsi="Arial" w:cs="Arial"/>
          <w:sz w:val="20"/>
          <w:szCs w:val="20"/>
          <w:vertAlign w:val="subscript"/>
          <w:lang w:val="sr-Latn-RS"/>
        </w:rPr>
        <w:t xml:space="preserve"> t</w:t>
      </w:r>
      <w:r w:rsidRPr="00043EAD">
        <w:rPr>
          <w:rFonts w:ascii="Arial" w:hAnsi="Arial" w:cs="Arial"/>
          <w:sz w:val="20"/>
          <w:szCs w:val="20"/>
          <w:vertAlign w:val="subscript"/>
        </w:rPr>
        <w:t>-1</w:t>
      </w:r>
      <w:r w:rsidR="001F538D" w:rsidRPr="00043EAD">
        <w:rPr>
          <w:rFonts w:ascii="Arial" w:hAnsi="Arial" w:cs="Arial"/>
          <w:sz w:val="20"/>
          <w:szCs w:val="20"/>
        </w:rPr>
        <w:t xml:space="preserve"> вредности просечног процењеног броја становника у години</w:t>
      </w:r>
      <w:r w:rsidR="001F538D" w:rsidRPr="00043EAD">
        <w:rPr>
          <w:rFonts w:ascii="Arial" w:hAnsi="Arial" w:cs="Arial"/>
          <w:sz w:val="20"/>
          <w:szCs w:val="20"/>
          <w:lang w:val="sr-Latn-RS"/>
        </w:rPr>
        <w:t xml:space="preserve"> </w:t>
      </w:r>
      <w:r w:rsidR="001F538D" w:rsidRPr="00043EAD">
        <w:rPr>
          <w:rFonts w:ascii="Arial" w:hAnsi="Arial" w:cs="Arial"/>
          <w:b/>
          <w:sz w:val="20"/>
          <w:szCs w:val="20"/>
          <w:lang w:val="sr-Latn-RS"/>
        </w:rPr>
        <w:t>t</w:t>
      </w:r>
      <w:r w:rsidR="001F538D" w:rsidRPr="00043EAD">
        <w:rPr>
          <w:rFonts w:ascii="Arial" w:hAnsi="Arial" w:cs="Arial"/>
          <w:sz w:val="20"/>
          <w:szCs w:val="20"/>
        </w:rPr>
        <w:t xml:space="preserve"> и </w:t>
      </w:r>
      <w:r w:rsidR="001F538D" w:rsidRPr="00043EAD">
        <w:rPr>
          <w:rFonts w:ascii="Arial" w:hAnsi="Arial" w:cs="Arial"/>
          <w:b/>
          <w:sz w:val="20"/>
          <w:szCs w:val="20"/>
          <w:lang w:val="sr-Latn-RS"/>
        </w:rPr>
        <w:t>t-1</w:t>
      </w:r>
      <w:r w:rsidR="006A4718" w:rsidRPr="00043EAD">
        <w:rPr>
          <w:rFonts w:ascii="Arial" w:hAnsi="Arial" w:cs="Arial"/>
          <w:sz w:val="20"/>
          <w:szCs w:val="20"/>
        </w:rPr>
        <w:t>; вредност је изражена на 1000 становника.</w:t>
      </w:r>
    </w:p>
    <w:p w14:paraId="72B0B046" w14:textId="77777777" w:rsidR="006A4718" w:rsidRPr="00043EAD" w:rsidRDefault="006A4718" w:rsidP="00E07163">
      <w:pPr>
        <w:spacing w:before="120" w:after="120" w:line="288" w:lineRule="auto"/>
        <w:jc w:val="both"/>
        <w:rPr>
          <w:rFonts w:ascii="Arial" w:hAnsi="Arial" w:cs="Arial"/>
          <w:sz w:val="20"/>
          <w:szCs w:val="20"/>
        </w:rPr>
      </w:pPr>
      <w:r w:rsidRPr="00043EAD">
        <w:rPr>
          <w:rStyle w:val="Strong"/>
          <w:rFonts w:ascii="Arial" w:hAnsi="Arial" w:cs="Arial"/>
          <w:sz w:val="20"/>
          <w:szCs w:val="20"/>
        </w:rPr>
        <w:t>Индекс старења становништва</w:t>
      </w:r>
      <w:r w:rsidRPr="00043EAD">
        <w:rPr>
          <w:rFonts w:ascii="Arial" w:hAnsi="Arial" w:cs="Arial"/>
          <w:sz w:val="20"/>
          <w:szCs w:val="20"/>
        </w:rPr>
        <w:t xml:space="preserve"> представља однос становништва старог 60 и више година и становништва старог од 0 до 19 година, процењеног средином године посматрања.</w:t>
      </w:r>
    </w:p>
    <w:p w14:paraId="7F67605E" w14:textId="77777777" w:rsidR="006A4718" w:rsidRPr="00043EAD" w:rsidRDefault="006A4718" w:rsidP="00E07163">
      <w:pPr>
        <w:spacing w:before="120" w:after="120" w:line="288" w:lineRule="auto"/>
        <w:jc w:val="both"/>
        <w:rPr>
          <w:rFonts w:ascii="Arial" w:hAnsi="Arial" w:cs="Arial"/>
          <w:sz w:val="20"/>
          <w:szCs w:val="20"/>
        </w:rPr>
      </w:pPr>
      <w:r w:rsidRPr="00043EAD">
        <w:rPr>
          <w:rStyle w:val="Strong"/>
          <w:rFonts w:ascii="Arial" w:hAnsi="Arial" w:cs="Arial"/>
          <w:sz w:val="20"/>
          <w:szCs w:val="20"/>
        </w:rPr>
        <w:t>Просечна старост становништва</w:t>
      </w:r>
      <w:r w:rsidRPr="00043EAD">
        <w:rPr>
          <w:rFonts w:ascii="Arial" w:hAnsi="Arial" w:cs="Arial"/>
          <w:sz w:val="20"/>
          <w:szCs w:val="20"/>
        </w:rPr>
        <w:t xml:space="preserve"> означава средње године старости његових чланова (аритметичка средина).</w:t>
      </w:r>
    </w:p>
    <w:p w14:paraId="3BE8E891" w14:textId="77777777" w:rsidR="006A4718" w:rsidRPr="00043EAD" w:rsidRDefault="006A4718" w:rsidP="00E07163">
      <w:pPr>
        <w:spacing w:before="120" w:after="120" w:line="288" w:lineRule="auto"/>
        <w:jc w:val="both"/>
        <w:rPr>
          <w:rFonts w:ascii="Arial" w:hAnsi="Arial" w:cs="Arial"/>
          <w:sz w:val="20"/>
          <w:szCs w:val="20"/>
        </w:rPr>
      </w:pPr>
      <w:r w:rsidRPr="00043EAD">
        <w:rPr>
          <w:rStyle w:val="Strong"/>
          <w:rFonts w:ascii="Arial" w:hAnsi="Arial" w:cs="Arial"/>
          <w:sz w:val="20"/>
          <w:szCs w:val="20"/>
        </w:rPr>
        <w:t>Коефицијент укупне зависности становништва</w:t>
      </w:r>
      <w:r w:rsidRPr="00043EAD">
        <w:rPr>
          <w:rFonts w:ascii="Arial" w:hAnsi="Arial" w:cs="Arial"/>
          <w:sz w:val="20"/>
          <w:szCs w:val="20"/>
        </w:rPr>
        <w:t xml:space="preserve"> представља однос становништва старог од 0 до 14 и 65 и више година, према становништву старом од 15 до 64 године, процењеног средином године посматрања.</w:t>
      </w:r>
    </w:p>
    <w:p w14:paraId="712EC43C" w14:textId="77777777" w:rsidR="006A4718" w:rsidRPr="00043EAD" w:rsidRDefault="006A4718" w:rsidP="00E07163">
      <w:pPr>
        <w:spacing w:before="120" w:after="120" w:line="288" w:lineRule="auto"/>
        <w:jc w:val="both"/>
        <w:rPr>
          <w:rFonts w:ascii="Arial" w:hAnsi="Arial" w:cs="Arial"/>
          <w:sz w:val="20"/>
          <w:szCs w:val="20"/>
        </w:rPr>
      </w:pPr>
      <w:r w:rsidRPr="00043EAD">
        <w:rPr>
          <w:rStyle w:val="Strong"/>
          <w:rFonts w:ascii="Arial" w:hAnsi="Arial" w:cs="Arial"/>
          <w:sz w:val="20"/>
          <w:szCs w:val="20"/>
        </w:rPr>
        <w:t>Коефицијент зависности млађег становништва</w:t>
      </w:r>
      <w:r w:rsidRPr="00043EAD">
        <w:rPr>
          <w:rFonts w:ascii="Arial" w:hAnsi="Arial" w:cs="Arial"/>
          <w:sz w:val="20"/>
          <w:szCs w:val="20"/>
        </w:rPr>
        <w:t> је однос између укупног броја младих од 0 до 14 година и броја лица радног узраста (од 15 до 64).</w:t>
      </w:r>
    </w:p>
    <w:p w14:paraId="2A2B2F87" w14:textId="77777777" w:rsidR="006A4718" w:rsidRPr="00043EAD" w:rsidRDefault="006A4718" w:rsidP="00E07163">
      <w:pPr>
        <w:spacing w:before="120" w:after="120" w:line="288" w:lineRule="auto"/>
        <w:jc w:val="both"/>
        <w:rPr>
          <w:rFonts w:ascii="Arial" w:hAnsi="Arial" w:cs="Arial"/>
          <w:sz w:val="20"/>
          <w:szCs w:val="20"/>
        </w:rPr>
      </w:pPr>
      <w:r w:rsidRPr="00043EAD">
        <w:rPr>
          <w:rStyle w:val="Strong"/>
          <w:rFonts w:ascii="Arial" w:hAnsi="Arial" w:cs="Arial"/>
          <w:sz w:val="20"/>
          <w:szCs w:val="20"/>
        </w:rPr>
        <w:t>Коефицијент зависности старијег становништва</w:t>
      </w:r>
      <w:r w:rsidRPr="00043EAD">
        <w:rPr>
          <w:rFonts w:ascii="Arial" w:hAnsi="Arial" w:cs="Arial"/>
          <w:sz w:val="20"/>
          <w:szCs w:val="20"/>
        </w:rPr>
        <w:t xml:space="preserve"> је однос између укупног броја старијих особа у годинама када су они углавном економски неактивни (старости 65 и више година) и броја лица радног узраста (од 15 до 64).</w:t>
      </w:r>
    </w:p>
    <w:p w14:paraId="55CB2017" w14:textId="77777777" w:rsidR="00DA00D0" w:rsidRPr="00043EAD" w:rsidRDefault="00DA00D0" w:rsidP="00E07163">
      <w:pPr>
        <w:shd w:val="clear" w:color="auto" w:fill="FFFFFF"/>
        <w:spacing w:before="120" w:after="120" w:line="288" w:lineRule="auto"/>
        <w:jc w:val="both"/>
        <w:rPr>
          <w:rFonts w:ascii="Arial" w:hAnsi="Arial" w:cs="Arial"/>
          <w:sz w:val="20"/>
          <w:szCs w:val="20"/>
        </w:rPr>
      </w:pPr>
      <w:r w:rsidRPr="00043EAD">
        <w:rPr>
          <w:rFonts w:ascii="Arial" w:hAnsi="Arial" w:cs="Arial"/>
          <w:b/>
          <w:sz w:val="20"/>
          <w:szCs w:val="20"/>
        </w:rPr>
        <w:t>Стопа маскулинитета</w:t>
      </w:r>
      <w:r w:rsidRPr="00043EAD">
        <w:rPr>
          <w:rFonts w:ascii="Arial" w:hAnsi="Arial" w:cs="Arial"/>
          <w:sz w:val="20"/>
          <w:szCs w:val="20"/>
        </w:rPr>
        <w:t xml:space="preserve"> је однос броја мушкараца на 1000 жена.</w:t>
      </w:r>
    </w:p>
    <w:p w14:paraId="6C9AE839" w14:textId="45F51052" w:rsidR="001A31BB" w:rsidRDefault="00DA00D0" w:rsidP="00E07163">
      <w:pPr>
        <w:shd w:val="clear" w:color="auto" w:fill="FFFFFF"/>
        <w:spacing w:before="120" w:after="120" w:line="288" w:lineRule="auto"/>
        <w:jc w:val="both"/>
        <w:rPr>
          <w:rFonts w:ascii="Arial" w:hAnsi="Arial" w:cs="Arial"/>
          <w:sz w:val="20"/>
          <w:szCs w:val="20"/>
        </w:rPr>
      </w:pPr>
      <w:r w:rsidRPr="00043EAD">
        <w:rPr>
          <w:rFonts w:ascii="Arial" w:hAnsi="Arial" w:cs="Arial"/>
          <w:b/>
          <w:sz w:val="20"/>
          <w:szCs w:val="20"/>
        </w:rPr>
        <w:t>Очекивано трајање живота</w:t>
      </w:r>
      <w:r w:rsidRPr="00043EAD">
        <w:rPr>
          <w:rFonts w:ascii="Arial" w:hAnsi="Arial" w:cs="Arial"/>
          <w:sz w:val="20"/>
          <w:szCs w:val="20"/>
        </w:rPr>
        <w:t xml:space="preserve"> </w:t>
      </w:r>
      <w:r w:rsidR="001F538D" w:rsidRPr="00043EAD">
        <w:rPr>
          <w:rFonts w:ascii="Arial" w:hAnsi="Arial" w:cs="Arial"/>
          <w:sz w:val="20"/>
          <w:szCs w:val="20"/>
        </w:rPr>
        <w:t xml:space="preserve">живорођених </w:t>
      </w:r>
      <w:r w:rsidRPr="00043EAD">
        <w:rPr>
          <w:rFonts w:ascii="Arial" w:hAnsi="Arial" w:cs="Arial"/>
          <w:sz w:val="20"/>
          <w:szCs w:val="20"/>
        </w:rPr>
        <w:t xml:space="preserve">је резултат израде </w:t>
      </w:r>
      <w:r w:rsidR="001F538D" w:rsidRPr="00043EAD">
        <w:rPr>
          <w:rFonts w:ascii="Arial" w:hAnsi="Arial" w:cs="Arial"/>
          <w:sz w:val="20"/>
          <w:szCs w:val="20"/>
        </w:rPr>
        <w:t>с</w:t>
      </w:r>
      <w:r w:rsidRPr="00043EAD">
        <w:rPr>
          <w:rFonts w:ascii="Arial" w:hAnsi="Arial" w:cs="Arial"/>
          <w:sz w:val="20"/>
          <w:szCs w:val="20"/>
        </w:rPr>
        <w:t>краћених апроксимативних таблица морталитета</w:t>
      </w:r>
      <w:r w:rsidR="001F538D" w:rsidRPr="00043EAD">
        <w:rPr>
          <w:rFonts w:ascii="Arial" w:hAnsi="Arial" w:cs="Arial"/>
          <w:sz w:val="20"/>
          <w:szCs w:val="20"/>
          <w:lang w:val="sr-Latn-RS"/>
        </w:rPr>
        <w:t xml:space="preserve"> </w:t>
      </w:r>
      <w:r w:rsidR="001F538D" w:rsidRPr="00043EAD">
        <w:rPr>
          <w:rFonts w:ascii="Arial" w:hAnsi="Arial" w:cs="Arial"/>
          <w:sz w:val="20"/>
          <w:szCs w:val="20"/>
        </w:rPr>
        <w:t xml:space="preserve">и показује колико ће година живети живорођено дете ако су услови смртности исти као у моменту израде таблица. </w:t>
      </w:r>
    </w:p>
    <w:p w14:paraId="30E2CFAE" w14:textId="77777777" w:rsidR="00765952" w:rsidRPr="00765952" w:rsidRDefault="00765952" w:rsidP="00765952">
      <w:pPr>
        <w:shd w:val="clear" w:color="auto" w:fill="FFFFFF"/>
        <w:spacing w:before="120" w:after="120" w:line="288" w:lineRule="auto"/>
        <w:jc w:val="both"/>
        <w:rPr>
          <w:rFonts w:ascii="Arial" w:hAnsi="Arial" w:cs="Arial"/>
          <w:sz w:val="20"/>
          <w:szCs w:val="20"/>
        </w:rPr>
      </w:pPr>
      <w:r w:rsidRPr="00765952">
        <w:rPr>
          <w:rFonts w:ascii="Arial" w:hAnsi="Arial" w:cs="Arial"/>
          <w:sz w:val="20"/>
          <w:szCs w:val="20"/>
        </w:rPr>
        <w:t>За исказивање података према типу насеља коришћен је такозвани административно-правни критеријум, према којем се насеља деле на „градска“ (која су актом јединица локалне самоуправе добила тај статус) и на „остала“.</w:t>
      </w:r>
    </w:p>
    <w:p w14:paraId="0DCBB2B2" w14:textId="77777777" w:rsidR="00CC470B" w:rsidRPr="00043EAD" w:rsidRDefault="00CC470B" w:rsidP="00E07163">
      <w:pPr>
        <w:shd w:val="clear" w:color="auto" w:fill="FFFFFF"/>
        <w:spacing w:before="120" w:after="120" w:line="288" w:lineRule="auto"/>
        <w:jc w:val="both"/>
        <w:rPr>
          <w:rFonts w:ascii="Arial" w:hAnsi="Arial" w:cs="Arial"/>
          <w:sz w:val="20"/>
          <w:szCs w:val="20"/>
        </w:rPr>
      </w:pPr>
      <w:r w:rsidRPr="00043EAD">
        <w:rPr>
          <w:rFonts w:ascii="Arial" w:hAnsi="Arial" w:cs="Arial"/>
          <w:sz w:val="20"/>
          <w:szCs w:val="20"/>
        </w:rPr>
        <w:t>Републички завод за статистику од 1998. године не располаже подацима за АП Косово и Метохија, тако да они нису садржани у обухвату података за Републику Србију (укупно).</w:t>
      </w:r>
    </w:p>
    <w:p w14:paraId="5A92FE00" w14:textId="77777777" w:rsidR="001B1DEF" w:rsidRDefault="001B1DEF" w:rsidP="001B1DEF">
      <w:pPr>
        <w:shd w:val="clear" w:color="auto" w:fill="FFFFFF"/>
        <w:jc w:val="both"/>
        <w:rPr>
          <w:rFonts w:ascii="Arial" w:hAnsi="Arial" w:cs="Arial"/>
          <w:sz w:val="18"/>
          <w:szCs w:val="18"/>
        </w:rPr>
      </w:pPr>
    </w:p>
    <w:p w14:paraId="54272DB3" w14:textId="77777777" w:rsidR="001B1DEF" w:rsidRDefault="001B1DEF" w:rsidP="001B1DEF">
      <w:pPr>
        <w:shd w:val="clear" w:color="auto" w:fill="FFFFFF"/>
        <w:jc w:val="both"/>
        <w:rPr>
          <w:rFonts w:ascii="Arial" w:hAnsi="Arial" w:cs="Arial"/>
          <w:b/>
          <w:sz w:val="18"/>
          <w:szCs w:val="18"/>
        </w:rPr>
      </w:pPr>
    </w:p>
    <w:p w14:paraId="7E1114D9" w14:textId="77777777" w:rsidR="003F20A5" w:rsidRDefault="003F20A5" w:rsidP="001B1DEF">
      <w:pPr>
        <w:shd w:val="clear" w:color="auto" w:fill="FFFFFF"/>
        <w:jc w:val="both"/>
        <w:rPr>
          <w:rFonts w:ascii="Arial" w:hAnsi="Arial" w:cs="Arial"/>
          <w:b/>
          <w:sz w:val="18"/>
          <w:szCs w:val="18"/>
        </w:rPr>
      </w:pPr>
    </w:p>
    <w:p w14:paraId="7059CD74" w14:textId="77777777" w:rsidR="003F20A5" w:rsidRDefault="003F20A5" w:rsidP="001B1DEF">
      <w:pPr>
        <w:shd w:val="clear" w:color="auto" w:fill="FFFFFF"/>
        <w:jc w:val="both"/>
        <w:rPr>
          <w:rFonts w:ascii="Arial" w:hAnsi="Arial" w:cs="Arial"/>
          <w:b/>
          <w:sz w:val="18"/>
          <w:szCs w:val="18"/>
        </w:rPr>
      </w:pPr>
    </w:p>
    <w:p w14:paraId="402BC876" w14:textId="77777777" w:rsidR="003F20A5" w:rsidRDefault="003F20A5" w:rsidP="001B1DEF">
      <w:pPr>
        <w:shd w:val="clear" w:color="auto" w:fill="FFFFFF"/>
        <w:jc w:val="both"/>
        <w:rPr>
          <w:rFonts w:ascii="Arial" w:hAnsi="Arial" w:cs="Arial"/>
          <w:b/>
          <w:sz w:val="18"/>
          <w:szCs w:val="18"/>
        </w:rPr>
      </w:pPr>
    </w:p>
    <w:p w14:paraId="6AB6314E" w14:textId="77777777" w:rsidR="003F20A5" w:rsidRDefault="003F20A5" w:rsidP="001B1DEF">
      <w:pPr>
        <w:shd w:val="clear" w:color="auto" w:fill="FFFFFF"/>
        <w:jc w:val="both"/>
        <w:rPr>
          <w:rFonts w:ascii="Arial" w:hAnsi="Arial" w:cs="Arial"/>
          <w:b/>
          <w:sz w:val="18"/>
          <w:szCs w:val="18"/>
        </w:rPr>
      </w:pPr>
    </w:p>
    <w:p w14:paraId="722DD887" w14:textId="77777777" w:rsidR="003F20A5" w:rsidRDefault="003F20A5" w:rsidP="001B1DEF">
      <w:pPr>
        <w:shd w:val="clear" w:color="auto" w:fill="FFFFFF"/>
        <w:jc w:val="both"/>
        <w:rPr>
          <w:rFonts w:ascii="Arial" w:hAnsi="Arial" w:cs="Arial"/>
          <w:b/>
          <w:sz w:val="18"/>
          <w:szCs w:val="18"/>
        </w:rPr>
      </w:pPr>
    </w:p>
    <w:p w14:paraId="63D89CD8" w14:textId="77777777" w:rsidR="003F20A5" w:rsidRDefault="003F20A5" w:rsidP="001B1DEF">
      <w:pPr>
        <w:shd w:val="clear" w:color="auto" w:fill="FFFFFF"/>
        <w:jc w:val="both"/>
        <w:rPr>
          <w:rFonts w:ascii="Arial" w:hAnsi="Arial" w:cs="Arial"/>
          <w:b/>
          <w:sz w:val="18"/>
          <w:szCs w:val="18"/>
        </w:rPr>
      </w:pPr>
    </w:p>
    <w:p w14:paraId="0805E74F" w14:textId="77777777" w:rsidR="003F20A5" w:rsidRDefault="003F20A5" w:rsidP="001B1DEF">
      <w:pPr>
        <w:shd w:val="clear" w:color="auto" w:fill="FFFFFF"/>
        <w:jc w:val="both"/>
        <w:rPr>
          <w:rFonts w:ascii="Arial" w:hAnsi="Arial" w:cs="Arial"/>
          <w:b/>
          <w:sz w:val="18"/>
          <w:szCs w:val="18"/>
        </w:rPr>
      </w:pPr>
    </w:p>
    <w:p w14:paraId="65877732" w14:textId="77777777" w:rsidR="003F20A5" w:rsidRDefault="003F20A5" w:rsidP="001B1DEF">
      <w:pPr>
        <w:shd w:val="clear" w:color="auto" w:fill="FFFFFF"/>
        <w:jc w:val="both"/>
        <w:rPr>
          <w:rFonts w:ascii="Arial" w:hAnsi="Arial" w:cs="Arial"/>
          <w:b/>
          <w:sz w:val="18"/>
          <w:szCs w:val="18"/>
        </w:rPr>
      </w:pPr>
    </w:p>
    <w:p w14:paraId="18F4AD88" w14:textId="77777777" w:rsidR="003F20A5" w:rsidRDefault="003F20A5" w:rsidP="001B1DEF">
      <w:pPr>
        <w:shd w:val="clear" w:color="auto" w:fill="FFFFFF"/>
        <w:jc w:val="both"/>
        <w:rPr>
          <w:rFonts w:ascii="Arial" w:hAnsi="Arial" w:cs="Arial"/>
          <w:b/>
          <w:sz w:val="18"/>
          <w:szCs w:val="18"/>
        </w:rPr>
      </w:pPr>
    </w:p>
    <w:p w14:paraId="7DB1F140" w14:textId="77777777" w:rsidR="003F20A5" w:rsidRDefault="003F20A5" w:rsidP="001B1DEF">
      <w:pPr>
        <w:shd w:val="clear" w:color="auto" w:fill="FFFFFF"/>
        <w:jc w:val="both"/>
        <w:rPr>
          <w:rFonts w:ascii="Arial" w:hAnsi="Arial" w:cs="Arial"/>
          <w:b/>
          <w:sz w:val="18"/>
          <w:szCs w:val="18"/>
        </w:rPr>
      </w:pPr>
    </w:p>
    <w:p w14:paraId="2E8122F5" w14:textId="77777777" w:rsidR="003F20A5" w:rsidRDefault="003F20A5" w:rsidP="001B1DEF">
      <w:pPr>
        <w:shd w:val="clear" w:color="auto" w:fill="FFFFFF"/>
        <w:jc w:val="both"/>
        <w:rPr>
          <w:rFonts w:ascii="Arial" w:hAnsi="Arial" w:cs="Arial"/>
          <w:b/>
          <w:sz w:val="18"/>
          <w:szCs w:val="18"/>
        </w:rPr>
      </w:pPr>
    </w:p>
    <w:p w14:paraId="2B26CA7A" w14:textId="77777777" w:rsidR="003F20A5" w:rsidRDefault="003F20A5" w:rsidP="001B1DEF">
      <w:pPr>
        <w:shd w:val="clear" w:color="auto" w:fill="FFFFFF"/>
        <w:jc w:val="both"/>
        <w:rPr>
          <w:rFonts w:ascii="Arial" w:hAnsi="Arial" w:cs="Arial"/>
          <w:b/>
          <w:sz w:val="18"/>
          <w:szCs w:val="18"/>
        </w:rPr>
      </w:pPr>
    </w:p>
    <w:p w14:paraId="0A326A03" w14:textId="77777777" w:rsidR="003F20A5" w:rsidRDefault="003F20A5" w:rsidP="001B1DEF">
      <w:pPr>
        <w:shd w:val="clear" w:color="auto" w:fill="FFFFFF"/>
        <w:jc w:val="both"/>
        <w:rPr>
          <w:rFonts w:ascii="Arial" w:hAnsi="Arial" w:cs="Arial"/>
          <w:b/>
          <w:sz w:val="18"/>
          <w:szCs w:val="18"/>
        </w:rPr>
      </w:pPr>
    </w:p>
    <w:p w14:paraId="4B19B7B3" w14:textId="77777777" w:rsidR="003F20A5" w:rsidRDefault="003F20A5" w:rsidP="001B1DEF">
      <w:pPr>
        <w:shd w:val="clear" w:color="auto" w:fill="FFFFFF"/>
        <w:jc w:val="both"/>
        <w:rPr>
          <w:rFonts w:ascii="Arial" w:hAnsi="Arial" w:cs="Arial"/>
          <w:b/>
          <w:sz w:val="18"/>
          <w:szCs w:val="18"/>
        </w:rPr>
      </w:pPr>
    </w:p>
    <w:p w14:paraId="34A93A3A" w14:textId="77777777" w:rsidR="003F20A5" w:rsidRDefault="003F20A5" w:rsidP="001B1DEF">
      <w:pPr>
        <w:shd w:val="clear" w:color="auto" w:fill="FFFFFF"/>
        <w:jc w:val="both"/>
        <w:rPr>
          <w:rFonts w:ascii="Arial" w:hAnsi="Arial" w:cs="Arial"/>
          <w:b/>
          <w:sz w:val="18"/>
          <w:szCs w:val="18"/>
        </w:rPr>
      </w:pPr>
    </w:p>
    <w:p w14:paraId="5B2B81A2" w14:textId="77777777" w:rsidR="003F20A5" w:rsidRPr="001B1DEF" w:rsidRDefault="003F20A5" w:rsidP="001B1DEF">
      <w:pPr>
        <w:shd w:val="clear" w:color="auto" w:fill="FFFFFF"/>
        <w:jc w:val="both"/>
        <w:rPr>
          <w:rFonts w:ascii="Arial" w:hAnsi="Arial" w:cs="Arial"/>
          <w:b/>
          <w:sz w:val="18"/>
          <w:szCs w:val="18"/>
        </w:rPr>
      </w:pPr>
    </w:p>
    <w:tbl>
      <w:tblPr>
        <w:tblW w:w="0" w:type="auto"/>
        <w:jc w:val="center"/>
        <w:tblBorders>
          <w:top w:val="single" w:sz="12" w:space="0" w:color="808080"/>
        </w:tblBorders>
        <w:tblCellMar>
          <w:left w:w="28" w:type="dxa"/>
          <w:right w:w="28" w:type="dxa"/>
        </w:tblCellMar>
        <w:tblLook w:val="04A0" w:firstRow="1" w:lastRow="0" w:firstColumn="1" w:lastColumn="0" w:noHBand="0" w:noVBand="1"/>
      </w:tblPr>
      <w:tblGrid>
        <w:gridCol w:w="7370"/>
      </w:tblGrid>
      <w:tr w:rsidR="0043636E" w:rsidRPr="00E409D0" w14:paraId="17FEED9C" w14:textId="77777777" w:rsidTr="0044344C">
        <w:trPr>
          <w:jc w:val="center"/>
        </w:trPr>
        <w:tc>
          <w:tcPr>
            <w:tcW w:w="7370" w:type="dxa"/>
            <w:shd w:val="clear" w:color="auto" w:fill="auto"/>
          </w:tcPr>
          <w:p w14:paraId="2F191764" w14:textId="77777777" w:rsidR="0043636E" w:rsidRPr="00E409D0" w:rsidRDefault="0043636E" w:rsidP="0044344C">
            <w:pPr>
              <w:jc w:val="center"/>
              <w:rPr>
                <w:rFonts w:ascii="Arial" w:hAnsi="Arial" w:cs="Arial"/>
                <w:iCs/>
                <w:sz w:val="18"/>
                <w:szCs w:val="18"/>
              </w:rPr>
            </w:pPr>
            <w:r w:rsidRPr="00E409D0">
              <w:rPr>
                <w:rFonts w:ascii="Arial" w:hAnsi="Arial" w:cs="Arial"/>
                <w:iCs/>
                <w:sz w:val="18"/>
                <w:szCs w:val="18"/>
              </w:rPr>
              <w:t xml:space="preserve">Контакт: </w:t>
            </w:r>
            <w:hyperlink r:id="rId12" w:history="1">
              <w:r w:rsidR="00C02070" w:rsidRPr="00DF6C4E">
                <w:rPr>
                  <w:rStyle w:val="Hyperlink"/>
                  <w:rFonts w:ascii="Arial" w:hAnsi="Arial" w:cs="Arial"/>
                  <w:iCs/>
                  <w:sz w:val="18"/>
                  <w:szCs w:val="18"/>
                </w:rPr>
                <w:t>ljiljana.sekulic@stat.gov.rs</w:t>
              </w:r>
            </w:hyperlink>
            <w:r w:rsidR="00C02070">
              <w:rPr>
                <w:rFonts w:ascii="Arial" w:hAnsi="Arial" w:cs="Arial"/>
                <w:iCs/>
                <w:sz w:val="18"/>
                <w:szCs w:val="18"/>
              </w:rPr>
              <w:t>.</w:t>
            </w:r>
            <w:r w:rsidR="00F62013" w:rsidRPr="00E409D0">
              <w:rPr>
                <w:rFonts w:ascii="Arial" w:hAnsi="Arial" w:cs="Arial"/>
                <w:iCs/>
                <w:sz w:val="18"/>
                <w:szCs w:val="18"/>
              </w:rPr>
              <w:t xml:space="preserve"> тел</w:t>
            </w:r>
            <w:r w:rsidR="00F85BFA" w:rsidRPr="00E409D0">
              <w:rPr>
                <w:rFonts w:ascii="Arial" w:hAnsi="Arial" w:cs="Arial"/>
                <w:iCs/>
                <w:sz w:val="18"/>
                <w:szCs w:val="18"/>
              </w:rPr>
              <w:t>,</w:t>
            </w:r>
            <w:r w:rsidR="00275B3C" w:rsidRPr="00E409D0">
              <w:rPr>
                <w:rFonts w:ascii="Arial" w:hAnsi="Arial" w:cs="Arial"/>
                <w:iCs/>
                <w:sz w:val="18"/>
                <w:szCs w:val="18"/>
              </w:rPr>
              <w:t>: 011 24</w:t>
            </w:r>
            <w:r w:rsidR="00F62013" w:rsidRPr="00E409D0">
              <w:rPr>
                <w:rFonts w:ascii="Arial" w:hAnsi="Arial" w:cs="Arial"/>
                <w:iCs/>
                <w:sz w:val="18"/>
                <w:szCs w:val="18"/>
              </w:rPr>
              <w:t>-</w:t>
            </w:r>
            <w:r w:rsidR="00275B3C" w:rsidRPr="00E409D0">
              <w:rPr>
                <w:rFonts w:ascii="Arial" w:hAnsi="Arial" w:cs="Arial"/>
                <w:iCs/>
                <w:sz w:val="18"/>
                <w:szCs w:val="18"/>
              </w:rPr>
              <w:t>12-922, локал:</w:t>
            </w:r>
            <w:r w:rsidR="00275B3C" w:rsidRPr="00E409D0">
              <w:rPr>
                <w:rFonts w:ascii="Arial" w:hAnsi="Arial" w:cs="Arial"/>
                <w:sz w:val="18"/>
                <w:szCs w:val="18"/>
              </w:rPr>
              <w:t xml:space="preserve"> 2</w:t>
            </w:r>
            <w:r w:rsidR="0074655C">
              <w:rPr>
                <w:rFonts w:ascii="Arial" w:hAnsi="Arial" w:cs="Arial"/>
                <w:sz w:val="18"/>
                <w:szCs w:val="18"/>
              </w:rPr>
              <w:t>64</w:t>
            </w:r>
            <w:r w:rsidR="00275B3C" w:rsidRPr="00E409D0">
              <w:rPr>
                <w:rFonts w:ascii="Arial" w:hAnsi="Arial" w:cs="Arial"/>
                <w:sz w:val="18"/>
                <w:szCs w:val="18"/>
              </w:rPr>
              <w:t xml:space="preserve">                           </w:t>
            </w:r>
            <w:r w:rsidRPr="00E409D0">
              <w:rPr>
                <w:rFonts w:ascii="Arial" w:hAnsi="Arial" w:cs="Arial"/>
                <w:iCs/>
                <w:sz w:val="18"/>
                <w:szCs w:val="18"/>
              </w:rPr>
              <w:t>Издаје и штампа: Републички завод за статистику, 11 050 Београд, Милана Ракића 5</w:t>
            </w:r>
          </w:p>
          <w:p w14:paraId="70A3349C" w14:textId="77777777" w:rsidR="0043636E" w:rsidRPr="00E409D0" w:rsidRDefault="00F62013" w:rsidP="0044344C">
            <w:pPr>
              <w:jc w:val="center"/>
              <w:rPr>
                <w:rFonts w:ascii="Arial" w:hAnsi="Arial" w:cs="Arial"/>
                <w:iCs/>
                <w:sz w:val="18"/>
                <w:szCs w:val="18"/>
              </w:rPr>
            </w:pPr>
            <w:r w:rsidRPr="00E409D0">
              <w:rPr>
                <w:rFonts w:ascii="Arial" w:hAnsi="Arial" w:cs="Arial"/>
                <w:iCs/>
                <w:sz w:val="18"/>
                <w:szCs w:val="18"/>
              </w:rPr>
              <w:t>Tел</w:t>
            </w:r>
            <w:r w:rsidR="00E967F1">
              <w:rPr>
                <w:rFonts w:ascii="Arial" w:hAnsi="Arial" w:cs="Arial"/>
                <w:iCs/>
                <w:sz w:val="18"/>
                <w:szCs w:val="18"/>
              </w:rPr>
              <w:t>.</w:t>
            </w:r>
            <w:r w:rsidR="0043636E" w:rsidRPr="00E409D0">
              <w:rPr>
                <w:rFonts w:ascii="Arial" w:hAnsi="Arial" w:cs="Arial"/>
                <w:iCs/>
                <w:sz w:val="18"/>
                <w:szCs w:val="18"/>
              </w:rPr>
              <w:t>: 011 24-12-922 (централа) • Tелефакс: 011 24-11-260 • www</w:t>
            </w:r>
            <w:r w:rsidR="00F45C10">
              <w:rPr>
                <w:rFonts w:ascii="Arial" w:hAnsi="Arial" w:cs="Arial"/>
                <w:iCs/>
                <w:sz w:val="18"/>
                <w:szCs w:val="18"/>
              </w:rPr>
              <w:t>.</w:t>
            </w:r>
            <w:r w:rsidR="0043636E" w:rsidRPr="00E409D0">
              <w:rPr>
                <w:rFonts w:ascii="Arial" w:hAnsi="Arial" w:cs="Arial"/>
                <w:iCs/>
                <w:sz w:val="18"/>
                <w:szCs w:val="18"/>
              </w:rPr>
              <w:t>stat</w:t>
            </w:r>
            <w:r w:rsidR="00F45C10">
              <w:rPr>
                <w:rFonts w:ascii="Arial" w:hAnsi="Arial" w:cs="Arial"/>
                <w:iCs/>
                <w:sz w:val="18"/>
                <w:szCs w:val="18"/>
              </w:rPr>
              <w:t>.</w:t>
            </w:r>
            <w:r w:rsidR="0043636E" w:rsidRPr="00E409D0">
              <w:rPr>
                <w:rFonts w:ascii="Arial" w:hAnsi="Arial" w:cs="Arial"/>
                <w:iCs/>
                <w:sz w:val="18"/>
                <w:szCs w:val="18"/>
              </w:rPr>
              <w:t>gov</w:t>
            </w:r>
            <w:r w:rsidR="00F45C10">
              <w:rPr>
                <w:rFonts w:ascii="Arial" w:hAnsi="Arial" w:cs="Arial"/>
                <w:iCs/>
                <w:sz w:val="18"/>
                <w:szCs w:val="18"/>
              </w:rPr>
              <w:t>.</w:t>
            </w:r>
            <w:r w:rsidR="0043636E" w:rsidRPr="00E409D0">
              <w:rPr>
                <w:rFonts w:ascii="Arial" w:hAnsi="Arial" w:cs="Arial"/>
                <w:iCs/>
                <w:sz w:val="18"/>
                <w:szCs w:val="18"/>
              </w:rPr>
              <w:t>rs</w:t>
            </w:r>
            <w:r w:rsidR="0043636E" w:rsidRPr="00E409D0">
              <w:rPr>
                <w:rFonts w:ascii="Arial" w:hAnsi="Arial" w:cs="Arial"/>
                <w:iCs/>
                <w:sz w:val="18"/>
                <w:szCs w:val="18"/>
              </w:rPr>
              <w:br/>
              <w:t>Одгов</w:t>
            </w:r>
            <w:r w:rsidRPr="00E409D0">
              <w:rPr>
                <w:rFonts w:ascii="Arial" w:hAnsi="Arial" w:cs="Arial"/>
                <w:iCs/>
                <w:sz w:val="18"/>
                <w:szCs w:val="18"/>
              </w:rPr>
              <w:t>ара: др Миладин Ковачевић, директор</w:t>
            </w:r>
          </w:p>
          <w:p w14:paraId="40264A58" w14:textId="77777777" w:rsidR="0043636E" w:rsidRPr="00E409D0" w:rsidRDefault="0043636E" w:rsidP="0044344C">
            <w:pPr>
              <w:jc w:val="center"/>
              <w:rPr>
                <w:rFonts w:ascii="Arial" w:hAnsi="Arial" w:cs="Arial"/>
                <w:b/>
              </w:rPr>
            </w:pPr>
            <w:r w:rsidRPr="00E409D0">
              <w:rPr>
                <w:rFonts w:ascii="Arial" w:hAnsi="Arial" w:cs="Arial"/>
                <w:iCs/>
                <w:sz w:val="18"/>
                <w:szCs w:val="18"/>
              </w:rPr>
              <w:t>Tираж: 20 ● Периодика излажења: годишња</w:t>
            </w:r>
          </w:p>
        </w:tc>
      </w:tr>
    </w:tbl>
    <w:p w14:paraId="29EE32C5" w14:textId="77777777" w:rsidR="0043636E" w:rsidRPr="00E409D0" w:rsidRDefault="0043636E" w:rsidP="0068387E">
      <w:pPr>
        <w:rPr>
          <w:rFonts w:ascii="Arial" w:hAnsi="Arial" w:cs="Arial"/>
          <w:b/>
          <w:sz w:val="2"/>
          <w:szCs w:val="2"/>
        </w:rPr>
      </w:pPr>
    </w:p>
    <w:sectPr w:rsidR="0043636E" w:rsidRPr="00E409D0" w:rsidSect="004D07D7">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2FAB2" w14:textId="77777777" w:rsidR="00B7473D" w:rsidRDefault="00B7473D" w:rsidP="000B6349">
      <w:r>
        <w:separator/>
      </w:r>
    </w:p>
  </w:endnote>
  <w:endnote w:type="continuationSeparator" w:id="0">
    <w:p w14:paraId="72A79380" w14:textId="77777777" w:rsidR="00B7473D" w:rsidRDefault="00B7473D" w:rsidP="000B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096"/>
      <w:gridCol w:w="5109"/>
    </w:tblGrid>
    <w:tr w:rsidR="00450DB2" w:rsidRPr="000B6349" w14:paraId="541AE0D3" w14:textId="77777777" w:rsidTr="009D74C3">
      <w:tc>
        <w:tcPr>
          <w:tcW w:w="5210" w:type="dxa"/>
          <w:tcBorders>
            <w:left w:val="nil"/>
            <w:bottom w:val="nil"/>
            <w:right w:val="nil"/>
          </w:tcBorders>
          <w:shd w:val="clear" w:color="auto" w:fill="auto"/>
        </w:tcPr>
        <w:p w14:paraId="098844D1" w14:textId="5196DF4A" w:rsidR="00450DB2" w:rsidRPr="000B6349" w:rsidRDefault="00450DB2" w:rsidP="000B6349">
          <w:pPr>
            <w:spacing w:before="60"/>
            <w:rPr>
              <w:rFonts w:ascii="Arial" w:hAnsi="Arial" w:cs="Arial"/>
              <w:caps/>
              <w:sz w:val="16"/>
              <w:szCs w:val="16"/>
            </w:rPr>
          </w:pPr>
          <w:r w:rsidRPr="000B6349">
            <w:rPr>
              <w:rFonts w:ascii="Arial" w:hAnsi="Arial" w:cs="Arial"/>
              <w:caps/>
              <w:sz w:val="16"/>
              <w:szCs w:val="16"/>
            </w:rPr>
            <w:fldChar w:fldCharType="begin"/>
          </w:r>
          <w:r w:rsidRPr="000B6349">
            <w:rPr>
              <w:rFonts w:ascii="Arial" w:hAnsi="Arial" w:cs="Arial"/>
              <w:caps/>
              <w:sz w:val="16"/>
              <w:szCs w:val="16"/>
            </w:rPr>
            <w:instrText xml:space="preserve"> PAGE </w:instrText>
          </w:r>
          <w:r w:rsidRPr="000B6349">
            <w:rPr>
              <w:rFonts w:ascii="Arial" w:hAnsi="Arial" w:cs="Arial"/>
              <w:caps/>
              <w:sz w:val="16"/>
              <w:szCs w:val="16"/>
            </w:rPr>
            <w:fldChar w:fldCharType="separate"/>
          </w:r>
          <w:r w:rsidR="009B3576">
            <w:rPr>
              <w:rFonts w:ascii="Arial" w:hAnsi="Arial" w:cs="Arial"/>
              <w:caps/>
              <w:noProof/>
              <w:sz w:val="16"/>
              <w:szCs w:val="16"/>
            </w:rPr>
            <w:t>4</w:t>
          </w:r>
          <w:r w:rsidRPr="000B6349">
            <w:rPr>
              <w:rFonts w:ascii="Arial" w:hAnsi="Arial" w:cs="Arial"/>
              <w:caps/>
              <w:sz w:val="16"/>
              <w:szCs w:val="16"/>
            </w:rPr>
            <w:fldChar w:fldCharType="end"/>
          </w:r>
        </w:p>
      </w:tc>
      <w:tc>
        <w:tcPr>
          <w:tcW w:w="5211" w:type="dxa"/>
          <w:tcBorders>
            <w:left w:val="nil"/>
            <w:bottom w:val="nil"/>
          </w:tcBorders>
          <w:shd w:val="clear" w:color="auto" w:fill="auto"/>
        </w:tcPr>
        <w:p w14:paraId="4BC4B32F" w14:textId="77777777" w:rsidR="00450DB2" w:rsidRPr="008D5069" w:rsidRDefault="00450DB2" w:rsidP="00DB4E8A">
          <w:pPr>
            <w:spacing w:before="60"/>
            <w:jc w:val="right"/>
            <w:rPr>
              <w:rFonts w:ascii="Arial" w:hAnsi="Arial" w:cs="Arial"/>
              <w:caps/>
              <w:sz w:val="16"/>
              <w:szCs w:val="16"/>
            </w:rPr>
          </w:pPr>
          <w:r w:rsidRPr="00DB4E8A">
            <w:rPr>
              <w:rFonts w:ascii="Arial" w:hAnsi="Arial" w:cs="Arial"/>
              <w:caps/>
              <w:sz w:val="16"/>
              <w:szCs w:val="16"/>
            </w:rPr>
            <w:t>СРБ</w:t>
          </w:r>
          <w:r w:rsidR="00DB4E8A" w:rsidRPr="00DB4E8A">
            <w:rPr>
              <w:rFonts w:ascii="Arial" w:hAnsi="Arial" w:cs="Arial"/>
              <w:caps/>
              <w:sz w:val="16"/>
              <w:szCs w:val="16"/>
              <w:lang w:val="sr-Latn-RS"/>
            </w:rPr>
            <w:t>172</w:t>
          </w:r>
          <w:r w:rsidRPr="00DB4E8A">
            <w:rPr>
              <w:rFonts w:ascii="Arial" w:hAnsi="Arial" w:cs="Arial"/>
              <w:caps/>
              <w:sz w:val="16"/>
              <w:szCs w:val="16"/>
              <w:lang w:val="en-US"/>
            </w:rPr>
            <w:t xml:space="preserve"> </w:t>
          </w:r>
          <w:r w:rsidRPr="009427BA">
            <w:rPr>
              <w:rFonts w:ascii="Arial" w:hAnsi="Arial" w:cs="Arial"/>
              <w:caps/>
              <w:sz w:val="16"/>
              <w:szCs w:val="16"/>
              <w:lang w:val="sr-Cyrl-CS"/>
            </w:rPr>
            <w:t xml:space="preserve">СН70 </w:t>
          </w:r>
          <w:r w:rsidR="008D5069">
            <w:rPr>
              <w:rFonts w:ascii="Arial" w:hAnsi="Arial" w:cs="Arial"/>
              <w:caps/>
              <w:sz w:val="16"/>
              <w:szCs w:val="16"/>
            </w:rPr>
            <w:t>010720</w:t>
          </w:r>
        </w:p>
      </w:tc>
    </w:tr>
  </w:tbl>
  <w:p w14:paraId="262FD4D2" w14:textId="77777777" w:rsidR="00450DB2" w:rsidRPr="000B6349" w:rsidRDefault="00450DB2" w:rsidP="000B634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108"/>
      <w:gridCol w:w="5097"/>
    </w:tblGrid>
    <w:tr w:rsidR="00450DB2" w:rsidRPr="000B6349" w14:paraId="6775867B" w14:textId="77777777" w:rsidTr="009D74C3">
      <w:tc>
        <w:tcPr>
          <w:tcW w:w="5210" w:type="dxa"/>
          <w:tcBorders>
            <w:bottom w:val="nil"/>
            <w:right w:val="nil"/>
          </w:tcBorders>
          <w:shd w:val="clear" w:color="auto" w:fill="auto"/>
        </w:tcPr>
        <w:p w14:paraId="04C2492A" w14:textId="77777777" w:rsidR="00450DB2" w:rsidRPr="005C1CEA" w:rsidRDefault="00450DB2" w:rsidP="00DB4E8A">
          <w:pPr>
            <w:spacing w:before="60"/>
            <w:rPr>
              <w:rFonts w:ascii="Arial" w:hAnsi="Arial" w:cs="Arial"/>
              <w:caps/>
              <w:sz w:val="16"/>
              <w:szCs w:val="16"/>
              <w:highlight w:val="red"/>
            </w:rPr>
          </w:pPr>
          <w:r w:rsidRPr="009427BA">
            <w:rPr>
              <w:rFonts w:ascii="Arial" w:hAnsi="Arial" w:cs="Arial"/>
              <w:caps/>
              <w:sz w:val="16"/>
              <w:szCs w:val="16"/>
            </w:rPr>
            <w:t>СРБ</w:t>
          </w:r>
          <w:r w:rsidR="00DB4E8A">
            <w:rPr>
              <w:rFonts w:ascii="Arial" w:hAnsi="Arial" w:cs="Arial"/>
              <w:caps/>
              <w:sz w:val="16"/>
              <w:szCs w:val="16"/>
              <w:lang w:val="sr-Latn-RS"/>
            </w:rPr>
            <w:t>172</w:t>
          </w:r>
          <w:r w:rsidRPr="009427BA">
            <w:rPr>
              <w:rFonts w:ascii="Arial" w:hAnsi="Arial" w:cs="Arial"/>
              <w:caps/>
              <w:sz w:val="16"/>
              <w:szCs w:val="16"/>
            </w:rPr>
            <w:t xml:space="preserve"> </w:t>
          </w:r>
          <w:r>
            <w:rPr>
              <w:rFonts w:ascii="Arial" w:hAnsi="Arial" w:cs="Arial"/>
              <w:caps/>
              <w:sz w:val="16"/>
              <w:szCs w:val="16"/>
              <w:lang w:val="sr-Cyrl-CS"/>
            </w:rPr>
            <w:t>СН7</w:t>
          </w:r>
          <w:r w:rsidRPr="000B6349">
            <w:rPr>
              <w:rFonts w:ascii="Arial" w:hAnsi="Arial" w:cs="Arial"/>
              <w:caps/>
              <w:sz w:val="16"/>
              <w:szCs w:val="16"/>
              <w:lang w:val="sr-Cyrl-CS"/>
            </w:rPr>
            <w:t xml:space="preserve">0 </w:t>
          </w:r>
          <w:r w:rsidR="00DB4E8A">
            <w:rPr>
              <w:rFonts w:ascii="Arial" w:hAnsi="Arial" w:cs="Arial"/>
              <w:caps/>
              <w:sz w:val="16"/>
              <w:szCs w:val="16"/>
              <w:lang w:val="en-US"/>
            </w:rPr>
            <w:t>010720</w:t>
          </w:r>
        </w:p>
      </w:tc>
      <w:tc>
        <w:tcPr>
          <w:tcW w:w="5211" w:type="dxa"/>
          <w:tcBorders>
            <w:left w:val="nil"/>
            <w:bottom w:val="nil"/>
          </w:tcBorders>
          <w:shd w:val="clear" w:color="auto" w:fill="auto"/>
        </w:tcPr>
        <w:p w14:paraId="2C7D8C21" w14:textId="0335054C" w:rsidR="00450DB2" w:rsidRPr="000B6349" w:rsidRDefault="00450DB2" w:rsidP="000B6349">
          <w:pPr>
            <w:spacing w:before="60"/>
            <w:jc w:val="right"/>
            <w:rPr>
              <w:rFonts w:ascii="Arial" w:hAnsi="Arial" w:cs="Arial"/>
              <w:caps/>
              <w:sz w:val="16"/>
              <w:szCs w:val="16"/>
            </w:rPr>
          </w:pPr>
          <w:r w:rsidRPr="000B6349">
            <w:rPr>
              <w:rFonts w:ascii="Arial" w:hAnsi="Arial" w:cs="Arial"/>
              <w:caps/>
              <w:sz w:val="16"/>
              <w:szCs w:val="16"/>
            </w:rPr>
            <w:fldChar w:fldCharType="begin"/>
          </w:r>
          <w:r w:rsidRPr="000B6349">
            <w:rPr>
              <w:rFonts w:ascii="Arial" w:hAnsi="Arial" w:cs="Arial"/>
              <w:caps/>
              <w:sz w:val="16"/>
              <w:szCs w:val="16"/>
            </w:rPr>
            <w:instrText xml:space="preserve"> PAGE </w:instrText>
          </w:r>
          <w:r w:rsidRPr="000B6349">
            <w:rPr>
              <w:rFonts w:ascii="Arial" w:hAnsi="Arial" w:cs="Arial"/>
              <w:caps/>
              <w:sz w:val="16"/>
              <w:szCs w:val="16"/>
            </w:rPr>
            <w:fldChar w:fldCharType="separate"/>
          </w:r>
          <w:r w:rsidR="009B3576">
            <w:rPr>
              <w:rFonts w:ascii="Arial" w:hAnsi="Arial" w:cs="Arial"/>
              <w:caps/>
              <w:noProof/>
              <w:sz w:val="16"/>
              <w:szCs w:val="16"/>
            </w:rPr>
            <w:t>3</w:t>
          </w:r>
          <w:r w:rsidRPr="000B6349">
            <w:rPr>
              <w:rFonts w:ascii="Arial" w:hAnsi="Arial" w:cs="Arial"/>
              <w:caps/>
              <w:sz w:val="16"/>
              <w:szCs w:val="16"/>
            </w:rPr>
            <w:fldChar w:fldCharType="end"/>
          </w:r>
        </w:p>
      </w:tc>
    </w:tr>
  </w:tbl>
  <w:p w14:paraId="22B51B3D" w14:textId="77777777" w:rsidR="00450DB2" w:rsidRPr="000B6349" w:rsidRDefault="00450DB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35027" w14:textId="77777777" w:rsidR="00B7473D" w:rsidRDefault="00B7473D" w:rsidP="000B6349">
      <w:r>
        <w:separator/>
      </w:r>
    </w:p>
  </w:footnote>
  <w:footnote w:type="continuationSeparator" w:id="0">
    <w:p w14:paraId="78E22977" w14:textId="77777777" w:rsidR="00B7473D" w:rsidRDefault="00B7473D" w:rsidP="000B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61F9"/>
    <w:multiLevelType w:val="hybridMultilevel"/>
    <w:tmpl w:val="6214F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4" w15:restartNumberingAfterBreak="0">
    <w:nsid w:val="13113286"/>
    <w:multiLevelType w:val="hybridMultilevel"/>
    <w:tmpl w:val="0E64919A"/>
    <w:lvl w:ilvl="0" w:tplc="45985E4C">
      <w:numFmt w:val="bullet"/>
      <w:lvlText w:val="-"/>
      <w:lvlJc w:val="left"/>
      <w:pPr>
        <w:ind w:left="982" w:hanging="585"/>
      </w:pPr>
      <w:rPr>
        <w:rFonts w:ascii="Arial" w:eastAsia="Times New Roman" w:hAnsi="Arial" w:cs="Aria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7" w15:restartNumberingAfterBreak="0">
    <w:nsid w:val="30AC7E9D"/>
    <w:multiLevelType w:val="hybridMultilevel"/>
    <w:tmpl w:val="53B0EB8A"/>
    <w:lvl w:ilvl="0" w:tplc="B596C178">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3B377F59"/>
    <w:multiLevelType w:val="hybridMultilevel"/>
    <w:tmpl w:val="E9CE1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6" w15:restartNumberingAfterBreak="0">
    <w:nsid w:val="3EBA304D"/>
    <w:multiLevelType w:val="hybridMultilevel"/>
    <w:tmpl w:val="685C18AC"/>
    <w:lvl w:ilvl="0" w:tplc="EE2CC2F8">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F457DD4"/>
    <w:multiLevelType w:val="hybridMultilevel"/>
    <w:tmpl w:val="211C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55D35FC"/>
    <w:multiLevelType w:val="hybridMultilevel"/>
    <w:tmpl w:val="7ADA9992"/>
    <w:lvl w:ilvl="0" w:tplc="D7BE42A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2"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3"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4" w15:restartNumberingAfterBreak="0">
    <w:nsid w:val="53634808"/>
    <w:multiLevelType w:val="hybridMultilevel"/>
    <w:tmpl w:val="45AC53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6"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7" w15:restartNumberingAfterBreak="0">
    <w:nsid w:val="68D90F39"/>
    <w:multiLevelType w:val="hybridMultilevel"/>
    <w:tmpl w:val="7A267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3D1920"/>
    <w:multiLevelType w:val="hybridMultilevel"/>
    <w:tmpl w:val="F9106B3C"/>
    <w:lvl w:ilvl="0" w:tplc="37E80C4E">
      <w:start w:val="1"/>
      <w:numFmt w:val="bullet"/>
      <w:lvlText w:val="-"/>
      <w:lvlJc w:val="left"/>
      <w:pPr>
        <w:ind w:left="1117" w:hanging="360"/>
      </w:pPr>
      <w:rPr>
        <w:rFonts w:ascii="Arial" w:hAnsi="Arial" w:cs="Aria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22"/>
  </w:num>
  <w:num w:numId="2">
    <w:abstractNumId w:val="7"/>
  </w:num>
  <w:num w:numId="3">
    <w:abstractNumId w:val="8"/>
  </w:num>
  <w:num w:numId="4">
    <w:abstractNumId w:val="9"/>
  </w:num>
  <w:num w:numId="5">
    <w:abstractNumId w:val="3"/>
  </w:num>
  <w:num w:numId="6">
    <w:abstractNumId w:val="2"/>
  </w:num>
  <w:num w:numId="7">
    <w:abstractNumId w:val="1"/>
  </w:num>
  <w:num w:numId="8">
    <w:abstractNumId w:val="0"/>
  </w:num>
  <w:num w:numId="9">
    <w:abstractNumId w:val="6"/>
  </w:num>
  <w:num w:numId="10">
    <w:abstractNumId w:val="5"/>
  </w:num>
  <w:num w:numId="11">
    <w:abstractNumId w:val="4"/>
  </w:num>
  <w:num w:numId="12">
    <w:abstractNumId w:val="19"/>
  </w:num>
  <w:num w:numId="13">
    <w:abstractNumId w:val="29"/>
  </w:num>
  <w:num w:numId="14">
    <w:abstractNumId w:val="35"/>
  </w:num>
  <w:num w:numId="15">
    <w:abstractNumId w:val="32"/>
  </w:num>
  <w:num w:numId="16">
    <w:abstractNumId w:val="13"/>
  </w:num>
  <w:num w:numId="17">
    <w:abstractNumId w:val="15"/>
  </w:num>
  <w:num w:numId="18">
    <w:abstractNumId w:val="39"/>
  </w:num>
  <w:num w:numId="19">
    <w:abstractNumId w:val="28"/>
  </w:num>
  <w:num w:numId="20">
    <w:abstractNumId w:val="23"/>
  </w:num>
  <w:num w:numId="21">
    <w:abstractNumId w:val="38"/>
  </w:num>
  <w:num w:numId="22">
    <w:abstractNumId w:val="31"/>
  </w:num>
  <w:num w:numId="23">
    <w:abstractNumId w:val="25"/>
  </w:num>
  <w:num w:numId="24">
    <w:abstractNumId w:val="18"/>
  </w:num>
  <w:num w:numId="25">
    <w:abstractNumId w:val="16"/>
  </w:num>
  <w:num w:numId="26">
    <w:abstractNumId w:val="20"/>
  </w:num>
  <w:num w:numId="27">
    <w:abstractNumId w:val="36"/>
  </w:num>
  <w:num w:numId="28">
    <w:abstractNumId w:val="12"/>
  </w:num>
  <w:num w:numId="29">
    <w:abstractNumId w:val="33"/>
  </w:num>
  <w:num w:numId="30">
    <w:abstractNumId w:val="24"/>
  </w:num>
  <w:num w:numId="31">
    <w:abstractNumId w:val="21"/>
  </w:num>
  <w:num w:numId="32">
    <w:abstractNumId w:val="11"/>
  </w:num>
  <w:num w:numId="33">
    <w:abstractNumId w:val="40"/>
  </w:num>
  <w:num w:numId="34">
    <w:abstractNumId w:val="14"/>
  </w:num>
  <w:num w:numId="35">
    <w:abstractNumId w:val="26"/>
  </w:num>
  <w:num w:numId="36">
    <w:abstractNumId w:val="17"/>
  </w:num>
  <w:num w:numId="37">
    <w:abstractNumId w:val="10"/>
  </w:num>
  <w:num w:numId="38">
    <w:abstractNumId w:val="37"/>
  </w:num>
  <w:num w:numId="39">
    <w:abstractNumId w:val="34"/>
  </w:num>
  <w:num w:numId="40">
    <w:abstractNumId w:val="27"/>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96"/>
    <w:rsid w:val="000015A3"/>
    <w:rsid w:val="00004D00"/>
    <w:rsid w:val="00005285"/>
    <w:rsid w:val="00006136"/>
    <w:rsid w:val="0000700D"/>
    <w:rsid w:val="000107F0"/>
    <w:rsid w:val="000114FE"/>
    <w:rsid w:val="000160B7"/>
    <w:rsid w:val="00017093"/>
    <w:rsid w:val="00021506"/>
    <w:rsid w:val="00031556"/>
    <w:rsid w:val="00031EC4"/>
    <w:rsid w:val="00032710"/>
    <w:rsid w:val="00035998"/>
    <w:rsid w:val="00041A58"/>
    <w:rsid w:val="0004353B"/>
    <w:rsid w:val="00043711"/>
    <w:rsid w:val="00043EAD"/>
    <w:rsid w:val="00044054"/>
    <w:rsid w:val="00045CC8"/>
    <w:rsid w:val="00055C3E"/>
    <w:rsid w:val="00060A24"/>
    <w:rsid w:val="00061675"/>
    <w:rsid w:val="00061C1A"/>
    <w:rsid w:val="000636BF"/>
    <w:rsid w:val="000636C3"/>
    <w:rsid w:val="00071004"/>
    <w:rsid w:val="000764A2"/>
    <w:rsid w:val="00080314"/>
    <w:rsid w:val="000959D1"/>
    <w:rsid w:val="00096983"/>
    <w:rsid w:val="000A4C39"/>
    <w:rsid w:val="000A68F1"/>
    <w:rsid w:val="000A6CE0"/>
    <w:rsid w:val="000A6D6E"/>
    <w:rsid w:val="000B04FE"/>
    <w:rsid w:val="000B6349"/>
    <w:rsid w:val="000B71CE"/>
    <w:rsid w:val="000C207D"/>
    <w:rsid w:val="000C2867"/>
    <w:rsid w:val="000C4A1B"/>
    <w:rsid w:val="000C7C7E"/>
    <w:rsid w:val="000D0874"/>
    <w:rsid w:val="000D1C52"/>
    <w:rsid w:val="000D2E46"/>
    <w:rsid w:val="000D739F"/>
    <w:rsid w:val="000E1952"/>
    <w:rsid w:val="000E3DBB"/>
    <w:rsid w:val="000E4305"/>
    <w:rsid w:val="000E54D9"/>
    <w:rsid w:val="000E6DEF"/>
    <w:rsid w:val="000F3311"/>
    <w:rsid w:val="000F3702"/>
    <w:rsid w:val="000F573E"/>
    <w:rsid w:val="000F5952"/>
    <w:rsid w:val="000F5E5A"/>
    <w:rsid w:val="00105108"/>
    <w:rsid w:val="0010785D"/>
    <w:rsid w:val="0011157A"/>
    <w:rsid w:val="001135B7"/>
    <w:rsid w:val="001135DA"/>
    <w:rsid w:val="001203AE"/>
    <w:rsid w:val="00121651"/>
    <w:rsid w:val="001257CD"/>
    <w:rsid w:val="00126B59"/>
    <w:rsid w:val="00135A39"/>
    <w:rsid w:val="00140D9A"/>
    <w:rsid w:val="00145E44"/>
    <w:rsid w:val="00147842"/>
    <w:rsid w:val="001523C9"/>
    <w:rsid w:val="00154FE1"/>
    <w:rsid w:val="00155973"/>
    <w:rsid w:val="00160F1E"/>
    <w:rsid w:val="00164328"/>
    <w:rsid w:val="00172A3B"/>
    <w:rsid w:val="001733DF"/>
    <w:rsid w:val="00173761"/>
    <w:rsid w:val="00177A00"/>
    <w:rsid w:val="00180253"/>
    <w:rsid w:val="00180DDF"/>
    <w:rsid w:val="00181098"/>
    <w:rsid w:val="001856A9"/>
    <w:rsid w:val="001919CB"/>
    <w:rsid w:val="0019706E"/>
    <w:rsid w:val="001971D0"/>
    <w:rsid w:val="001A023A"/>
    <w:rsid w:val="001A0747"/>
    <w:rsid w:val="001A31BB"/>
    <w:rsid w:val="001A33DC"/>
    <w:rsid w:val="001A69DE"/>
    <w:rsid w:val="001A7E36"/>
    <w:rsid w:val="001B1DEF"/>
    <w:rsid w:val="001B55CE"/>
    <w:rsid w:val="001C1F14"/>
    <w:rsid w:val="001C6BCA"/>
    <w:rsid w:val="001D0C6E"/>
    <w:rsid w:val="001D4F5E"/>
    <w:rsid w:val="001D656C"/>
    <w:rsid w:val="001E0427"/>
    <w:rsid w:val="001E2259"/>
    <w:rsid w:val="001E3381"/>
    <w:rsid w:val="001E3DBA"/>
    <w:rsid w:val="001E4F44"/>
    <w:rsid w:val="001E7FE5"/>
    <w:rsid w:val="001F2FEE"/>
    <w:rsid w:val="001F538D"/>
    <w:rsid w:val="001F5CF1"/>
    <w:rsid w:val="001F66C6"/>
    <w:rsid w:val="001F6A5A"/>
    <w:rsid w:val="00200014"/>
    <w:rsid w:val="00207F66"/>
    <w:rsid w:val="00211C8C"/>
    <w:rsid w:val="0021518F"/>
    <w:rsid w:val="002167C8"/>
    <w:rsid w:val="00224094"/>
    <w:rsid w:val="00230572"/>
    <w:rsid w:val="00234165"/>
    <w:rsid w:val="0023455C"/>
    <w:rsid w:val="002349D3"/>
    <w:rsid w:val="00242CD0"/>
    <w:rsid w:val="00243DB4"/>
    <w:rsid w:val="00246437"/>
    <w:rsid w:val="002506A7"/>
    <w:rsid w:val="002549F4"/>
    <w:rsid w:val="00266F93"/>
    <w:rsid w:val="0027112C"/>
    <w:rsid w:val="00271240"/>
    <w:rsid w:val="00275ADD"/>
    <w:rsid w:val="00275B3C"/>
    <w:rsid w:val="0028556A"/>
    <w:rsid w:val="002857B1"/>
    <w:rsid w:val="00287BB4"/>
    <w:rsid w:val="00293B6E"/>
    <w:rsid w:val="00297189"/>
    <w:rsid w:val="002A1DB1"/>
    <w:rsid w:val="002A7A09"/>
    <w:rsid w:val="002B02CD"/>
    <w:rsid w:val="002B12A1"/>
    <w:rsid w:val="002B660E"/>
    <w:rsid w:val="002C0661"/>
    <w:rsid w:val="002C0F7C"/>
    <w:rsid w:val="002C668A"/>
    <w:rsid w:val="002D0E8B"/>
    <w:rsid w:val="002D3948"/>
    <w:rsid w:val="002D40B5"/>
    <w:rsid w:val="002D5432"/>
    <w:rsid w:val="002D6377"/>
    <w:rsid w:val="002E56D3"/>
    <w:rsid w:val="002F1872"/>
    <w:rsid w:val="002F323F"/>
    <w:rsid w:val="00303441"/>
    <w:rsid w:val="00304672"/>
    <w:rsid w:val="00304C6A"/>
    <w:rsid w:val="003056F0"/>
    <w:rsid w:val="00311C75"/>
    <w:rsid w:val="00311E28"/>
    <w:rsid w:val="00312BDD"/>
    <w:rsid w:val="00312CD6"/>
    <w:rsid w:val="00315626"/>
    <w:rsid w:val="003226E9"/>
    <w:rsid w:val="003233EB"/>
    <w:rsid w:val="003258CD"/>
    <w:rsid w:val="00327DCE"/>
    <w:rsid w:val="00330218"/>
    <w:rsid w:val="003322D9"/>
    <w:rsid w:val="0033375C"/>
    <w:rsid w:val="0033406A"/>
    <w:rsid w:val="00337A45"/>
    <w:rsid w:val="003439BE"/>
    <w:rsid w:val="00347346"/>
    <w:rsid w:val="003540F3"/>
    <w:rsid w:val="00354A51"/>
    <w:rsid w:val="00355054"/>
    <w:rsid w:val="0035726A"/>
    <w:rsid w:val="0035786D"/>
    <w:rsid w:val="0036084B"/>
    <w:rsid w:val="00364BB8"/>
    <w:rsid w:val="0037350E"/>
    <w:rsid w:val="003747E7"/>
    <w:rsid w:val="00381962"/>
    <w:rsid w:val="00382F5A"/>
    <w:rsid w:val="00385295"/>
    <w:rsid w:val="00385D8D"/>
    <w:rsid w:val="00395479"/>
    <w:rsid w:val="00397CC1"/>
    <w:rsid w:val="003A220C"/>
    <w:rsid w:val="003A2A0A"/>
    <w:rsid w:val="003A3CDF"/>
    <w:rsid w:val="003A4379"/>
    <w:rsid w:val="003B7A61"/>
    <w:rsid w:val="003C23C1"/>
    <w:rsid w:val="003C3715"/>
    <w:rsid w:val="003C4F00"/>
    <w:rsid w:val="003C614A"/>
    <w:rsid w:val="003D0037"/>
    <w:rsid w:val="003D0C99"/>
    <w:rsid w:val="003D5938"/>
    <w:rsid w:val="003D633B"/>
    <w:rsid w:val="003E30CC"/>
    <w:rsid w:val="003E3892"/>
    <w:rsid w:val="003E66D4"/>
    <w:rsid w:val="003E7822"/>
    <w:rsid w:val="003F20A5"/>
    <w:rsid w:val="00407C1D"/>
    <w:rsid w:val="004130B6"/>
    <w:rsid w:val="00414786"/>
    <w:rsid w:val="00423F6B"/>
    <w:rsid w:val="0042555A"/>
    <w:rsid w:val="0043220C"/>
    <w:rsid w:val="004348B2"/>
    <w:rsid w:val="00435DF2"/>
    <w:rsid w:val="0043636E"/>
    <w:rsid w:val="00437434"/>
    <w:rsid w:val="0044102D"/>
    <w:rsid w:val="004412CE"/>
    <w:rsid w:val="004420DA"/>
    <w:rsid w:val="00442AD1"/>
    <w:rsid w:val="0044344C"/>
    <w:rsid w:val="00447329"/>
    <w:rsid w:val="0044794B"/>
    <w:rsid w:val="00450DB2"/>
    <w:rsid w:val="00451EB6"/>
    <w:rsid w:val="00453F15"/>
    <w:rsid w:val="00454006"/>
    <w:rsid w:val="004667CF"/>
    <w:rsid w:val="004740DB"/>
    <w:rsid w:val="00475922"/>
    <w:rsid w:val="00480C87"/>
    <w:rsid w:val="00481F9A"/>
    <w:rsid w:val="00482542"/>
    <w:rsid w:val="004874AF"/>
    <w:rsid w:val="004926B6"/>
    <w:rsid w:val="00493201"/>
    <w:rsid w:val="004945C8"/>
    <w:rsid w:val="004A1088"/>
    <w:rsid w:val="004B0178"/>
    <w:rsid w:val="004B1EA9"/>
    <w:rsid w:val="004B534C"/>
    <w:rsid w:val="004C5423"/>
    <w:rsid w:val="004D07D7"/>
    <w:rsid w:val="004D24D1"/>
    <w:rsid w:val="004D2D8E"/>
    <w:rsid w:val="004D3B4E"/>
    <w:rsid w:val="004E09AF"/>
    <w:rsid w:val="004E23B0"/>
    <w:rsid w:val="004E28DB"/>
    <w:rsid w:val="004E6C4A"/>
    <w:rsid w:val="0050102B"/>
    <w:rsid w:val="00505153"/>
    <w:rsid w:val="00512835"/>
    <w:rsid w:val="005178AC"/>
    <w:rsid w:val="005225A1"/>
    <w:rsid w:val="00523A1C"/>
    <w:rsid w:val="005268F7"/>
    <w:rsid w:val="00532D75"/>
    <w:rsid w:val="005340EC"/>
    <w:rsid w:val="005413C7"/>
    <w:rsid w:val="005473EC"/>
    <w:rsid w:val="00547D07"/>
    <w:rsid w:val="00551D46"/>
    <w:rsid w:val="005527BA"/>
    <w:rsid w:val="00555BA2"/>
    <w:rsid w:val="00556AC3"/>
    <w:rsid w:val="00563EC8"/>
    <w:rsid w:val="0057345F"/>
    <w:rsid w:val="00576FCB"/>
    <w:rsid w:val="00582EC9"/>
    <w:rsid w:val="00596515"/>
    <w:rsid w:val="00596627"/>
    <w:rsid w:val="005A1451"/>
    <w:rsid w:val="005B30AC"/>
    <w:rsid w:val="005B3A62"/>
    <w:rsid w:val="005B7EB4"/>
    <w:rsid w:val="005C0833"/>
    <w:rsid w:val="005C1CEA"/>
    <w:rsid w:val="005C4820"/>
    <w:rsid w:val="005D1AE6"/>
    <w:rsid w:val="005D2394"/>
    <w:rsid w:val="005D34F0"/>
    <w:rsid w:val="005D6669"/>
    <w:rsid w:val="005D6DEB"/>
    <w:rsid w:val="005E4ED2"/>
    <w:rsid w:val="005E629E"/>
    <w:rsid w:val="005F78F2"/>
    <w:rsid w:val="00600219"/>
    <w:rsid w:val="006064B9"/>
    <w:rsid w:val="00606ED2"/>
    <w:rsid w:val="00612217"/>
    <w:rsid w:val="006131D9"/>
    <w:rsid w:val="00615633"/>
    <w:rsid w:val="00622073"/>
    <w:rsid w:val="0062239A"/>
    <w:rsid w:val="0062540F"/>
    <w:rsid w:val="00626931"/>
    <w:rsid w:val="00626BEE"/>
    <w:rsid w:val="00636E82"/>
    <w:rsid w:val="00642C50"/>
    <w:rsid w:val="006457BA"/>
    <w:rsid w:val="0065091F"/>
    <w:rsid w:val="00651953"/>
    <w:rsid w:val="00656299"/>
    <w:rsid w:val="0065726B"/>
    <w:rsid w:val="0066198A"/>
    <w:rsid w:val="00666F5B"/>
    <w:rsid w:val="0067095E"/>
    <w:rsid w:val="00676256"/>
    <w:rsid w:val="0068387E"/>
    <w:rsid w:val="00684063"/>
    <w:rsid w:val="006849A5"/>
    <w:rsid w:val="00684AA2"/>
    <w:rsid w:val="006879B4"/>
    <w:rsid w:val="00691171"/>
    <w:rsid w:val="00691F42"/>
    <w:rsid w:val="00693C05"/>
    <w:rsid w:val="006A0D51"/>
    <w:rsid w:val="006A4718"/>
    <w:rsid w:val="006A510D"/>
    <w:rsid w:val="006A6090"/>
    <w:rsid w:val="006B17AE"/>
    <w:rsid w:val="006B3114"/>
    <w:rsid w:val="006C09A0"/>
    <w:rsid w:val="006C0BA2"/>
    <w:rsid w:val="006C30B6"/>
    <w:rsid w:val="006D3FD2"/>
    <w:rsid w:val="006D5481"/>
    <w:rsid w:val="006D62D1"/>
    <w:rsid w:val="006E0CFD"/>
    <w:rsid w:val="006E5125"/>
    <w:rsid w:val="006F2759"/>
    <w:rsid w:val="006F2B4B"/>
    <w:rsid w:val="006F390D"/>
    <w:rsid w:val="006F479B"/>
    <w:rsid w:val="007051C2"/>
    <w:rsid w:val="00707EEC"/>
    <w:rsid w:val="0071026F"/>
    <w:rsid w:val="007114C7"/>
    <w:rsid w:val="00712B11"/>
    <w:rsid w:val="0071708A"/>
    <w:rsid w:val="00722FBA"/>
    <w:rsid w:val="0072464F"/>
    <w:rsid w:val="00724A70"/>
    <w:rsid w:val="007356CF"/>
    <w:rsid w:val="0073734E"/>
    <w:rsid w:val="00740920"/>
    <w:rsid w:val="00744943"/>
    <w:rsid w:val="0074655C"/>
    <w:rsid w:val="00746849"/>
    <w:rsid w:val="00750006"/>
    <w:rsid w:val="00756718"/>
    <w:rsid w:val="00757AB0"/>
    <w:rsid w:val="007625E9"/>
    <w:rsid w:val="00762B7D"/>
    <w:rsid w:val="00765952"/>
    <w:rsid w:val="007676BF"/>
    <w:rsid w:val="007708E3"/>
    <w:rsid w:val="007764C1"/>
    <w:rsid w:val="00783997"/>
    <w:rsid w:val="007863A8"/>
    <w:rsid w:val="00786FCD"/>
    <w:rsid w:val="00787F9E"/>
    <w:rsid w:val="0079726C"/>
    <w:rsid w:val="007A6970"/>
    <w:rsid w:val="007B1875"/>
    <w:rsid w:val="007B2DF8"/>
    <w:rsid w:val="007B6393"/>
    <w:rsid w:val="007C0779"/>
    <w:rsid w:val="007C3BD8"/>
    <w:rsid w:val="007D0C2B"/>
    <w:rsid w:val="007D4B4E"/>
    <w:rsid w:val="007D6610"/>
    <w:rsid w:val="007D7A77"/>
    <w:rsid w:val="007E3238"/>
    <w:rsid w:val="007F0A8D"/>
    <w:rsid w:val="007F1731"/>
    <w:rsid w:val="007F585B"/>
    <w:rsid w:val="0080145F"/>
    <w:rsid w:val="00801C16"/>
    <w:rsid w:val="00806A81"/>
    <w:rsid w:val="00814FB2"/>
    <w:rsid w:val="00821188"/>
    <w:rsid w:val="00822F65"/>
    <w:rsid w:val="008275A8"/>
    <w:rsid w:val="00830017"/>
    <w:rsid w:val="00835756"/>
    <w:rsid w:val="00835EBA"/>
    <w:rsid w:val="00842A8D"/>
    <w:rsid w:val="0084769F"/>
    <w:rsid w:val="008516CB"/>
    <w:rsid w:val="0085340C"/>
    <w:rsid w:val="00855D6E"/>
    <w:rsid w:val="00855E79"/>
    <w:rsid w:val="00865AD7"/>
    <w:rsid w:val="00877394"/>
    <w:rsid w:val="00882DF9"/>
    <w:rsid w:val="00885A05"/>
    <w:rsid w:val="00886BB2"/>
    <w:rsid w:val="00890078"/>
    <w:rsid w:val="00892DE6"/>
    <w:rsid w:val="00895996"/>
    <w:rsid w:val="008A19B3"/>
    <w:rsid w:val="008A5F97"/>
    <w:rsid w:val="008A7976"/>
    <w:rsid w:val="008C6D40"/>
    <w:rsid w:val="008C77FC"/>
    <w:rsid w:val="008D2F46"/>
    <w:rsid w:val="008D5069"/>
    <w:rsid w:val="008D6945"/>
    <w:rsid w:val="008E1EA6"/>
    <w:rsid w:val="008F2E12"/>
    <w:rsid w:val="008F79D3"/>
    <w:rsid w:val="009003BD"/>
    <w:rsid w:val="009006AE"/>
    <w:rsid w:val="00904A37"/>
    <w:rsid w:val="00912209"/>
    <w:rsid w:val="00913112"/>
    <w:rsid w:val="0092130B"/>
    <w:rsid w:val="00932099"/>
    <w:rsid w:val="009346B3"/>
    <w:rsid w:val="00934817"/>
    <w:rsid w:val="00941869"/>
    <w:rsid w:val="009427BA"/>
    <w:rsid w:val="00946D2B"/>
    <w:rsid w:val="0095026B"/>
    <w:rsid w:val="009506FE"/>
    <w:rsid w:val="00954E72"/>
    <w:rsid w:val="00955671"/>
    <w:rsid w:val="00957487"/>
    <w:rsid w:val="00963524"/>
    <w:rsid w:val="00965642"/>
    <w:rsid w:val="00966D38"/>
    <w:rsid w:val="00970776"/>
    <w:rsid w:val="00982ADA"/>
    <w:rsid w:val="009838C8"/>
    <w:rsid w:val="00991B17"/>
    <w:rsid w:val="00997416"/>
    <w:rsid w:val="009A1B78"/>
    <w:rsid w:val="009A2167"/>
    <w:rsid w:val="009B115E"/>
    <w:rsid w:val="009B12C8"/>
    <w:rsid w:val="009B3576"/>
    <w:rsid w:val="009B35B5"/>
    <w:rsid w:val="009B5EE6"/>
    <w:rsid w:val="009D6E9C"/>
    <w:rsid w:val="009D74C3"/>
    <w:rsid w:val="009E3C53"/>
    <w:rsid w:val="009E3FF4"/>
    <w:rsid w:val="009E450D"/>
    <w:rsid w:val="009E6440"/>
    <w:rsid w:val="009E7CA7"/>
    <w:rsid w:val="009F1C32"/>
    <w:rsid w:val="009F4B73"/>
    <w:rsid w:val="009F64A8"/>
    <w:rsid w:val="00A10688"/>
    <w:rsid w:val="00A12D1F"/>
    <w:rsid w:val="00A145A2"/>
    <w:rsid w:val="00A15D43"/>
    <w:rsid w:val="00A168AA"/>
    <w:rsid w:val="00A207B1"/>
    <w:rsid w:val="00A24056"/>
    <w:rsid w:val="00A24362"/>
    <w:rsid w:val="00A32F68"/>
    <w:rsid w:val="00A335AD"/>
    <w:rsid w:val="00A40D44"/>
    <w:rsid w:val="00A40D8A"/>
    <w:rsid w:val="00A40E69"/>
    <w:rsid w:val="00A50E36"/>
    <w:rsid w:val="00A51F0E"/>
    <w:rsid w:val="00A52103"/>
    <w:rsid w:val="00A52C6E"/>
    <w:rsid w:val="00A5329A"/>
    <w:rsid w:val="00A551F5"/>
    <w:rsid w:val="00A5641B"/>
    <w:rsid w:val="00A57319"/>
    <w:rsid w:val="00A5785C"/>
    <w:rsid w:val="00A605BF"/>
    <w:rsid w:val="00A75707"/>
    <w:rsid w:val="00A8011E"/>
    <w:rsid w:val="00A81AFE"/>
    <w:rsid w:val="00A82117"/>
    <w:rsid w:val="00A83EC4"/>
    <w:rsid w:val="00A86E0C"/>
    <w:rsid w:val="00A875CB"/>
    <w:rsid w:val="00A91C86"/>
    <w:rsid w:val="00AA4484"/>
    <w:rsid w:val="00AB0873"/>
    <w:rsid w:val="00AC0BBF"/>
    <w:rsid w:val="00AC1CBA"/>
    <w:rsid w:val="00AC3CA9"/>
    <w:rsid w:val="00AD6B0A"/>
    <w:rsid w:val="00AE0144"/>
    <w:rsid w:val="00AE0A9D"/>
    <w:rsid w:val="00AE24A5"/>
    <w:rsid w:val="00AE3DEA"/>
    <w:rsid w:val="00AE5E65"/>
    <w:rsid w:val="00AE6886"/>
    <w:rsid w:val="00AF79F4"/>
    <w:rsid w:val="00B005D8"/>
    <w:rsid w:val="00B0203A"/>
    <w:rsid w:val="00B02CC3"/>
    <w:rsid w:val="00B06BAB"/>
    <w:rsid w:val="00B12B66"/>
    <w:rsid w:val="00B14E14"/>
    <w:rsid w:val="00B17922"/>
    <w:rsid w:val="00B20D72"/>
    <w:rsid w:val="00B22C7F"/>
    <w:rsid w:val="00B24E77"/>
    <w:rsid w:val="00B33F1C"/>
    <w:rsid w:val="00B34542"/>
    <w:rsid w:val="00B35350"/>
    <w:rsid w:val="00B401C9"/>
    <w:rsid w:val="00B41CAF"/>
    <w:rsid w:val="00B4264D"/>
    <w:rsid w:val="00B431E5"/>
    <w:rsid w:val="00B43AB2"/>
    <w:rsid w:val="00B449A3"/>
    <w:rsid w:val="00B503BA"/>
    <w:rsid w:val="00B53AC1"/>
    <w:rsid w:val="00B54D0A"/>
    <w:rsid w:val="00B57C3E"/>
    <w:rsid w:val="00B63CC8"/>
    <w:rsid w:val="00B65FD6"/>
    <w:rsid w:val="00B66762"/>
    <w:rsid w:val="00B67CBD"/>
    <w:rsid w:val="00B728F2"/>
    <w:rsid w:val="00B7473D"/>
    <w:rsid w:val="00B8364B"/>
    <w:rsid w:val="00B91739"/>
    <w:rsid w:val="00B94ED7"/>
    <w:rsid w:val="00B94FB5"/>
    <w:rsid w:val="00B9583B"/>
    <w:rsid w:val="00B95C27"/>
    <w:rsid w:val="00BA42DF"/>
    <w:rsid w:val="00BA48BB"/>
    <w:rsid w:val="00BB3408"/>
    <w:rsid w:val="00BB3D1B"/>
    <w:rsid w:val="00BB48AC"/>
    <w:rsid w:val="00BB4E89"/>
    <w:rsid w:val="00BC0D11"/>
    <w:rsid w:val="00BC33F2"/>
    <w:rsid w:val="00BC629F"/>
    <w:rsid w:val="00BD5BAB"/>
    <w:rsid w:val="00BD66B1"/>
    <w:rsid w:val="00BD791C"/>
    <w:rsid w:val="00BE39A5"/>
    <w:rsid w:val="00BF18DB"/>
    <w:rsid w:val="00BF1F09"/>
    <w:rsid w:val="00BF2586"/>
    <w:rsid w:val="00C02009"/>
    <w:rsid w:val="00C02070"/>
    <w:rsid w:val="00C0491F"/>
    <w:rsid w:val="00C0588D"/>
    <w:rsid w:val="00C17878"/>
    <w:rsid w:val="00C21F5D"/>
    <w:rsid w:val="00C2548D"/>
    <w:rsid w:val="00C2688E"/>
    <w:rsid w:val="00C32568"/>
    <w:rsid w:val="00C3342F"/>
    <w:rsid w:val="00C33C59"/>
    <w:rsid w:val="00C34A67"/>
    <w:rsid w:val="00C373B6"/>
    <w:rsid w:val="00C42B50"/>
    <w:rsid w:val="00C51720"/>
    <w:rsid w:val="00C51807"/>
    <w:rsid w:val="00C53647"/>
    <w:rsid w:val="00C54206"/>
    <w:rsid w:val="00C627AC"/>
    <w:rsid w:val="00C63D4C"/>
    <w:rsid w:val="00C64BB1"/>
    <w:rsid w:val="00C650D5"/>
    <w:rsid w:val="00C65168"/>
    <w:rsid w:val="00C667A4"/>
    <w:rsid w:val="00C714BF"/>
    <w:rsid w:val="00C729FB"/>
    <w:rsid w:val="00C91875"/>
    <w:rsid w:val="00C9388B"/>
    <w:rsid w:val="00CA02C9"/>
    <w:rsid w:val="00CA0D56"/>
    <w:rsid w:val="00CA3604"/>
    <w:rsid w:val="00CA3AD8"/>
    <w:rsid w:val="00CA41CB"/>
    <w:rsid w:val="00CA721B"/>
    <w:rsid w:val="00CB797E"/>
    <w:rsid w:val="00CC470B"/>
    <w:rsid w:val="00CC4B6D"/>
    <w:rsid w:val="00CC4D09"/>
    <w:rsid w:val="00CC4EAB"/>
    <w:rsid w:val="00CC5058"/>
    <w:rsid w:val="00CC7137"/>
    <w:rsid w:val="00CD0BDC"/>
    <w:rsid w:val="00CD6CD1"/>
    <w:rsid w:val="00CD76A0"/>
    <w:rsid w:val="00CF17C2"/>
    <w:rsid w:val="00CF554A"/>
    <w:rsid w:val="00CF6D3E"/>
    <w:rsid w:val="00CF7AFF"/>
    <w:rsid w:val="00CF7B06"/>
    <w:rsid w:val="00D01300"/>
    <w:rsid w:val="00D10CB9"/>
    <w:rsid w:val="00D16CE7"/>
    <w:rsid w:val="00D179C6"/>
    <w:rsid w:val="00D17DB6"/>
    <w:rsid w:val="00D23F0F"/>
    <w:rsid w:val="00D311BA"/>
    <w:rsid w:val="00D31289"/>
    <w:rsid w:val="00D362E1"/>
    <w:rsid w:val="00D43461"/>
    <w:rsid w:val="00D4739C"/>
    <w:rsid w:val="00D50A58"/>
    <w:rsid w:val="00D52D45"/>
    <w:rsid w:val="00D56505"/>
    <w:rsid w:val="00D62C6F"/>
    <w:rsid w:val="00D71BF1"/>
    <w:rsid w:val="00D7311B"/>
    <w:rsid w:val="00D7535F"/>
    <w:rsid w:val="00D83980"/>
    <w:rsid w:val="00D83B6A"/>
    <w:rsid w:val="00D84CC2"/>
    <w:rsid w:val="00D85412"/>
    <w:rsid w:val="00D90E25"/>
    <w:rsid w:val="00DA00D0"/>
    <w:rsid w:val="00DA03CA"/>
    <w:rsid w:val="00DA1411"/>
    <w:rsid w:val="00DA403C"/>
    <w:rsid w:val="00DA781C"/>
    <w:rsid w:val="00DB4CC7"/>
    <w:rsid w:val="00DB4E8A"/>
    <w:rsid w:val="00DB55F1"/>
    <w:rsid w:val="00DB608A"/>
    <w:rsid w:val="00DB7086"/>
    <w:rsid w:val="00DC095C"/>
    <w:rsid w:val="00DC2145"/>
    <w:rsid w:val="00DC6211"/>
    <w:rsid w:val="00DD068B"/>
    <w:rsid w:val="00DD38CD"/>
    <w:rsid w:val="00DD4252"/>
    <w:rsid w:val="00DE331E"/>
    <w:rsid w:val="00DE698C"/>
    <w:rsid w:val="00DF1A67"/>
    <w:rsid w:val="00DF590E"/>
    <w:rsid w:val="00DF6143"/>
    <w:rsid w:val="00DF6997"/>
    <w:rsid w:val="00E0122C"/>
    <w:rsid w:val="00E01C21"/>
    <w:rsid w:val="00E0303C"/>
    <w:rsid w:val="00E04085"/>
    <w:rsid w:val="00E07163"/>
    <w:rsid w:val="00E22B25"/>
    <w:rsid w:val="00E23526"/>
    <w:rsid w:val="00E23994"/>
    <w:rsid w:val="00E26663"/>
    <w:rsid w:val="00E31145"/>
    <w:rsid w:val="00E363C6"/>
    <w:rsid w:val="00E403E0"/>
    <w:rsid w:val="00E409D0"/>
    <w:rsid w:val="00E41F3A"/>
    <w:rsid w:val="00E431AD"/>
    <w:rsid w:val="00E4574F"/>
    <w:rsid w:val="00E47A00"/>
    <w:rsid w:val="00E51B93"/>
    <w:rsid w:val="00E52230"/>
    <w:rsid w:val="00E52E6A"/>
    <w:rsid w:val="00E54676"/>
    <w:rsid w:val="00E602E2"/>
    <w:rsid w:val="00E60803"/>
    <w:rsid w:val="00E6094A"/>
    <w:rsid w:val="00E634BB"/>
    <w:rsid w:val="00E648FF"/>
    <w:rsid w:val="00E70593"/>
    <w:rsid w:val="00E719E6"/>
    <w:rsid w:val="00E732E6"/>
    <w:rsid w:val="00E76887"/>
    <w:rsid w:val="00E80DFB"/>
    <w:rsid w:val="00E81407"/>
    <w:rsid w:val="00E9477B"/>
    <w:rsid w:val="00E95521"/>
    <w:rsid w:val="00E967F1"/>
    <w:rsid w:val="00EA444F"/>
    <w:rsid w:val="00EA6F2F"/>
    <w:rsid w:val="00EA708E"/>
    <w:rsid w:val="00EB251B"/>
    <w:rsid w:val="00EB2F4B"/>
    <w:rsid w:val="00EC1777"/>
    <w:rsid w:val="00EC3232"/>
    <w:rsid w:val="00EC68F9"/>
    <w:rsid w:val="00EC7C96"/>
    <w:rsid w:val="00ED2429"/>
    <w:rsid w:val="00ED6835"/>
    <w:rsid w:val="00EE10B2"/>
    <w:rsid w:val="00EF07C0"/>
    <w:rsid w:val="00EF3603"/>
    <w:rsid w:val="00F05276"/>
    <w:rsid w:val="00F10768"/>
    <w:rsid w:val="00F11D8D"/>
    <w:rsid w:val="00F12BB3"/>
    <w:rsid w:val="00F13AFF"/>
    <w:rsid w:val="00F14210"/>
    <w:rsid w:val="00F231BB"/>
    <w:rsid w:val="00F23230"/>
    <w:rsid w:val="00F2352F"/>
    <w:rsid w:val="00F244FC"/>
    <w:rsid w:val="00F36225"/>
    <w:rsid w:val="00F40557"/>
    <w:rsid w:val="00F43F91"/>
    <w:rsid w:val="00F45C10"/>
    <w:rsid w:val="00F540B5"/>
    <w:rsid w:val="00F62013"/>
    <w:rsid w:val="00F633A5"/>
    <w:rsid w:val="00F64629"/>
    <w:rsid w:val="00F648A3"/>
    <w:rsid w:val="00F67932"/>
    <w:rsid w:val="00F7116C"/>
    <w:rsid w:val="00F85BFA"/>
    <w:rsid w:val="00F91855"/>
    <w:rsid w:val="00F95F78"/>
    <w:rsid w:val="00FA3E92"/>
    <w:rsid w:val="00FB1495"/>
    <w:rsid w:val="00FB2A8F"/>
    <w:rsid w:val="00FB41AD"/>
    <w:rsid w:val="00FB6D31"/>
    <w:rsid w:val="00FC0148"/>
    <w:rsid w:val="00FC03BF"/>
    <w:rsid w:val="00FC255E"/>
    <w:rsid w:val="00FD26FB"/>
    <w:rsid w:val="00FD744F"/>
    <w:rsid w:val="00FE0A6C"/>
    <w:rsid w:val="00FE0EAC"/>
    <w:rsid w:val="00FE55DC"/>
    <w:rsid w:val="00FE7612"/>
    <w:rsid w:val="00FF23FD"/>
    <w:rsid w:val="00FF5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B2CE1"/>
  <w15:docId w15:val="{8DBEE7EC-5C12-4B88-83F0-45F60049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970"/>
    <w:rPr>
      <w:sz w:val="24"/>
      <w:szCs w:val="24"/>
      <w:lang w:val="sr-Cyrl-RS"/>
    </w:rPr>
  </w:style>
  <w:style w:type="paragraph" w:styleId="Heading1">
    <w:name w:val="heading 1"/>
    <w:basedOn w:val="Normal"/>
    <w:next w:val="Normal"/>
    <w:link w:val="Heading1Char"/>
    <w:qFormat/>
    <w:rsid w:val="00275B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75B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5B3C"/>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75B3C"/>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275B3C"/>
    <w:pPr>
      <w:spacing w:before="240" w:after="60"/>
      <w:outlineLvl w:val="5"/>
    </w:pPr>
    <w:rPr>
      <w:b/>
      <w:bCs/>
      <w:sz w:val="22"/>
      <w:szCs w:val="22"/>
    </w:rPr>
  </w:style>
  <w:style w:type="paragraph" w:styleId="Heading7">
    <w:name w:val="heading 7"/>
    <w:basedOn w:val="Normal"/>
    <w:next w:val="Normal"/>
    <w:link w:val="Heading7Char"/>
    <w:qFormat/>
    <w:rsid w:val="00275B3C"/>
    <w:p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
    <w:name w:val="Car Car"/>
    <w:basedOn w:val="Normal"/>
    <w:rsid w:val="00E719E6"/>
    <w:pPr>
      <w:spacing w:after="160" w:line="240" w:lineRule="exact"/>
    </w:pPr>
    <w:rPr>
      <w:rFonts w:ascii="Verdana" w:hAnsi="Verdana"/>
      <w:i/>
      <w:sz w:val="20"/>
      <w:szCs w:val="20"/>
    </w:rPr>
  </w:style>
  <w:style w:type="character" w:styleId="Hyperlink">
    <w:name w:val="Hyperlink"/>
    <w:uiPriority w:val="99"/>
    <w:rsid w:val="00E719E6"/>
    <w:rPr>
      <w:color w:val="0000FF"/>
      <w:u w:val="single"/>
    </w:rPr>
  </w:style>
  <w:style w:type="character" w:styleId="FollowedHyperlink">
    <w:name w:val="FollowedHyperlink"/>
    <w:uiPriority w:val="99"/>
    <w:unhideWhenUsed/>
    <w:rsid w:val="009506FE"/>
    <w:rPr>
      <w:color w:val="800080"/>
      <w:u w:val="single"/>
    </w:rPr>
  </w:style>
  <w:style w:type="paragraph" w:styleId="BalloonText">
    <w:name w:val="Balloon Text"/>
    <w:basedOn w:val="Normal"/>
    <w:link w:val="BalloonTextChar"/>
    <w:rsid w:val="00BE39A5"/>
    <w:rPr>
      <w:rFonts w:ascii="Tahoma" w:hAnsi="Tahoma" w:cs="Tahoma"/>
      <w:sz w:val="16"/>
      <w:szCs w:val="16"/>
    </w:rPr>
  </w:style>
  <w:style w:type="character" w:customStyle="1" w:styleId="BalloonTextChar">
    <w:name w:val="Balloon Text Char"/>
    <w:link w:val="BalloonText"/>
    <w:rsid w:val="00BE39A5"/>
    <w:rPr>
      <w:rFonts w:ascii="Tahoma" w:hAnsi="Tahoma" w:cs="Tahoma"/>
      <w:sz w:val="16"/>
      <w:szCs w:val="16"/>
    </w:rPr>
  </w:style>
  <w:style w:type="table" w:styleId="TableGrid">
    <w:name w:val="Table Grid"/>
    <w:basedOn w:val="TableNormal"/>
    <w:rsid w:val="00D1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E76887"/>
    <w:pPr>
      <w:spacing w:after="160" w:line="240" w:lineRule="exact"/>
    </w:pPr>
    <w:rPr>
      <w:rFonts w:ascii="Verdana" w:hAnsi="Verdana"/>
      <w:i/>
      <w:sz w:val="20"/>
      <w:szCs w:val="20"/>
    </w:rPr>
  </w:style>
  <w:style w:type="paragraph" w:styleId="Header">
    <w:name w:val="header"/>
    <w:basedOn w:val="Normal"/>
    <w:link w:val="HeaderChar"/>
    <w:rsid w:val="000B6349"/>
    <w:pPr>
      <w:tabs>
        <w:tab w:val="center" w:pos="4680"/>
        <w:tab w:val="right" w:pos="9360"/>
      </w:tabs>
    </w:pPr>
  </w:style>
  <w:style w:type="character" w:customStyle="1" w:styleId="HeaderChar">
    <w:name w:val="Header Char"/>
    <w:link w:val="Header"/>
    <w:rsid w:val="000B6349"/>
    <w:rPr>
      <w:sz w:val="24"/>
      <w:szCs w:val="24"/>
    </w:rPr>
  </w:style>
  <w:style w:type="paragraph" w:styleId="Footer">
    <w:name w:val="footer"/>
    <w:basedOn w:val="Normal"/>
    <w:link w:val="FooterChar"/>
    <w:rsid w:val="000B6349"/>
    <w:pPr>
      <w:tabs>
        <w:tab w:val="center" w:pos="4680"/>
        <w:tab w:val="right" w:pos="9360"/>
      </w:tabs>
    </w:pPr>
  </w:style>
  <w:style w:type="character" w:customStyle="1" w:styleId="FooterChar">
    <w:name w:val="Footer Char"/>
    <w:link w:val="Footer"/>
    <w:rsid w:val="000B6349"/>
    <w:rPr>
      <w:sz w:val="24"/>
      <w:szCs w:val="24"/>
    </w:rPr>
  </w:style>
  <w:style w:type="character" w:customStyle="1" w:styleId="Heading1Char">
    <w:name w:val="Heading 1 Char"/>
    <w:basedOn w:val="DefaultParagraphFont"/>
    <w:link w:val="Heading1"/>
    <w:rsid w:val="00275B3C"/>
    <w:rPr>
      <w:rFonts w:ascii="Arial" w:hAnsi="Arial" w:cs="Arial"/>
      <w:b/>
      <w:bCs/>
      <w:kern w:val="32"/>
      <w:sz w:val="32"/>
      <w:szCs w:val="32"/>
    </w:rPr>
  </w:style>
  <w:style w:type="character" w:customStyle="1" w:styleId="Heading2Char">
    <w:name w:val="Heading 2 Char"/>
    <w:basedOn w:val="DefaultParagraphFont"/>
    <w:link w:val="Heading2"/>
    <w:rsid w:val="00275B3C"/>
    <w:rPr>
      <w:rFonts w:ascii="Arial" w:hAnsi="Arial" w:cs="Arial"/>
      <w:b/>
      <w:bCs/>
      <w:i/>
      <w:iCs/>
      <w:sz w:val="28"/>
      <w:szCs w:val="28"/>
    </w:rPr>
  </w:style>
  <w:style w:type="character" w:customStyle="1" w:styleId="Heading3Char">
    <w:name w:val="Heading 3 Char"/>
    <w:basedOn w:val="DefaultParagraphFont"/>
    <w:link w:val="Heading3"/>
    <w:rsid w:val="00275B3C"/>
    <w:rPr>
      <w:rFonts w:ascii="Arial" w:hAnsi="Arial" w:cs="Arial"/>
      <w:b/>
      <w:bCs/>
      <w:sz w:val="26"/>
      <w:szCs w:val="26"/>
    </w:rPr>
  </w:style>
  <w:style w:type="character" w:customStyle="1" w:styleId="Heading5Char">
    <w:name w:val="Heading 5 Char"/>
    <w:basedOn w:val="DefaultParagraphFont"/>
    <w:link w:val="Heading5"/>
    <w:rsid w:val="00275B3C"/>
    <w:rPr>
      <w:rFonts w:ascii="Arial" w:hAnsi="Arial"/>
      <w:b/>
      <w:bCs/>
      <w:i/>
      <w:iCs/>
      <w:sz w:val="26"/>
      <w:szCs w:val="26"/>
    </w:rPr>
  </w:style>
  <w:style w:type="character" w:customStyle="1" w:styleId="Heading6Char">
    <w:name w:val="Heading 6 Char"/>
    <w:basedOn w:val="DefaultParagraphFont"/>
    <w:link w:val="Heading6"/>
    <w:rsid w:val="00275B3C"/>
    <w:rPr>
      <w:b/>
      <w:bCs/>
      <w:sz w:val="22"/>
      <w:szCs w:val="22"/>
    </w:rPr>
  </w:style>
  <w:style w:type="character" w:customStyle="1" w:styleId="Heading7Char">
    <w:name w:val="Heading 7 Char"/>
    <w:basedOn w:val="DefaultParagraphFont"/>
    <w:link w:val="Heading7"/>
    <w:rsid w:val="00275B3C"/>
    <w:rPr>
      <w:rFonts w:ascii="Arial" w:hAnsi="Arial"/>
      <w:szCs w:val="24"/>
    </w:rPr>
  </w:style>
  <w:style w:type="paragraph" w:customStyle="1" w:styleId="Naslovsaopstenja">
    <w:name w:val="Naslov saopstenja"/>
    <w:basedOn w:val="Title"/>
    <w:next w:val="Caption"/>
    <w:rsid w:val="00275B3C"/>
    <w:pPr>
      <w:spacing w:after="0"/>
    </w:pPr>
    <w:rPr>
      <w:bCs w:val="0"/>
      <w:sz w:val="24"/>
      <w:szCs w:val="24"/>
    </w:rPr>
  </w:style>
  <w:style w:type="paragraph" w:styleId="Title">
    <w:name w:val="Title"/>
    <w:basedOn w:val="Normal"/>
    <w:link w:val="TitleChar"/>
    <w:qFormat/>
    <w:rsid w:val="00275B3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75B3C"/>
    <w:rPr>
      <w:rFonts w:ascii="Arial" w:hAnsi="Arial" w:cs="Arial"/>
      <w:b/>
      <w:bCs/>
      <w:kern w:val="28"/>
      <w:sz w:val="32"/>
      <w:szCs w:val="32"/>
    </w:rPr>
  </w:style>
  <w:style w:type="paragraph" w:styleId="Caption">
    <w:name w:val="caption"/>
    <w:basedOn w:val="Normal"/>
    <w:next w:val="Normal"/>
    <w:qFormat/>
    <w:rsid w:val="00275B3C"/>
    <w:rPr>
      <w:rFonts w:ascii="Arial" w:hAnsi="Arial"/>
      <w:b/>
      <w:bCs/>
      <w:sz w:val="20"/>
      <w:szCs w:val="20"/>
    </w:rPr>
  </w:style>
  <w:style w:type="paragraph" w:customStyle="1" w:styleId="Podnaslovsopstenja">
    <w:name w:val="Podnaslov sopstenja"/>
    <w:basedOn w:val="Normal"/>
    <w:rsid w:val="00275B3C"/>
    <w:pPr>
      <w:spacing w:after="120"/>
      <w:jc w:val="center"/>
    </w:pPr>
    <w:rPr>
      <w:rFonts w:ascii="Arial" w:hAnsi="Arial"/>
      <w:b/>
      <w:sz w:val="22"/>
    </w:rPr>
  </w:style>
  <w:style w:type="paragraph" w:styleId="Subtitle">
    <w:name w:val="Subtitle"/>
    <w:basedOn w:val="Normal"/>
    <w:link w:val="SubtitleChar"/>
    <w:qFormat/>
    <w:rsid w:val="00275B3C"/>
    <w:pPr>
      <w:spacing w:after="60"/>
      <w:jc w:val="center"/>
      <w:outlineLvl w:val="1"/>
    </w:pPr>
    <w:rPr>
      <w:rFonts w:ascii="Arial" w:hAnsi="Arial" w:cs="Arial"/>
      <w:sz w:val="20"/>
    </w:rPr>
  </w:style>
  <w:style w:type="character" w:customStyle="1" w:styleId="SubtitleChar">
    <w:name w:val="Subtitle Char"/>
    <w:basedOn w:val="DefaultParagraphFont"/>
    <w:link w:val="Subtitle"/>
    <w:rsid w:val="00275B3C"/>
    <w:rPr>
      <w:rFonts w:ascii="Arial" w:hAnsi="Arial" w:cs="Arial"/>
      <w:szCs w:val="24"/>
    </w:rPr>
  </w:style>
  <w:style w:type="paragraph" w:customStyle="1" w:styleId="NaslovMetodologijaiNapomena">
    <w:name w:val="Naslov Metodologija i Napomena"/>
    <w:basedOn w:val="Normal"/>
    <w:rsid w:val="00275B3C"/>
    <w:pPr>
      <w:spacing w:before="120" w:after="240"/>
      <w:jc w:val="center"/>
    </w:pPr>
    <w:rPr>
      <w:rFonts w:ascii="Arial" w:hAnsi="Arial"/>
      <w:b/>
      <w:sz w:val="20"/>
    </w:rPr>
  </w:style>
  <w:style w:type="paragraph" w:customStyle="1" w:styleId="TekstMetodologijaiNapomena">
    <w:name w:val="Tekst Metodologija i Napomena"/>
    <w:basedOn w:val="BodyTextFirstIndent"/>
    <w:next w:val="BodyText"/>
    <w:rsid w:val="00275B3C"/>
    <w:pPr>
      <w:spacing w:before="120" w:after="0"/>
      <w:ind w:firstLine="397"/>
      <w:jc w:val="both"/>
    </w:pPr>
    <w:rPr>
      <w:bCs/>
      <w:szCs w:val="20"/>
      <w:lang w:val="sr-Cyrl-CS"/>
    </w:rPr>
  </w:style>
  <w:style w:type="paragraph" w:styleId="BodyText">
    <w:name w:val="Body Text"/>
    <w:basedOn w:val="Normal"/>
    <w:link w:val="BodyTextChar"/>
    <w:rsid w:val="00275B3C"/>
    <w:pPr>
      <w:spacing w:after="120"/>
    </w:pPr>
  </w:style>
  <w:style w:type="character" w:customStyle="1" w:styleId="BodyTextChar">
    <w:name w:val="Body Text Char"/>
    <w:basedOn w:val="DefaultParagraphFont"/>
    <w:link w:val="BodyText"/>
    <w:rsid w:val="00275B3C"/>
    <w:rPr>
      <w:sz w:val="24"/>
      <w:szCs w:val="24"/>
    </w:rPr>
  </w:style>
  <w:style w:type="paragraph" w:styleId="BodyTextFirstIndent">
    <w:name w:val="Body Text First Indent"/>
    <w:basedOn w:val="BodyText"/>
    <w:link w:val="BodyTextFirstIndentChar"/>
    <w:rsid w:val="00275B3C"/>
    <w:pPr>
      <w:ind w:firstLine="210"/>
    </w:pPr>
    <w:rPr>
      <w:rFonts w:ascii="Arial" w:hAnsi="Arial"/>
      <w:sz w:val="20"/>
    </w:rPr>
  </w:style>
  <w:style w:type="character" w:customStyle="1" w:styleId="BodyTextFirstIndentChar">
    <w:name w:val="Body Text First Indent Char"/>
    <w:basedOn w:val="BodyTextChar"/>
    <w:link w:val="BodyTextFirstIndent"/>
    <w:rsid w:val="00275B3C"/>
    <w:rPr>
      <w:rFonts w:ascii="Arial" w:hAnsi="Arial"/>
      <w:sz w:val="24"/>
      <w:szCs w:val="24"/>
    </w:rPr>
  </w:style>
  <w:style w:type="paragraph" w:styleId="ListNumber">
    <w:name w:val="List Number"/>
    <w:basedOn w:val="Normal"/>
    <w:rsid w:val="00275B3C"/>
    <w:pPr>
      <w:numPr>
        <w:numId w:val="3"/>
      </w:numPr>
    </w:pPr>
    <w:rPr>
      <w:rFonts w:ascii="Arial" w:hAnsi="Arial"/>
      <w:sz w:val="20"/>
    </w:rPr>
  </w:style>
  <w:style w:type="paragraph" w:customStyle="1" w:styleId="Style1">
    <w:name w:val="Style1"/>
    <w:semiHidden/>
    <w:rsid w:val="00275B3C"/>
    <w:rPr>
      <w:rFonts w:ascii="Arial" w:hAnsi="Arial"/>
    </w:rPr>
  </w:style>
  <w:style w:type="paragraph" w:styleId="BodyTextIndent">
    <w:name w:val="Body Text Indent"/>
    <w:basedOn w:val="Normal"/>
    <w:link w:val="BodyTextIndentChar"/>
    <w:rsid w:val="00275B3C"/>
    <w:pPr>
      <w:spacing w:after="120"/>
      <w:ind w:left="283"/>
    </w:pPr>
    <w:rPr>
      <w:rFonts w:ascii="Arial" w:hAnsi="Arial"/>
      <w:sz w:val="20"/>
    </w:rPr>
  </w:style>
  <w:style w:type="character" w:customStyle="1" w:styleId="BodyTextIndentChar">
    <w:name w:val="Body Text Indent Char"/>
    <w:basedOn w:val="DefaultParagraphFont"/>
    <w:link w:val="BodyTextIndent"/>
    <w:rsid w:val="00275B3C"/>
    <w:rPr>
      <w:rFonts w:ascii="Arial" w:hAnsi="Arial"/>
      <w:szCs w:val="24"/>
    </w:rPr>
  </w:style>
  <w:style w:type="paragraph" w:styleId="BodyTextIndent2">
    <w:name w:val="Body Text Indent 2"/>
    <w:basedOn w:val="Normal"/>
    <w:link w:val="BodyTextIndent2Char"/>
    <w:rsid w:val="00275B3C"/>
    <w:pPr>
      <w:spacing w:after="120" w:line="480" w:lineRule="auto"/>
      <w:ind w:left="283"/>
    </w:pPr>
    <w:rPr>
      <w:rFonts w:ascii="Arial" w:hAnsi="Arial"/>
      <w:sz w:val="20"/>
    </w:rPr>
  </w:style>
  <w:style w:type="character" w:customStyle="1" w:styleId="BodyTextIndent2Char">
    <w:name w:val="Body Text Indent 2 Char"/>
    <w:basedOn w:val="DefaultParagraphFont"/>
    <w:link w:val="BodyTextIndent2"/>
    <w:rsid w:val="00275B3C"/>
    <w:rPr>
      <w:rFonts w:ascii="Arial" w:hAnsi="Arial"/>
      <w:szCs w:val="24"/>
    </w:rPr>
  </w:style>
  <w:style w:type="paragraph" w:styleId="BodyText3">
    <w:name w:val="Body Text 3"/>
    <w:basedOn w:val="Normal"/>
    <w:link w:val="BodyText3Char"/>
    <w:rsid w:val="00275B3C"/>
    <w:pPr>
      <w:spacing w:after="120"/>
    </w:pPr>
    <w:rPr>
      <w:rFonts w:ascii="Arial" w:hAnsi="Arial"/>
      <w:sz w:val="16"/>
      <w:szCs w:val="16"/>
    </w:rPr>
  </w:style>
  <w:style w:type="character" w:customStyle="1" w:styleId="BodyText3Char">
    <w:name w:val="Body Text 3 Char"/>
    <w:basedOn w:val="DefaultParagraphFont"/>
    <w:link w:val="BodyText3"/>
    <w:rsid w:val="00275B3C"/>
    <w:rPr>
      <w:rFonts w:ascii="Arial" w:hAnsi="Arial"/>
      <w:sz w:val="16"/>
      <w:szCs w:val="16"/>
    </w:rPr>
  </w:style>
  <w:style w:type="paragraph" w:styleId="BodyTextFirstIndent2">
    <w:name w:val="Body Text First Indent 2"/>
    <w:basedOn w:val="BodyTextIndent"/>
    <w:link w:val="BodyTextFirstIndent2Char"/>
    <w:rsid w:val="00275B3C"/>
    <w:pPr>
      <w:ind w:firstLine="210"/>
    </w:pPr>
  </w:style>
  <w:style w:type="character" w:customStyle="1" w:styleId="BodyTextFirstIndent2Char">
    <w:name w:val="Body Text First Indent 2 Char"/>
    <w:basedOn w:val="BodyTextIndentChar"/>
    <w:link w:val="BodyTextFirstIndent2"/>
    <w:rsid w:val="00275B3C"/>
    <w:rPr>
      <w:rFonts w:ascii="Arial" w:hAnsi="Arial"/>
      <w:szCs w:val="24"/>
    </w:rPr>
  </w:style>
  <w:style w:type="paragraph" w:styleId="BodyTextIndent3">
    <w:name w:val="Body Text Indent 3"/>
    <w:basedOn w:val="Normal"/>
    <w:link w:val="BodyTextIndent3Char"/>
    <w:rsid w:val="00275B3C"/>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275B3C"/>
    <w:rPr>
      <w:rFonts w:ascii="Arial" w:hAnsi="Arial"/>
      <w:sz w:val="16"/>
      <w:szCs w:val="16"/>
    </w:rPr>
  </w:style>
  <w:style w:type="paragraph" w:styleId="BodyText2">
    <w:name w:val="Body Text 2"/>
    <w:basedOn w:val="Normal"/>
    <w:link w:val="BodyText2Char"/>
    <w:rsid w:val="00275B3C"/>
    <w:pPr>
      <w:spacing w:after="120" w:line="480" w:lineRule="auto"/>
    </w:pPr>
    <w:rPr>
      <w:rFonts w:ascii="Arial" w:hAnsi="Arial"/>
      <w:sz w:val="20"/>
    </w:rPr>
  </w:style>
  <w:style w:type="character" w:customStyle="1" w:styleId="BodyText2Char">
    <w:name w:val="Body Text 2 Char"/>
    <w:basedOn w:val="DefaultParagraphFont"/>
    <w:link w:val="BodyText2"/>
    <w:rsid w:val="00275B3C"/>
    <w:rPr>
      <w:rFonts w:ascii="Arial" w:hAnsi="Arial"/>
      <w:szCs w:val="24"/>
    </w:rPr>
  </w:style>
  <w:style w:type="paragraph" w:customStyle="1" w:styleId="StylePasusFirstline06cmBefore0ptAfter0pt">
    <w:name w:val="Style Pasus + First line:  06 cm Before:  0 pt After:  0 pt"/>
    <w:basedOn w:val="TekstMetodologijaiNapomena"/>
    <w:semiHidden/>
    <w:rsid w:val="00275B3C"/>
    <w:pPr>
      <w:spacing w:before="0"/>
      <w:ind w:firstLine="340"/>
    </w:pPr>
  </w:style>
  <w:style w:type="paragraph" w:styleId="NormalIndent">
    <w:name w:val="Normal Indent"/>
    <w:basedOn w:val="Normal"/>
    <w:rsid w:val="00275B3C"/>
    <w:pPr>
      <w:ind w:left="720"/>
    </w:pPr>
    <w:rPr>
      <w:rFonts w:ascii="Arial" w:hAnsi="Arial"/>
      <w:sz w:val="20"/>
    </w:rPr>
  </w:style>
  <w:style w:type="paragraph" w:customStyle="1" w:styleId="Naslovtabela">
    <w:name w:val="Naslov tabela"/>
    <w:basedOn w:val="Normal"/>
    <w:rsid w:val="00275B3C"/>
    <w:pPr>
      <w:tabs>
        <w:tab w:val="left" w:pos="284"/>
      </w:tabs>
      <w:spacing w:before="120" w:after="120"/>
      <w:ind w:left="284" w:hanging="284"/>
      <w:jc w:val="center"/>
    </w:pPr>
    <w:rPr>
      <w:rFonts w:ascii="Arial" w:hAnsi="Arial"/>
      <w:b/>
      <w:sz w:val="20"/>
    </w:rPr>
  </w:style>
  <w:style w:type="table" w:styleId="TableSimple2">
    <w:name w:val="Table Simple 2"/>
    <w:basedOn w:val="TableNormal"/>
    <w:rsid w:val="00275B3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rsid w:val="00275B3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rsid w:val="00275B3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275B3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275B3C"/>
    <w:pPr>
      <w:jc w:val="center"/>
    </w:pPr>
    <w:rPr>
      <w:rFonts w:ascii="Arial" w:hAnsi="Arial" w:cs="Arial"/>
      <w:sz w:val="16"/>
      <w:szCs w:val="20"/>
      <w:lang w:val="sr-Latn-CS"/>
    </w:rPr>
  </w:style>
  <w:style w:type="paragraph" w:customStyle="1" w:styleId="Tabela-Pretkolona">
    <w:name w:val="Tabela-Pretkolona"/>
    <w:basedOn w:val="Normal"/>
    <w:rsid w:val="00275B3C"/>
    <w:rPr>
      <w:rFonts w:ascii="Arial" w:hAnsi="Arial" w:cs="Arial"/>
      <w:sz w:val="16"/>
      <w:szCs w:val="20"/>
      <w:lang w:val="sr-Latn-CS"/>
    </w:rPr>
  </w:style>
  <w:style w:type="paragraph" w:customStyle="1" w:styleId="Tabela-PretkolonaI">
    <w:name w:val="Tabela-PretkolonaI"/>
    <w:basedOn w:val="Normal"/>
    <w:rsid w:val="00275B3C"/>
    <w:rPr>
      <w:rFonts w:ascii="Arial" w:hAnsi="Arial" w:cs="Arial"/>
      <w:i/>
      <w:sz w:val="16"/>
      <w:szCs w:val="20"/>
      <w:lang w:val="sr-Latn-CS"/>
    </w:rPr>
  </w:style>
  <w:style w:type="paragraph" w:customStyle="1" w:styleId="Tabela-PretkolonaB">
    <w:name w:val="Tabela-PretkolonaB"/>
    <w:basedOn w:val="Normal"/>
    <w:rsid w:val="00275B3C"/>
    <w:rPr>
      <w:rFonts w:ascii="Arial" w:hAnsi="Arial" w:cs="Arial"/>
      <w:b/>
      <w:sz w:val="16"/>
      <w:szCs w:val="20"/>
      <w:lang w:val="sr-Latn-CS"/>
    </w:rPr>
  </w:style>
  <w:style w:type="paragraph" w:customStyle="1" w:styleId="Tabela-Brojevi">
    <w:name w:val="Tabela-Brojevi"/>
    <w:basedOn w:val="Normal"/>
    <w:rsid w:val="00275B3C"/>
    <w:pPr>
      <w:jc w:val="right"/>
    </w:pPr>
    <w:rPr>
      <w:rFonts w:ascii="Arial" w:hAnsi="Arial" w:cs="Arial"/>
      <w:sz w:val="16"/>
      <w:szCs w:val="20"/>
      <w:lang w:val="sr-Latn-CS"/>
    </w:rPr>
  </w:style>
  <w:style w:type="paragraph" w:styleId="FootnoteText">
    <w:name w:val="footnote text"/>
    <w:basedOn w:val="Normal"/>
    <w:link w:val="FootnoteTextChar"/>
    <w:rsid w:val="00275B3C"/>
    <w:rPr>
      <w:rFonts w:ascii="Arial" w:hAnsi="Arial"/>
      <w:sz w:val="20"/>
      <w:szCs w:val="20"/>
    </w:rPr>
  </w:style>
  <w:style w:type="character" w:customStyle="1" w:styleId="FootnoteTextChar">
    <w:name w:val="Footnote Text Char"/>
    <w:basedOn w:val="DefaultParagraphFont"/>
    <w:link w:val="FootnoteText"/>
    <w:rsid w:val="00275B3C"/>
    <w:rPr>
      <w:rFonts w:ascii="Arial" w:hAnsi="Arial"/>
    </w:rPr>
  </w:style>
  <w:style w:type="paragraph" w:customStyle="1" w:styleId="Tabela-BrojeviI">
    <w:name w:val="Tabela-BrojeviI"/>
    <w:basedOn w:val="Normal"/>
    <w:rsid w:val="00275B3C"/>
    <w:pPr>
      <w:jc w:val="right"/>
    </w:pPr>
    <w:rPr>
      <w:rFonts w:ascii="Arial" w:hAnsi="Arial" w:cs="Arial"/>
      <w:i/>
      <w:sz w:val="16"/>
      <w:szCs w:val="20"/>
      <w:lang w:val="sr-Latn-CS"/>
    </w:rPr>
  </w:style>
  <w:style w:type="paragraph" w:customStyle="1" w:styleId="Tabela-BrojeviB">
    <w:name w:val="Tabela-BrojeviB"/>
    <w:basedOn w:val="Normal"/>
    <w:rsid w:val="00275B3C"/>
    <w:pPr>
      <w:jc w:val="right"/>
    </w:pPr>
    <w:rPr>
      <w:rFonts w:ascii="Arial" w:hAnsi="Arial" w:cs="Arial"/>
      <w:b/>
      <w:sz w:val="16"/>
      <w:szCs w:val="20"/>
      <w:lang w:val="sr-Latn-CS"/>
    </w:rPr>
  </w:style>
  <w:style w:type="paragraph" w:customStyle="1" w:styleId="Fusnota-Broj1">
    <w:name w:val="Fusnota-Broj1"/>
    <w:basedOn w:val="Normal"/>
    <w:rsid w:val="00275B3C"/>
    <w:pPr>
      <w:tabs>
        <w:tab w:val="num" w:pos="360"/>
      </w:tabs>
      <w:ind w:left="360" w:hanging="360"/>
    </w:pPr>
    <w:rPr>
      <w:rFonts w:ascii="Arial" w:hAnsi="Arial"/>
      <w:sz w:val="14"/>
      <w:szCs w:val="14"/>
      <w:vertAlign w:val="superscript"/>
      <w:lang w:val="sr-Latn-CS"/>
    </w:rPr>
  </w:style>
  <w:style w:type="paragraph" w:customStyle="1" w:styleId="Fusnota-Tekst1">
    <w:name w:val="Fusnota-Tekst1"/>
    <w:basedOn w:val="Normal"/>
    <w:rsid w:val="00275B3C"/>
    <w:rPr>
      <w:rFonts w:ascii="Arial" w:hAnsi="Arial" w:cs="Arial"/>
      <w:sz w:val="14"/>
      <w:szCs w:val="14"/>
      <w:lang w:val="sr-Latn-CS"/>
    </w:rPr>
  </w:style>
  <w:style w:type="paragraph" w:customStyle="1" w:styleId="Naslovgrafikona">
    <w:name w:val="Naslov grafikona"/>
    <w:basedOn w:val="Normal"/>
    <w:next w:val="Normal"/>
    <w:rsid w:val="00275B3C"/>
    <w:pPr>
      <w:framePr w:hSpace="181" w:wrap="around" w:vAnchor="page" w:hAnchor="margin" w:xAlign="center" w:y="14176"/>
      <w:spacing w:before="120" w:after="120"/>
      <w:jc w:val="center"/>
    </w:pPr>
    <w:rPr>
      <w:rFonts w:ascii="Arial" w:hAnsi="Arial" w:cs="Arial"/>
      <w:b/>
      <w:iCs/>
      <w:sz w:val="20"/>
      <w:szCs w:val="18"/>
      <w:lang w:val="ru-RU"/>
    </w:rPr>
  </w:style>
  <w:style w:type="paragraph" w:styleId="ListParagraph">
    <w:name w:val="List Paragraph"/>
    <w:basedOn w:val="Normal"/>
    <w:uiPriority w:val="34"/>
    <w:qFormat/>
    <w:rsid w:val="00275B3C"/>
    <w:pPr>
      <w:ind w:left="720"/>
      <w:contextualSpacing/>
    </w:pPr>
    <w:rPr>
      <w:rFonts w:ascii="Arial" w:hAnsi="Arial"/>
      <w:sz w:val="20"/>
    </w:rPr>
  </w:style>
  <w:style w:type="character" w:styleId="Strong">
    <w:name w:val="Strong"/>
    <w:basedOn w:val="DefaultParagraphFont"/>
    <w:uiPriority w:val="22"/>
    <w:qFormat/>
    <w:rsid w:val="006A4718"/>
    <w:rPr>
      <w:b/>
      <w:bCs/>
    </w:rPr>
  </w:style>
  <w:style w:type="paragraph" w:styleId="PlainText">
    <w:name w:val="Plain Text"/>
    <w:basedOn w:val="Normal"/>
    <w:link w:val="PlainTextChar"/>
    <w:uiPriority w:val="99"/>
    <w:semiHidden/>
    <w:unhideWhenUsed/>
    <w:rsid w:val="009B3576"/>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9B357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2989">
      <w:bodyDiv w:val="1"/>
      <w:marLeft w:val="0"/>
      <w:marRight w:val="0"/>
      <w:marTop w:val="0"/>
      <w:marBottom w:val="0"/>
      <w:divBdr>
        <w:top w:val="none" w:sz="0" w:space="0" w:color="auto"/>
        <w:left w:val="none" w:sz="0" w:space="0" w:color="auto"/>
        <w:bottom w:val="none" w:sz="0" w:space="0" w:color="auto"/>
        <w:right w:val="none" w:sz="0" w:space="0" w:color="auto"/>
      </w:divBdr>
    </w:div>
    <w:div w:id="190654378">
      <w:bodyDiv w:val="1"/>
      <w:marLeft w:val="0"/>
      <w:marRight w:val="0"/>
      <w:marTop w:val="0"/>
      <w:marBottom w:val="0"/>
      <w:divBdr>
        <w:top w:val="none" w:sz="0" w:space="0" w:color="auto"/>
        <w:left w:val="none" w:sz="0" w:space="0" w:color="auto"/>
        <w:bottom w:val="none" w:sz="0" w:space="0" w:color="auto"/>
        <w:right w:val="none" w:sz="0" w:space="0" w:color="auto"/>
      </w:divBdr>
    </w:div>
    <w:div w:id="344674528">
      <w:bodyDiv w:val="1"/>
      <w:marLeft w:val="0"/>
      <w:marRight w:val="0"/>
      <w:marTop w:val="0"/>
      <w:marBottom w:val="0"/>
      <w:divBdr>
        <w:top w:val="none" w:sz="0" w:space="0" w:color="auto"/>
        <w:left w:val="none" w:sz="0" w:space="0" w:color="auto"/>
        <w:bottom w:val="none" w:sz="0" w:space="0" w:color="auto"/>
        <w:right w:val="none" w:sz="0" w:space="0" w:color="auto"/>
      </w:divBdr>
    </w:div>
    <w:div w:id="472525511">
      <w:bodyDiv w:val="1"/>
      <w:marLeft w:val="0"/>
      <w:marRight w:val="0"/>
      <w:marTop w:val="0"/>
      <w:marBottom w:val="0"/>
      <w:divBdr>
        <w:top w:val="none" w:sz="0" w:space="0" w:color="auto"/>
        <w:left w:val="none" w:sz="0" w:space="0" w:color="auto"/>
        <w:bottom w:val="none" w:sz="0" w:space="0" w:color="auto"/>
        <w:right w:val="none" w:sz="0" w:space="0" w:color="auto"/>
      </w:divBdr>
    </w:div>
    <w:div w:id="480268518">
      <w:bodyDiv w:val="1"/>
      <w:marLeft w:val="0"/>
      <w:marRight w:val="0"/>
      <w:marTop w:val="0"/>
      <w:marBottom w:val="0"/>
      <w:divBdr>
        <w:top w:val="none" w:sz="0" w:space="0" w:color="auto"/>
        <w:left w:val="none" w:sz="0" w:space="0" w:color="auto"/>
        <w:bottom w:val="none" w:sz="0" w:space="0" w:color="auto"/>
        <w:right w:val="none" w:sz="0" w:space="0" w:color="auto"/>
      </w:divBdr>
    </w:div>
    <w:div w:id="488057036">
      <w:bodyDiv w:val="1"/>
      <w:marLeft w:val="0"/>
      <w:marRight w:val="0"/>
      <w:marTop w:val="0"/>
      <w:marBottom w:val="0"/>
      <w:divBdr>
        <w:top w:val="none" w:sz="0" w:space="0" w:color="auto"/>
        <w:left w:val="none" w:sz="0" w:space="0" w:color="auto"/>
        <w:bottom w:val="none" w:sz="0" w:space="0" w:color="auto"/>
        <w:right w:val="none" w:sz="0" w:space="0" w:color="auto"/>
      </w:divBdr>
    </w:div>
    <w:div w:id="535192305">
      <w:bodyDiv w:val="1"/>
      <w:marLeft w:val="0"/>
      <w:marRight w:val="0"/>
      <w:marTop w:val="0"/>
      <w:marBottom w:val="0"/>
      <w:divBdr>
        <w:top w:val="none" w:sz="0" w:space="0" w:color="auto"/>
        <w:left w:val="none" w:sz="0" w:space="0" w:color="auto"/>
        <w:bottom w:val="none" w:sz="0" w:space="0" w:color="auto"/>
        <w:right w:val="none" w:sz="0" w:space="0" w:color="auto"/>
      </w:divBdr>
    </w:div>
    <w:div w:id="543061814">
      <w:bodyDiv w:val="1"/>
      <w:marLeft w:val="0"/>
      <w:marRight w:val="0"/>
      <w:marTop w:val="0"/>
      <w:marBottom w:val="0"/>
      <w:divBdr>
        <w:top w:val="none" w:sz="0" w:space="0" w:color="auto"/>
        <w:left w:val="none" w:sz="0" w:space="0" w:color="auto"/>
        <w:bottom w:val="none" w:sz="0" w:space="0" w:color="auto"/>
        <w:right w:val="none" w:sz="0" w:space="0" w:color="auto"/>
      </w:divBdr>
    </w:div>
    <w:div w:id="551231694">
      <w:bodyDiv w:val="1"/>
      <w:marLeft w:val="0"/>
      <w:marRight w:val="0"/>
      <w:marTop w:val="0"/>
      <w:marBottom w:val="0"/>
      <w:divBdr>
        <w:top w:val="none" w:sz="0" w:space="0" w:color="auto"/>
        <w:left w:val="none" w:sz="0" w:space="0" w:color="auto"/>
        <w:bottom w:val="none" w:sz="0" w:space="0" w:color="auto"/>
        <w:right w:val="none" w:sz="0" w:space="0" w:color="auto"/>
      </w:divBdr>
    </w:div>
    <w:div w:id="635523546">
      <w:bodyDiv w:val="1"/>
      <w:marLeft w:val="0"/>
      <w:marRight w:val="0"/>
      <w:marTop w:val="0"/>
      <w:marBottom w:val="0"/>
      <w:divBdr>
        <w:top w:val="none" w:sz="0" w:space="0" w:color="auto"/>
        <w:left w:val="none" w:sz="0" w:space="0" w:color="auto"/>
        <w:bottom w:val="none" w:sz="0" w:space="0" w:color="auto"/>
        <w:right w:val="none" w:sz="0" w:space="0" w:color="auto"/>
      </w:divBdr>
    </w:div>
    <w:div w:id="659694590">
      <w:bodyDiv w:val="1"/>
      <w:marLeft w:val="0"/>
      <w:marRight w:val="0"/>
      <w:marTop w:val="0"/>
      <w:marBottom w:val="0"/>
      <w:divBdr>
        <w:top w:val="none" w:sz="0" w:space="0" w:color="auto"/>
        <w:left w:val="none" w:sz="0" w:space="0" w:color="auto"/>
        <w:bottom w:val="none" w:sz="0" w:space="0" w:color="auto"/>
        <w:right w:val="none" w:sz="0" w:space="0" w:color="auto"/>
      </w:divBdr>
    </w:div>
    <w:div w:id="755517257">
      <w:bodyDiv w:val="1"/>
      <w:marLeft w:val="0"/>
      <w:marRight w:val="0"/>
      <w:marTop w:val="0"/>
      <w:marBottom w:val="0"/>
      <w:divBdr>
        <w:top w:val="none" w:sz="0" w:space="0" w:color="auto"/>
        <w:left w:val="none" w:sz="0" w:space="0" w:color="auto"/>
        <w:bottom w:val="none" w:sz="0" w:space="0" w:color="auto"/>
        <w:right w:val="none" w:sz="0" w:space="0" w:color="auto"/>
      </w:divBdr>
    </w:div>
    <w:div w:id="799299500">
      <w:bodyDiv w:val="1"/>
      <w:marLeft w:val="0"/>
      <w:marRight w:val="0"/>
      <w:marTop w:val="0"/>
      <w:marBottom w:val="0"/>
      <w:divBdr>
        <w:top w:val="none" w:sz="0" w:space="0" w:color="auto"/>
        <w:left w:val="none" w:sz="0" w:space="0" w:color="auto"/>
        <w:bottom w:val="none" w:sz="0" w:space="0" w:color="auto"/>
        <w:right w:val="none" w:sz="0" w:space="0" w:color="auto"/>
      </w:divBdr>
    </w:div>
    <w:div w:id="849028265">
      <w:bodyDiv w:val="1"/>
      <w:marLeft w:val="0"/>
      <w:marRight w:val="0"/>
      <w:marTop w:val="0"/>
      <w:marBottom w:val="0"/>
      <w:divBdr>
        <w:top w:val="none" w:sz="0" w:space="0" w:color="auto"/>
        <w:left w:val="none" w:sz="0" w:space="0" w:color="auto"/>
        <w:bottom w:val="none" w:sz="0" w:space="0" w:color="auto"/>
        <w:right w:val="none" w:sz="0" w:space="0" w:color="auto"/>
      </w:divBdr>
    </w:div>
    <w:div w:id="868185894">
      <w:bodyDiv w:val="1"/>
      <w:marLeft w:val="0"/>
      <w:marRight w:val="0"/>
      <w:marTop w:val="0"/>
      <w:marBottom w:val="0"/>
      <w:divBdr>
        <w:top w:val="none" w:sz="0" w:space="0" w:color="auto"/>
        <w:left w:val="none" w:sz="0" w:space="0" w:color="auto"/>
        <w:bottom w:val="none" w:sz="0" w:space="0" w:color="auto"/>
        <w:right w:val="none" w:sz="0" w:space="0" w:color="auto"/>
      </w:divBdr>
    </w:div>
    <w:div w:id="968632747">
      <w:bodyDiv w:val="1"/>
      <w:marLeft w:val="0"/>
      <w:marRight w:val="0"/>
      <w:marTop w:val="0"/>
      <w:marBottom w:val="0"/>
      <w:divBdr>
        <w:top w:val="none" w:sz="0" w:space="0" w:color="auto"/>
        <w:left w:val="none" w:sz="0" w:space="0" w:color="auto"/>
        <w:bottom w:val="none" w:sz="0" w:space="0" w:color="auto"/>
        <w:right w:val="none" w:sz="0" w:space="0" w:color="auto"/>
      </w:divBdr>
    </w:div>
    <w:div w:id="1014646419">
      <w:bodyDiv w:val="1"/>
      <w:marLeft w:val="0"/>
      <w:marRight w:val="0"/>
      <w:marTop w:val="0"/>
      <w:marBottom w:val="0"/>
      <w:divBdr>
        <w:top w:val="none" w:sz="0" w:space="0" w:color="auto"/>
        <w:left w:val="none" w:sz="0" w:space="0" w:color="auto"/>
        <w:bottom w:val="none" w:sz="0" w:space="0" w:color="auto"/>
        <w:right w:val="none" w:sz="0" w:space="0" w:color="auto"/>
      </w:divBdr>
    </w:div>
    <w:div w:id="1117410601">
      <w:bodyDiv w:val="1"/>
      <w:marLeft w:val="0"/>
      <w:marRight w:val="0"/>
      <w:marTop w:val="0"/>
      <w:marBottom w:val="0"/>
      <w:divBdr>
        <w:top w:val="none" w:sz="0" w:space="0" w:color="auto"/>
        <w:left w:val="none" w:sz="0" w:space="0" w:color="auto"/>
        <w:bottom w:val="none" w:sz="0" w:space="0" w:color="auto"/>
        <w:right w:val="none" w:sz="0" w:space="0" w:color="auto"/>
      </w:divBdr>
    </w:div>
    <w:div w:id="1307664901">
      <w:bodyDiv w:val="1"/>
      <w:marLeft w:val="0"/>
      <w:marRight w:val="0"/>
      <w:marTop w:val="0"/>
      <w:marBottom w:val="0"/>
      <w:divBdr>
        <w:top w:val="none" w:sz="0" w:space="0" w:color="auto"/>
        <w:left w:val="none" w:sz="0" w:space="0" w:color="auto"/>
        <w:bottom w:val="none" w:sz="0" w:space="0" w:color="auto"/>
        <w:right w:val="none" w:sz="0" w:space="0" w:color="auto"/>
      </w:divBdr>
    </w:div>
    <w:div w:id="1476290320">
      <w:bodyDiv w:val="1"/>
      <w:marLeft w:val="0"/>
      <w:marRight w:val="0"/>
      <w:marTop w:val="0"/>
      <w:marBottom w:val="0"/>
      <w:divBdr>
        <w:top w:val="none" w:sz="0" w:space="0" w:color="auto"/>
        <w:left w:val="none" w:sz="0" w:space="0" w:color="auto"/>
        <w:bottom w:val="none" w:sz="0" w:space="0" w:color="auto"/>
        <w:right w:val="none" w:sz="0" w:space="0" w:color="auto"/>
      </w:divBdr>
    </w:div>
    <w:div w:id="1543398319">
      <w:bodyDiv w:val="1"/>
      <w:marLeft w:val="0"/>
      <w:marRight w:val="0"/>
      <w:marTop w:val="0"/>
      <w:marBottom w:val="0"/>
      <w:divBdr>
        <w:top w:val="none" w:sz="0" w:space="0" w:color="auto"/>
        <w:left w:val="none" w:sz="0" w:space="0" w:color="auto"/>
        <w:bottom w:val="none" w:sz="0" w:space="0" w:color="auto"/>
        <w:right w:val="none" w:sz="0" w:space="0" w:color="auto"/>
      </w:divBdr>
    </w:div>
    <w:div w:id="1647011365">
      <w:bodyDiv w:val="1"/>
      <w:marLeft w:val="0"/>
      <w:marRight w:val="0"/>
      <w:marTop w:val="0"/>
      <w:marBottom w:val="0"/>
      <w:divBdr>
        <w:top w:val="none" w:sz="0" w:space="0" w:color="auto"/>
        <w:left w:val="none" w:sz="0" w:space="0" w:color="auto"/>
        <w:bottom w:val="none" w:sz="0" w:space="0" w:color="auto"/>
        <w:right w:val="none" w:sz="0" w:space="0" w:color="auto"/>
      </w:divBdr>
    </w:div>
    <w:div w:id="1731077383">
      <w:bodyDiv w:val="1"/>
      <w:marLeft w:val="0"/>
      <w:marRight w:val="0"/>
      <w:marTop w:val="0"/>
      <w:marBottom w:val="0"/>
      <w:divBdr>
        <w:top w:val="none" w:sz="0" w:space="0" w:color="auto"/>
        <w:left w:val="none" w:sz="0" w:space="0" w:color="auto"/>
        <w:bottom w:val="none" w:sz="0" w:space="0" w:color="auto"/>
        <w:right w:val="none" w:sz="0" w:space="0" w:color="auto"/>
      </w:divBdr>
    </w:div>
    <w:div w:id="1743261123">
      <w:bodyDiv w:val="1"/>
      <w:marLeft w:val="0"/>
      <w:marRight w:val="0"/>
      <w:marTop w:val="0"/>
      <w:marBottom w:val="0"/>
      <w:divBdr>
        <w:top w:val="none" w:sz="0" w:space="0" w:color="auto"/>
        <w:left w:val="none" w:sz="0" w:space="0" w:color="auto"/>
        <w:bottom w:val="none" w:sz="0" w:space="0" w:color="auto"/>
        <w:right w:val="none" w:sz="0" w:space="0" w:color="auto"/>
      </w:divBdr>
    </w:div>
    <w:div w:id="1761245648">
      <w:bodyDiv w:val="1"/>
      <w:marLeft w:val="0"/>
      <w:marRight w:val="0"/>
      <w:marTop w:val="0"/>
      <w:marBottom w:val="0"/>
      <w:divBdr>
        <w:top w:val="none" w:sz="0" w:space="0" w:color="auto"/>
        <w:left w:val="none" w:sz="0" w:space="0" w:color="auto"/>
        <w:bottom w:val="none" w:sz="0" w:space="0" w:color="auto"/>
        <w:right w:val="none" w:sz="0" w:space="0" w:color="auto"/>
      </w:divBdr>
    </w:div>
    <w:div w:id="1817184807">
      <w:bodyDiv w:val="1"/>
      <w:marLeft w:val="0"/>
      <w:marRight w:val="0"/>
      <w:marTop w:val="0"/>
      <w:marBottom w:val="0"/>
      <w:divBdr>
        <w:top w:val="none" w:sz="0" w:space="0" w:color="auto"/>
        <w:left w:val="none" w:sz="0" w:space="0" w:color="auto"/>
        <w:bottom w:val="none" w:sz="0" w:space="0" w:color="auto"/>
        <w:right w:val="none" w:sz="0" w:space="0" w:color="auto"/>
      </w:divBdr>
    </w:div>
    <w:div w:id="1857958052">
      <w:bodyDiv w:val="1"/>
      <w:marLeft w:val="0"/>
      <w:marRight w:val="0"/>
      <w:marTop w:val="0"/>
      <w:marBottom w:val="0"/>
      <w:divBdr>
        <w:top w:val="none" w:sz="0" w:space="0" w:color="auto"/>
        <w:left w:val="none" w:sz="0" w:space="0" w:color="auto"/>
        <w:bottom w:val="none" w:sz="0" w:space="0" w:color="auto"/>
        <w:right w:val="none" w:sz="0" w:space="0" w:color="auto"/>
      </w:divBdr>
    </w:div>
    <w:div w:id="1873766788">
      <w:bodyDiv w:val="1"/>
      <w:marLeft w:val="0"/>
      <w:marRight w:val="0"/>
      <w:marTop w:val="0"/>
      <w:marBottom w:val="0"/>
      <w:divBdr>
        <w:top w:val="none" w:sz="0" w:space="0" w:color="auto"/>
        <w:left w:val="none" w:sz="0" w:space="0" w:color="auto"/>
        <w:bottom w:val="none" w:sz="0" w:space="0" w:color="auto"/>
        <w:right w:val="none" w:sz="0" w:space="0" w:color="auto"/>
      </w:divBdr>
    </w:div>
    <w:div w:id="1927881076">
      <w:bodyDiv w:val="1"/>
      <w:marLeft w:val="0"/>
      <w:marRight w:val="0"/>
      <w:marTop w:val="0"/>
      <w:marBottom w:val="0"/>
      <w:divBdr>
        <w:top w:val="none" w:sz="0" w:space="0" w:color="auto"/>
        <w:left w:val="none" w:sz="0" w:space="0" w:color="auto"/>
        <w:bottom w:val="none" w:sz="0" w:space="0" w:color="auto"/>
        <w:right w:val="none" w:sz="0" w:space="0" w:color="auto"/>
      </w:divBdr>
    </w:div>
    <w:div w:id="208714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jiljana.sekuli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BC8D2-6ACB-4ED0-A44C-983C5A98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Унутрашње миграције у Републици Србији, 2014</vt:lpstr>
    </vt:vector>
  </TitlesOfParts>
  <Company>.</Company>
  <LinksUpToDate>false</LinksUpToDate>
  <CharactersWithSpaces>9025</CharactersWithSpaces>
  <SharedDoc>false</SharedDoc>
  <HLinks>
    <vt:vector size="6" baseType="variant">
      <vt:variant>
        <vt:i4>1572900</vt:i4>
      </vt:variant>
      <vt:variant>
        <vt:i4>12</vt:i4>
      </vt:variant>
      <vt:variant>
        <vt:i4>0</vt:i4>
      </vt:variant>
      <vt:variant>
        <vt:i4>5</vt:i4>
      </vt:variant>
      <vt:variant>
        <vt:lpwstr>mailto:gordana.bjelorbrk@stat.gov.rs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Унутрашње миграције у Републици Србији, 2014</dc:title>
  <dc:creator>.</dc:creator>
  <cp:lastModifiedBy>Irena Dimic</cp:lastModifiedBy>
  <cp:revision>15</cp:revision>
  <cp:lastPrinted>2019-06-21T11:45:00Z</cp:lastPrinted>
  <dcterms:created xsi:type="dcterms:W3CDTF">2020-06-30T08:27:00Z</dcterms:created>
  <dcterms:modified xsi:type="dcterms:W3CDTF">2020-06-30T11:01:00Z</dcterms:modified>
</cp:coreProperties>
</file>