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DD40A5" w:rsidRPr="001A3149" w:rsidTr="00365B0F">
        <w:trPr>
          <w:cantSplit/>
          <w:trHeight w:val="631"/>
          <w:jc w:val="center"/>
        </w:trPr>
        <w:tc>
          <w:tcPr>
            <w:tcW w:w="812" w:type="pct"/>
            <w:tcBorders>
              <w:top w:val="single" w:sz="12" w:space="0" w:color="808080"/>
              <w:left w:val="nil"/>
              <w:bottom w:val="nil"/>
            </w:tcBorders>
            <w:vAlign w:val="center"/>
          </w:tcPr>
          <w:p w:rsidR="00DD40A5" w:rsidRPr="001A3149" w:rsidRDefault="00DD40A5" w:rsidP="00365B0F">
            <w:pPr>
              <w:rPr>
                <w:rFonts w:cs="Arial"/>
                <w:color w:val="808080"/>
                <w:szCs w:val="20"/>
                <w:lang w:val="sr-Cyrl-CS"/>
              </w:rPr>
            </w:pPr>
            <w:r w:rsidRPr="003151E7">
              <w:rPr>
                <w:rFonts w:cs="Arial"/>
                <w:color w:val="808080"/>
                <w:sz w:val="8"/>
                <w:szCs w:val="8"/>
              </w:rPr>
              <w:t xml:space="preserve">  </w:t>
            </w:r>
            <w:r w:rsidRPr="003151E7">
              <w:rPr>
                <w:rFonts w:cs="Arial"/>
                <w:color w:val="808080"/>
                <w:sz w:val="8"/>
                <w:szCs w:val="8"/>
                <w:lang w:val="sr-Cyrl-CS"/>
              </w:rPr>
              <w:t xml:space="preserve">   </w:t>
            </w:r>
            <w:r w:rsidRPr="003151E7">
              <w:rPr>
                <w:rFonts w:cs="Arial"/>
                <w:color w:val="808080"/>
                <w:sz w:val="8"/>
                <w:szCs w:val="8"/>
              </w:rPr>
              <w:t xml:space="preserve">               </w:t>
            </w:r>
            <w:r>
              <w:rPr>
                <w:rFonts w:cs="Arial"/>
                <w:noProof/>
                <w:color w:val="808080"/>
                <w:lang w:val="en-US"/>
              </w:rPr>
              <w:drawing>
                <wp:anchor distT="0" distB="0" distL="114300" distR="114300" simplePos="0" relativeHeight="25165926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5" name="Picture 5"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Pr>
                <w:rFonts w:cs="Arial"/>
                <w:noProof/>
                <w:color w:val="808080"/>
                <w:lang w:val="en-US"/>
              </w:rPr>
              <mc:AlternateContent>
                <mc:Choice Requires="wps">
                  <w:drawing>
                    <wp:inline distT="0" distB="0" distL="0" distR="0">
                      <wp:extent cx="906780" cy="222885"/>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678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2C0A71E" id="Rectangle 2" o:spid="_x0000_s1026" style="width:71.4pt;height:1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" filled="f" stroked="f">
                      <o:lock v:ext="edit" aspectratio="t"/>
                      <w10:anchorlock/>
                    </v:rect>
                  </w:pict>
                </mc:Fallback>
              </mc:AlternateContent>
            </w:r>
          </w:p>
        </w:tc>
        <w:tc>
          <w:tcPr>
            <w:tcW w:w="2559" w:type="pct"/>
            <w:tcBorders>
              <w:top w:val="single" w:sz="12" w:space="0" w:color="808080"/>
              <w:left w:val="nil"/>
              <w:bottom w:val="nil"/>
            </w:tcBorders>
            <w:vAlign w:val="center"/>
          </w:tcPr>
          <w:p w:rsidR="00DD40A5" w:rsidRPr="001A3149" w:rsidRDefault="00DD40A5" w:rsidP="00365B0F">
            <w:pPr>
              <w:jc w:val="left"/>
              <w:rPr>
                <w:rFonts w:cs="Arial"/>
                <w:szCs w:val="20"/>
                <w:lang w:val="sr-Cyrl-CS"/>
              </w:rPr>
            </w:pPr>
            <w:r w:rsidRPr="001A3149">
              <w:rPr>
                <w:rFonts w:cs="Arial"/>
                <w:szCs w:val="20"/>
                <w:lang w:val="sr-Cyrl-CS"/>
              </w:rPr>
              <w:t>Република Србија</w:t>
            </w:r>
          </w:p>
          <w:p w:rsidR="00DD40A5" w:rsidRPr="001A3149" w:rsidRDefault="00DD40A5" w:rsidP="00365B0F">
            <w:pPr>
              <w:jc w:val="left"/>
              <w:rPr>
                <w:rFonts w:cs="Arial"/>
                <w:szCs w:val="20"/>
                <w:lang w:val="sr-Cyrl-CS"/>
              </w:rPr>
            </w:pPr>
            <w:r w:rsidRPr="001A3149">
              <w:rPr>
                <w:rFonts w:cs="Arial"/>
                <w:szCs w:val="20"/>
                <w:lang w:val="sr-Cyrl-CS"/>
              </w:rPr>
              <w:t>Републички завод за статистику</w:t>
            </w:r>
          </w:p>
        </w:tc>
        <w:tc>
          <w:tcPr>
            <w:tcW w:w="0" w:type="auto"/>
            <w:tcBorders>
              <w:top w:val="single" w:sz="12" w:space="0" w:color="808080"/>
              <w:bottom w:val="nil"/>
              <w:right w:val="nil"/>
            </w:tcBorders>
            <w:vAlign w:val="center"/>
          </w:tcPr>
          <w:p w:rsidR="00DD40A5" w:rsidRPr="001A3149" w:rsidRDefault="00DD40A5" w:rsidP="00365B0F">
            <w:pPr>
              <w:jc w:val="right"/>
              <w:rPr>
                <w:rFonts w:cs="Arial"/>
                <w:b/>
                <w:color w:val="808080"/>
                <w:szCs w:val="20"/>
              </w:rPr>
            </w:pPr>
            <w:r w:rsidRPr="001A3149">
              <w:rPr>
                <w:rFonts w:cs="Arial"/>
                <w:szCs w:val="20"/>
                <w:lang w:val="sr-Cyrl-CS"/>
              </w:rPr>
              <w:t>ISSN 0353-9555</w:t>
            </w:r>
          </w:p>
        </w:tc>
      </w:tr>
      <w:tr w:rsidR="00DD40A5" w:rsidRPr="001A3149" w:rsidTr="00365B0F">
        <w:trPr>
          <w:cantSplit/>
          <w:trHeight w:val="836"/>
          <w:jc w:val="center"/>
        </w:trPr>
        <w:tc>
          <w:tcPr>
            <w:tcW w:w="0" w:type="auto"/>
            <w:gridSpan w:val="2"/>
            <w:tcBorders>
              <w:top w:val="nil"/>
              <w:left w:val="nil"/>
              <w:right w:val="nil"/>
            </w:tcBorders>
            <w:vAlign w:val="center"/>
          </w:tcPr>
          <w:p w:rsidR="00DD40A5" w:rsidRPr="001A3149" w:rsidRDefault="00DD40A5" w:rsidP="00365B0F">
            <w:pPr>
              <w:jc w:val="left"/>
              <w:rPr>
                <w:rFonts w:cs="Arial"/>
                <w:color w:val="808080"/>
                <w:szCs w:val="20"/>
                <w:lang w:val="sr-Cyrl-CS"/>
              </w:rPr>
            </w:pPr>
            <w:r w:rsidRPr="001A3149">
              <w:rPr>
                <w:rFonts w:cs="Arial"/>
                <w:b/>
                <w:color w:val="808080"/>
                <w:sz w:val="48"/>
                <w:szCs w:val="48"/>
                <w:lang w:val="sr-Cyrl-CS"/>
              </w:rPr>
              <w:t>САОПШТЕЊЕ</w:t>
            </w:r>
          </w:p>
        </w:tc>
        <w:tc>
          <w:tcPr>
            <w:tcW w:w="0" w:type="auto"/>
            <w:tcBorders>
              <w:top w:val="nil"/>
              <w:left w:val="nil"/>
              <w:right w:val="nil"/>
            </w:tcBorders>
            <w:shd w:val="clear" w:color="auto" w:fill="auto"/>
            <w:vAlign w:val="center"/>
          </w:tcPr>
          <w:p w:rsidR="00DD40A5" w:rsidRPr="001A3149" w:rsidRDefault="00DD40A5" w:rsidP="00365B0F">
            <w:pPr>
              <w:jc w:val="right"/>
              <w:rPr>
                <w:rFonts w:cs="Arial"/>
                <w:b/>
                <w:color w:val="808080"/>
                <w:sz w:val="12"/>
                <w:lang w:val="sr-Cyrl-CS"/>
              </w:rPr>
            </w:pPr>
            <w:r w:rsidRPr="001A3149">
              <w:rPr>
                <w:rFonts w:cs="Arial"/>
                <w:b/>
                <w:bCs/>
                <w:noProof/>
                <w:color w:val="808080"/>
                <w:sz w:val="48"/>
                <w:szCs w:val="48"/>
                <w:lang w:val="sr-Cyrl-CS"/>
              </w:rPr>
              <w:t>ЗС50</w:t>
            </w:r>
          </w:p>
        </w:tc>
      </w:tr>
      <w:tr w:rsidR="00DD40A5" w:rsidRPr="001A3149" w:rsidTr="00365B0F">
        <w:trPr>
          <w:cantSplit/>
          <w:trHeight w:hRule="exact" w:val="279"/>
          <w:jc w:val="center"/>
        </w:trPr>
        <w:tc>
          <w:tcPr>
            <w:tcW w:w="0" w:type="auto"/>
            <w:gridSpan w:val="2"/>
            <w:tcBorders>
              <w:top w:val="nil"/>
              <w:left w:val="nil"/>
              <w:bottom w:val="nil"/>
              <w:right w:val="nil"/>
            </w:tcBorders>
            <w:vAlign w:val="center"/>
          </w:tcPr>
          <w:p w:rsidR="00DD40A5" w:rsidRPr="000357FA" w:rsidRDefault="00DD40A5" w:rsidP="00F64A64">
            <w:pPr>
              <w:jc w:val="left"/>
              <w:rPr>
                <w:rFonts w:cs="Arial"/>
                <w:szCs w:val="20"/>
              </w:rPr>
            </w:pPr>
            <w:r w:rsidRPr="000357FA">
              <w:rPr>
                <w:rFonts w:cs="Arial"/>
                <w:szCs w:val="20"/>
                <w:lang w:val="ru-RU"/>
              </w:rPr>
              <w:t xml:space="preserve">број </w:t>
            </w:r>
            <w:r w:rsidRPr="000357FA">
              <w:rPr>
                <w:rFonts w:cs="Arial"/>
                <w:szCs w:val="20"/>
                <w:lang w:val="sr-Latn-CS"/>
              </w:rPr>
              <w:t>1</w:t>
            </w:r>
            <w:r w:rsidR="00DA32B1">
              <w:rPr>
                <w:rFonts w:cs="Arial"/>
                <w:szCs w:val="20"/>
                <w:lang w:val="sr-Latn-CS"/>
              </w:rPr>
              <w:t>5</w:t>
            </w:r>
            <w:r w:rsidR="00F64A64">
              <w:rPr>
                <w:rFonts w:cs="Arial"/>
                <w:szCs w:val="20"/>
                <w:lang w:val="sr-Latn-CS"/>
              </w:rPr>
              <w:t>8</w:t>
            </w:r>
            <w:r w:rsidRPr="000357FA">
              <w:rPr>
                <w:rFonts w:cs="Arial"/>
                <w:szCs w:val="20"/>
                <w:lang w:val="ru-RU"/>
              </w:rPr>
              <w:t xml:space="preserve"> - год. </w:t>
            </w:r>
            <w:r w:rsidR="00DA32B1">
              <w:rPr>
                <w:rFonts w:cs="Arial"/>
                <w:szCs w:val="20"/>
              </w:rPr>
              <w:t>LX</w:t>
            </w:r>
            <w:r w:rsidR="00DA32B1">
              <w:rPr>
                <w:rFonts w:cs="Arial"/>
                <w:szCs w:val="20"/>
                <w:lang w:val="en-US"/>
              </w:rPr>
              <w:t>X</w:t>
            </w:r>
            <w:r w:rsidRPr="000357FA">
              <w:rPr>
                <w:rFonts w:cs="Arial"/>
                <w:szCs w:val="20"/>
                <w:lang w:val="sr-Cyrl-CS"/>
              </w:rPr>
              <w:t>,</w:t>
            </w:r>
            <w:r w:rsidRPr="000357FA">
              <w:rPr>
                <w:rFonts w:cs="Arial"/>
                <w:szCs w:val="20"/>
              </w:rPr>
              <w:t xml:space="preserve"> </w:t>
            </w:r>
            <w:r w:rsidR="008608AF">
              <w:rPr>
                <w:rFonts w:cs="Arial"/>
                <w:szCs w:val="20"/>
                <w:lang w:val="sr-Latn-RS"/>
              </w:rPr>
              <w:t>1</w:t>
            </w:r>
            <w:r w:rsidR="00F64A64">
              <w:rPr>
                <w:rFonts w:cs="Arial"/>
                <w:szCs w:val="20"/>
                <w:lang w:val="sr-Latn-RS"/>
              </w:rPr>
              <w:t>0</w:t>
            </w:r>
            <w:r w:rsidRPr="000357FA">
              <w:rPr>
                <w:rFonts w:cs="Arial"/>
                <w:szCs w:val="20"/>
              </w:rPr>
              <w:t>.06.20</w:t>
            </w:r>
            <w:r w:rsidR="00F64A64">
              <w:rPr>
                <w:rFonts w:cs="Arial"/>
                <w:szCs w:val="20"/>
                <w:lang w:val="en-US"/>
              </w:rPr>
              <w:t>20</w:t>
            </w:r>
            <w:r w:rsidRPr="000357FA">
              <w:rPr>
                <w:rFonts w:cs="Arial"/>
                <w:szCs w:val="20"/>
              </w:rPr>
              <w:t>.</w:t>
            </w:r>
          </w:p>
        </w:tc>
        <w:tc>
          <w:tcPr>
            <w:tcW w:w="0" w:type="auto"/>
            <w:tcBorders>
              <w:left w:val="nil"/>
              <w:bottom w:val="nil"/>
              <w:right w:val="nil"/>
            </w:tcBorders>
            <w:shd w:val="clear" w:color="auto" w:fill="auto"/>
            <w:vAlign w:val="center"/>
          </w:tcPr>
          <w:p w:rsidR="00DD40A5" w:rsidRPr="001A3149" w:rsidRDefault="00DD40A5" w:rsidP="00365B0F">
            <w:pPr>
              <w:jc w:val="right"/>
              <w:rPr>
                <w:rFonts w:cs="Arial"/>
                <w:b/>
                <w:color w:val="808080"/>
                <w:sz w:val="48"/>
                <w:szCs w:val="48"/>
              </w:rPr>
            </w:pPr>
          </w:p>
        </w:tc>
      </w:tr>
      <w:tr w:rsidR="00DD40A5" w:rsidRPr="001A3149" w:rsidTr="00365B0F">
        <w:trPr>
          <w:cantSplit/>
          <w:trHeight w:val="411"/>
          <w:jc w:val="center"/>
        </w:trPr>
        <w:tc>
          <w:tcPr>
            <w:tcW w:w="0" w:type="auto"/>
            <w:gridSpan w:val="2"/>
            <w:tcBorders>
              <w:top w:val="nil"/>
              <w:left w:val="nil"/>
              <w:bottom w:val="single" w:sz="12" w:space="0" w:color="808080"/>
              <w:right w:val="nil"/>
            </w:tcBorders>
            <w:vAlign w:val="center"/>
          </w:tcPr>
          <w:p w:rsidR="00DD40A5" w:rsidRPr="001A3149" w:rsidRDefault="00F023D5" w:rsidP="00F023D5">
            <w:pPr>
              <w:jc w:val="left"/>
              <w:rPr>
                <w:rFonts w:cs="Arial"/>
                <w:b/>
                <w:bCs/>
                <w:sz w:val="24"/>
                <w:lang w:val="sr-Latn-CS"/>
              </w:rPr>
            </w:pPr>
            <w:r>
              <w:rPr>
                <w:rFonts w:cs="Arial"/>
                <w:b/>
                <w:noProof/>
                <w:sz w:val="24"/>
                <w:lang w:val="ru-RU"/>
              </w:rPr>
              <w:t>Одсек за с</w:t>
            </w:r>
            <w:r w:rsidR="00DD40A5" w:rsidRPr="001A3149">
              <w:rPr>
                <w:rFonts w:cs="Arial"/>
                <w:b/>
                <w:noProof/>
                <w:sz w:val="24"/>
                <w:lang w:val="ru-RU"/>
              </w:rPr>
              <w:t>татистик</w:t>
            </w:r>
            <w:r>
              <w:rPr>
                <w:rFonts w:cs="Arial"/>
                <w:b/>
                <w:noProof/>
                <w:sz w:val="24"/>
                <w:lang w:val="ru-RU"/>
              </w:rPr>
              <w:t>у и рачуне</w:t>
            </w:r>
            <w:r w:rsidR="00DD40A5" w:rsidRPr="001A3149">
              <w:rPr>
                <w:rFonts w:cs="Arial"/>
                <w:b/>
                <w:noProof/>
                <w:sz w:val="24"/>
                <w:lang w:val="ru-RU"/>
              </w:rPr>
              <w:t xml:space="preserve"> </w:t>
            </w:r>
            <w:r w:rsidR="00DD40A5" w:rsidRPr="001A3149">
              <w:rPr>
                <w:rFonts w:cs="Arial"/>
                <w:b/>
                <w:sz w:val="24"/>
                <w:lang w:val="sr-Cyrl-CS"/>
              </w:rPr>
              <w:t>животне средине</w:t>
            </w:r>
          </w:p>
        </w:tc>
        <w:tc>
          <w:tcPr>
            <w:tcW w:w="0" w:type="auto"/>
            <w:tcBorders>
              <w:top w:val="nil"/>
              <w:left w:val="nil"/>
              <w:bottom w:val="single" w:sz="12" w:space="0" w:color="808080"/>
              <w:right w:val="nil"/>
            </w:tcBorders>
            <w:vAlign w:val="center"/>
          </w:tcPr>
          <w:p w:rsidR="00DD40A5" w:rsidRPr="00F64A64" w:rsidRDefault="00DD40A5" w:rsidP="00F64A64">
            <w:pPr>
              <w:jc w:val="right"/>
              <w:rPr>
                <w:rFonts w:cs="Arial"/>
                <w:b/>
                <w:szCs w:val="20"/>
                <w:lang w:val="en-US"/>
              </w:rPr>
            </w:pPr>
            <w:r w:rsidRPr="000357FA">
              <w:rPr>
                <w:rFonts w:cs="Arial"/>
                <w:szCs w:val="20"/>
                <w:lang w:val="sr-Cyrl-CS"/>
              </w:rPr>
              <w:t>СРБ1</w:t>
            </w:r>
            <w:r w:rsidR="00DA32B1">
              <w:rPr>
                <w:rFonts w:cs="Arial"/>
                <w:szCs w:val="20"/>
                <w:lang w:val="sr-Latn-RS"/>
              </w:rPr>
              <w:t>5</w:t>
            </w:r>
            <w:r w:rsidR="00F64A64">
              <w:rPr>
                <w:rFonts w:cs="Arial"/>
                <w:szCs w:val="20"/>
                <w:lang w:val="sr-Latn-RS"/>
              </w:rPr>
              <w:t>8</w:t>
            </w:r>
            <w:r w:rsidRPr="000357FA">
              <w:rPr>
                <w:rFonts w:cs="Arial"/>
                <w:szCs w:val="20"/>
                <w:lang w:val="sr-Cyrl-CS"/>
              </w:rPr>
              <w:t xml:space="preserve"> ЗС50 </w:t>
            </w:r>
            <w:r w:rsidR="00DA32B1">
              <w:rPr>
                <w:rFonts w:cs="Arial"/>
                <w:szCs w:val="20"/>
                <w:lang w:val="sr-Latn-RS"/>
              </w:rPr>
              <w:t>1</w:t>
            </w:r>
            <w:r w:rsidR="00F64A64">
              <w:rPr>
                <w:rFonts w:cs="Arial"/>
                <w:szCs w:val="20"/>
                <w:lang w:val="sr-Latn-RS"/>
              </w:rPr>
              <w:t>0</w:t>
            </w:r>
            <w:r w:rsidRPr="000357FA">
              <w:rPr>
                <w:rFonts w:cs="Arial"/>
                <w:szCs w:val="20"/>
                <w:lang w:val="sr-Cyrl-CS"/>
              </w:rPr>
              <w:t>06</w:t>
            </w:r>
            <w:r w:rsidR="00F64A64">
              <w:rPr>
                <w:rFonts w:cs="Arial"/>
                <w:szCs w:val="20"/>
                <w:lang w:val="en-US"/>
              </w:rPr>
              <w:t>20</w:t>
            </w:r>
          </w:p>
        </w:tc>
      </w:tr>
    </w:tbl>
    <w:p w:rsidR="00DD40A5" w:rsidRPr="000357FA" w:rsidRDefault="00DD40A5" w:rsidP="006B781F">
      <w:pPr>
        <w:spacing w:before="960" w:after="120" w:line="252" w:lineRule="auto"/>
        <w:rPr>
          <w:rFonts w:cs="Arial"/>
          <w:b/>
          <w:sz w:val="24"/>
          <w:lang w:val="sr-Cyrl-CS"/>
        </w:rPr>
      </w:pPr>
      <w:r w:rsidRPr="000357FA">
        <w:rPr>
          <w:rFonts w:cs="Arial"/>
          <w:b/>
          <w:sz w:val="24"/>
          <w:lang w:val="sr-Cyrl-CS"/>
        </w:rPr>
        <w:t>Коришћење и заштита вода од загађивања, 201</w:t>
      </w:r>
      <w:r w:rsidR="00F64A64">
        <w:rPr>
          <w:rFonts w:cs="Arial"/>
          <w:b/>
          <w:sz w:val="24"/>
          <w:lang w:val="sr-Latn-RS"/>
        </w:rPr>
        <w:t>9</w:t>
      </w:r>
      <w:r w:rsidRPr="000357FA">
        <w:rPr>
          <w:rFonts w:cs="Arial"/>
          <w:b/>
          <w:sz w:val="24"/>
          <w:lang w:val="sr-Cyrl-CS"/>
        </w:rPr>
        <w:t>.</w:t>
      </w:r>
    </w:p>
    <w:p w:rsidR="00DD40A5" w:rsidRDefault="00DD40A5" w:rsidP="00C973F4">
      <w:pPr>
        <w:spacing w:after="360" w:line="252" w:lineRule="auto"/>
        <w:rPr>
          <w:rFonts w:cs="Arial"/>
          <w:b/>
          <w:sz w:val="22"/>
          <w:szCs w:val="22"/>
          <w:lang w:val="sr-Latn-CS"/>
        </w:rPr>
      </w:pPr>
      <w:r w:rsidRPr="000357FA">
        <w:rPr>
          <w:rFonts w:cs="Arial"/>
          <w:b/>
          <w:sz w:val="22"/>
          <w:szCs w:val="22"/>
          <w:lang w:val="sr-Latn-CS"/>
        </w:rPr>
        <w:t xml:space="preserve">– </w:t>
      </w:r>
      <w:r w:rsidRPr="000357FA">
        <w:rPr>
          <w:rFonts w:cs="Arial"/>
          <w:b/>
          <w:sz w:val="22"/>
          <w:szCs w:val="22"/>
          <w:lang w:val="sr-Cyrl-CS"/>
        </w:rPr>
        <w:t>Претходни резултати</w:t>
      </w:r>
      <w:r w:rsidRPr="000357FA">
        <w:rPr>
          <w:rFonts w:cs="Arial"/>
          <w:b/>
          <w:sz w:val="22"/>
          <w:szCs w:val="22"/>
          <w:lang w:val="sr-Latn-CS"/>
        </w:rPr>
        <w:t xml:space="preserve"> –</w:t>
      </w:r>
    </w:p>
    <w:p w:rsidR="000B541D" w:rsidRPr="00520A85" w:rsidRDefault="00DD40A5" w:rsidP="006B781F">
      <w:pPr>
        <w:spacing w:before="120" w:after="120"/>
        <w:ind w:firstLine="397"/>
        <w:jc w:val="both"/>
        <w:rPr>
          <w:rFonts w:eastAsia="ArialMT" w:cs="Arial"/>
          <w:szCs w:val="20"/>
        </w:rPr>
      </w:pPr>
      <w:r>
        <w:rPr>
          <w:rFonts w:eastAsia="ArialMT" w:cs="Arial"/>
          <w:szCs w:val="20"/>
        </w:rPr>
        <w:t>У 201</w:t>
      </w:r>
      <w:r w:rsidR="00F64A64">
        <w:rPr>
          <w:rFonts w:eastAsia="ArialMT" w:cs="Arial"/>
          <w:szCs w:val="20"/>
          <w:lang w:val="sr-Latn-RS"/>
        </w:rPr>
        <w:t>9</w:t>
      </w:r>
      <w:r>
        <w:rPr>
          <w:rFonts w:eastAsia="ArialMT" w:cs="Arial"/>
          <w:szCs w:val="20"/>
        </w:rPr>
        <w:t xml:space="preserve">. години у секторима индустрије коришћено је </w:t>
      </w:r>
      <w:r w:rsidR="00C90D50">
        <w:rPr>
          <w:rFonts w:eastAsia="ArialMT" w:cs="Arial"/>
          <w:szCs w:val="20"/>
          <w:lang w:val="sr-Latn-RS"/>
        </w:rPr>
        <w:t>4</w:t>
      </w:r>
      <w:r w:rsidR="00F023D5" w:rsidRPr="00F023D5">
        <w:rPr>
          <w:rFonts w:eastAsia="ArialMT" w:cs="Arial"/>
          <w:szCs w:val="20"/>
          <w:lang w:val="sr-Latn-RS"/>
        </w:rPr>
        <w:t xml:space="preserve"> </w:t>
      </w:r>
      <w:r w:rsidR="00C90D50">
        <w:rPr>
          <w:rFonts w:eastAsia="ArialMT" w:cs="Arial"/>
          <w:szCs w:val="20"/>
          <w:lang w:val="sr-Latn-RS"/>
        </w:rPr>
        <w:t>232</w:t>
      </w:r>
      <w:r>
        <w:rPr>
          <w:rFonts w:eastAsia="ArialMT" w:cs="Arial"/>
          <w:szCs w:val="20"/>
        </w:rPr>
        <w:t xml:space="preserve"> мил.</w:t>
      </w:r>
      <w:r w:rsidR="00C44BFC">
        <w:rPr>
          <w:rFonts w:eastAsia="ArialMT" w:cs="Arial"/>
          <w:szCs w:val="20"/>
        </w:rPr>
        <w:t xml:space="preserve"> </w:t>
      </w:r>
      <w:r>
        <w:rPr>
          <w:rFonts w:eastAsia="ArialMT" w:cs="Arial"/>
          <w:szCs w:val="20"/>
          <w:lang w:val="sr-Latn-RS"/>
        </w:rPr>
        <w:t>m</w:t>
      </w:r>
      <w:r w:rsidRPr="00F74993">
        <w:rPr>
          <w:rFonts w:eastAsia="ArialMT" w:cs="Arial"/>
          <w:szCs w:val="20"/>
          <w:vertAlign w:val="superscript"/>
          <w:lang w:val="sr-Latn-RS"/>
        </w:rPr>
        <w:t>3</w:t>
      </w:r>
      <w:r>
        <w:rPr>
          <w:rFonts w:eastAsia="ArialMT" w:cs="Arial"/>
          <w:szCs w:val="20"/>
          <w:vertAlign w:val="superscript"/>
        </w:rPr>
        <w:t xml:space="preserve"> </w:t>
      </w:r>
      <w:r>
        <w:rPr>
          <w:rFonts w:eastAsia="ArialMT" w:cs="Arial"/>
          <w:szCs w:val="20"/>
        </w:rPr>
        <w:t>воде. Највећи део захваћене воде коришћен је за хлађење при производњи електричне енергије</w:t>
      </w:r>
      <w:r w:rsidR="00C44BFC">
        <w:rPr>
          <w:rFonts w:eastAsia="ArialMT" w:cs="Arial"/>
          <w:szCs w:val="20"/>
        </w:rPr>
        <w:t xml:space="preserve">. Коришћене воде </w:t>
      </w:r>
      <w:r w:rsidR="00C90D50">
        <w:rPr>
          <w:rFonts w:eastAsia="ArialMT" w:cs="Arial"/>
          <w:szCs w:val="20"/>
        </w:rPr>
        <w:t>повећане</w:t>
      </w:r>
      <w:r w:rsidR="00F023D5">
        <w:rPr>
          <w:rFonts w:eastAsia="ArialMT" w:cs="Arial"/>
          <w:szCs w:val="20"/>
        </w:rPr>
        <w:t xml:space="preserve"> </w:t>
      </w:r>
      <w:r w:rsidR="00C44BFC">
        <w:rPr>
          <w:rFonts w:eastAsia="ArialMT" w:cs="Arial"/>
          <w:szCs w:val="20"/>
        </w:rPr>
        <w:t>су за</w:t>
      </w:r>
      <w:r>
        <w:rPr>
          <w:rFonts w:eastAsia="ArialMT" w:cs="Arial"/>
          <w:szCs w:val="20"/>
        </w:rPr>
        <w:t xml:space="preserve"> </w:t>
      </w:r>
      <w:r w:rsidR="00F023D5">
        <w:rPr>
          <w:rFonts w:eastAsia="ArialMT" w:cs="Arial"/>
          <w:szCs w:val="20"/>
          <w:lang w:val="sr-Latn-RS"/>
        </w:rPr>
        <w:t>1</w:t>
      </w:r>
      <w:r w:rsidR="000B541D">
        <w:rPr>
          <w:rFonts w:eastAsia="ArialMT" w:cs="Arial"/>
          <w:szCs w:val="20"/>
          <w:lang w:val="sr-Latn-RS"/>
        </w:rPr>
        <w:t>,</w:t>
      </w:r>
      <w:r w:rsidR="00C90D50">
        <w:rPr>
          <w:rFonts w:eastAsia="ArialMT" w:cs="Arial"/>
          <w:szCs w:val="20"/>
        </w:rPr>
        <w:t>2</w:t>
      </w:r>
      <w:r>
        <w:rPr>
          <w:rFonts w:eastAsia="ArialMT" w:cs="Arial"/>
          <w:szCs w:val="20"/>
        </w:rPr>
        <w:t xml:space="preserve">% у односу на претходну годину. </w:t>
      </w:r>
    </w:p>
    <w:p w:rsidR="00DD40A5" w:rsidRPr="00945287" w:rsidRDefault="00DD40A5" w:rsidP="006B781F">
      <w:pPr>
        <w:spacing w:before="120" w:after="120"/>
        <w:jc w:val="both"/>
        <w:rPr>
          <w:rFonts w:cs="Arial"/>
          <w:szCs w:val="20"/>
          <w:lang w:val="sr-Latn-CS"/>
        </w:rPr>
      </w:pPr>
      <w:r>
        <w:rPr>
          <w:rFonts w:cs="Arial"/>
          <w:szCs w:val="20"/>
          <w:lang w:val="sr-Latn-CS"/>
        </w:rPr>
        <w:t xml:space="preserve">     </w:t>
      </w:r>
      <w:r w:rsidRPr="00DD769A">
        <w:rPr>
          <w:rFonts w:cs="Arial"/>
          <w:szCs w:val="20"/>
          <w:lang w:val="sr-Latn-CS"/>
        </w:rPr>
        <w:t xml:space="preserve">Од укупно </w:t>
      </w:r>
      <w:r w:rsidR="00C90D50">
        <w:rPr>
          <w:rFonts w:cs="Arial"/>
          <w:szCs w:val="20"/>
        </w:rPr>
        <w:t>4</w:t>
      </w:r>
      <w:r w:rsidR="00EC7636">
        <w:rPr>
          <w:rFonts w:cs="Arial"/>
          <w:szCs w:val="20"/>
          <w:lang w:val="sr-Latn-CS"/>
        </w:rPr>
        <w:t> </w:t>
      </w:r>
      <w:r w:rsidR="00C90D50">
        <w:rPr>
          <w:rFonts w:cs="Arial"/>
          <w:szCs w:val="20"/>
        </w:rPr>
        <w:t>232</w:t>
      </w:r>
      <w:r w:rsidRPr="00DD769A">
        <w:rPr>
          <w:rFonts w:cs="Arial"/>
          <w:szCs w:val="20"/>
          <w:lang w:val="sr-Latn-CS"/>
        </w:rPr>
        <w:t xml:space="preserve"> мил. m</w:t>
      </w:r>
      <w:r w:rsidRPr="00DD769A">
        <w:rPr>
          <w:rFonts w:cs="Arial"/>
          <w:szCs w:val="20"/>
          <w:vertAlign w:val="superscript"/>
          <w:lang w:val="sr-Latn-CS"/>
        </w:rPr>
        <w:t>3</w:t>
      </w:r>
      <w:r w:rsidRPr="00DD769A">
        <w:rPr>
          <w:rFonts w:cs="Arial"/>
          <w:szCs w:val="20"/>
          <w:lang w:val="sr-Latn-CS"/>
        </w:rPr>
        <w:t xml:space="preserve"> </w:t>
      </w:r>
      <w:r w:rsidRPr="00DD769A">
        <w:rPr>
          <w:rFonts w:cs="Arial"/>
          <w:szCs w:val="20"/>
        </w:rPr>
        <w:t>захваћених вода</w:t>
      </w:r>
      <w:r>
        <w:rPr>
          <w:rFonts w:cs="Arial"/>
          <w:szCs w:val="20"/>
          <w:lang w:val="sr-Latn-RS"/>
        </w:rPr>
        <w:t xml:space="preserve"> </w:t>
      </w:r>
      <w:r>
        <w:rPr>
          <w:rFonts w:cs="Arial"/>
          <w:szCs w:val="20"/>
        </w:rPr>
        <w:t>у секторима индустрије</w:t>
      </w:r>
      <w:r w:rsidR="00CF5576">
        <w:rPr>
          <w:rFonts w:cs="Arial"/>
          <w:szCs w:val="20"/>
          <w:lang w:val="sr-Latn-RS"/>
        </w:rPr>
        <w:t>,</w:t>
      </w:r>
      <w:r w:rsidRPr="00DD769A">
        <w:rPr>
          <w:rFonts w:cs="Arial"/>
          <w:szCs w:val="20"/>
        </w:rPr>
        <w:t xml:space="preserve"> 99,</w:t>
      </w:r>
      <w:r w:rsidR="00C90D50">
        <w:rPr>
          <w:rFonts w:cs="Arial"/>
          <w:szCs w:val="20"/>
        </w:rPr>
        <w:t>6</w:t>
      </w:r>
      <w:r w:rsidRPr="00DD769A">
        <w:rPr>
          <w:rFonts w:cs="Arial"/>
          <w:szCs w:val="20"/>
        </w:rPr>
        <w:t>% чине воде из сопственог водозахвата (9</w:t>
      </w:r>
      <w:r w:rsidR="00DE2FC5">
        <w:rPr>
          <w:rFonts w:cs="Arial"/>
          <w:szCs w:val="20"/>
        </w:rPr>
        <w:t>9,</w:t>
      </w:r>
      <w:r w:rsidR="00C90D50">
        <w:rPr>
          <w:rFonts w:cs="Arial"/>
          <w:szCs w:val="20"/>
        </w:rPr>
        <w:t>2</w:t>
      </w:r>
      <w:r w:rsidRPr="00DD769A">
        <w:rPr>
          <w:rFonts w:cs="Arial"/>
          <w:szCs w:val="20"/>
          <w:lang w:val="sr-Latn-RS"/>
        </w:rPr>
        <w:t>%</w:t>
      </w:r>
      <w:r w:rsidR="00A85AD6">
        <w:rPr>
          <w:rFonts w:cs="Arial"/>
          <w:szCs w:val="20"/>
        </w:rPr>
        <w:t xml:space="preserve"> површинске воде и</w:t>
      </w:r>
      <w:r w:rsidRPr="00DD769A">
        <w:rPr>
          <w:rFonts w:cs="Arial"/>
          <w:szCs w:val="20"/>
        </w:rPr>
        <w:t xml:space="preserve"> </w:t>
      </w:r>
      <w:r w:rsidR="002F6D56">
        <w:rPr>
          <w:rFonts w:cs="Arial"/>
          <w:szCs w:val="20"/>
          <w:lang w:val="sr-Latn-RS"/>
        </w:rPr>
        <w:t>0,</w:t>
      </w:r>
      <w:r w:rsidR="00C90D50">
        <w:rPr>
          <w:rFonts w:cs="Arial"/>
          <w:szCs w:val="20"/>
        </w:rPr>
        <w:t>8</w:t>
      </w:r>
      <w:r w:rsidRPr="00DD769A">
        <w:rPr>
          <w:rFonts w:cs="Arial"/>
          <w:szCs w:val="20"/>
          <w:lang w:val="sr-Latn-RS"/>
        </w:rPr>
        <w:t>%</w:t>
      </w:r>
      <w:r w:rsidRPr="00DD769A">
        <w:rPr>
          <w:rFonts w:cs="Arial"/>
          <w:szCs w:val="20"/>
        </w:rPr>
        <w:t xml:space="preserve"> подземне), а 0,</w:t>
      </w:r>
      <w:r w:rsidR="00C90D50">
        <w:rPr>
          <w:rFonts w:cs="Arial"/>
          <w:szCs w:val="20"/>
        </w:rPr>
        <w:t>4</w:t>
      </w:r>
      <w:r w:rsidRPr="00DD769A">
        <w:rPr>
          <w:rFonts w:cs="Arial"/>
          <w:szCs w:val="20"/>
          <w:lang w:val="sr-Latn-RS"/>
        </w:rPr>
        <w:t>%</w:t>
      </w:r>
      <w:r w:rsidRPr="00DD769A">
        <w:rPr>
          <w:rFonts w:cs="Arial"/>
          <w:szCs w:val="20"/>
        </w:rPr>
        <w:t xml:space="preserve"> из јавног водовода.</w:t>
      </w:r>
      <w:r w:rsidRPr="00945287">
        <w:rPr>
          <w:rFonts w:cs="Arial"/>
          <w:szCs w:val="20"/>
          <w:lang w:val="sr-Latn-CS"/>
        </w:rPr>
        <w:t xml:space="preserve">     </w:t>
      </w:r>
      <w:bookmarkStart w:id="0" w:name="_GoBack"/>
      <w:bookmarkEnd w:id="0"/>
    </w:p>
    <w:p w:rsidR="00DD40A5" w:rsidRDefault="00DD40A5" w:rsidP="006B781F">
      <w:pPr>
        <w:spacing w:before="120" w:after="120"/>
        <w:ind w:firstLine="397"/>
        <w:jc w:val="both"/>
        <w:rPr>
          <w:rFonts w:cs="Arial"/>
          <w:szCs w:val="20"/>
        </w:rPr>
      </w:pPr>
      <w:r>
        <w:rPr>
          <w:rFonts w:cs="Arial"/>
          <w:szCs w:val="20"/>
        </w:rPr>
        <w:t>Коришћене</w:t>
      </w:r>
      <w:r w:rsidRPr="00391427">
        <w:rPr>
          <w:rFonts w:cs="Arial"/>
          <w:szCs w:val="20"/>
        </w:rPr>
        <w:t xml:space="preserve"> воде за потребе индустрије, посматрано по секторима и у односу на претходну годину, у 201</w:t>
      </w:r>
      <w:r w:rsidR="00DE2FC5">
        <w:rPr>
          <w:rFonts w:cs="Arial"/>
          <w:szCs w:val="20"/>
        </w:rPr>
        <w:t>9</w:t>
      </w:r>
      <w:r w:rsidRPr="00391427">
        <w:rPr>
          <w:rFonts w:cs="Arial"/>
          <w:szCs w:val="20"/>
        </w:rPr>
        <w:t xml:space="preserve">. години забележиле су следећа кретања: Рударство – </w:t>
      </w:r>
      <w:r w:rsidR="00C90D50">
        <w:rPr>
          <w:rFonts w:cs="Arial"/>
          <w:szCs w:val="20"/>
        </w:rPr>
        <w:t>раст</w:t>
      </w:r>
      <w:r w:rsidR="0078649B" w:rsidRPr="00391427">
        <w:rPr>
          <w:rFonts w:cs="Arial"/>
          <w:szCs w:val="20"/>
        </w:rPr>
        <w:t xml:space="preserve"> </w:t>
      </w:r>
      <w:r w:rsidRPr="00391427">
        <w:rPr>
          <w:rFonts w:cs="Arial"/>
          <w:szCs w:val="20"/>
        </w:rPr>
        <w:t xml:space="preserve">од </w:t>
      </w:r>
      <w:r w:rsidR="00C90D50">
        <w:rPr>
          <w:rFonts w:cs="Arial"/>
          <w:szCs w:val="20"/>
        </w:rPr>
        <w:t>11</w:t>
      </w:r>
      <w:r w:rsidR="00EC0EFA">
        <w:rPr>
          <w:rFonts w:cs="Arial"/>
          <w:szCs w:val="20"/>
          <w:lang w:val="sr-Latn-RS"/>
        </w:rPr>
        <w:t>,</w:t>
      </w:r>
      <w:r w:rsidR="00C90D50">
        <w:rPr>
          <w:rFonts w:cs="Arial"/>
          <w:szCs w:val="20"/>
        </w:rPr>
        <w:t>6</w:t>
      </w:r>
      <w:r w:rsidRPr="00391427">
        <w:rPr>
          <w:rFonts w:cs="Arial"/>
          <w:szCs w:val="20"/>
        </w:rPr>
        <w:t>%</w:t>
      </w:r>
      <w:r w:rsidR="00EC0EFA">
        <w:rPr>
          <w:rFonts w:cs="Arial"/>
          <w:szCs w:val="20"/>
        </w:rPr>
        <w:t>; Прерађивачка индустрија – пад</w:t>
      </w:r>
      <w:r w:rsidRPr="00391427">
        <w:rPr>
          <w:rFonts w:cs="Arial"/>
          <w:szCs w:val="20"/>
        </w:rPr>
        <w:t xml:space="preserve"> од </w:t>
      </w:r>
      <w:r w:rsidR="00C90D50">
        <w:rPr>
          <w:rFonts w:cs="Arial"/>
          <w:szCs w:val="20"/>
        </w:rPr>
        <w:t>6</w:t>
      </w:r>
      <w:r w:rsidR="00EC0EFA">
        <w:rPr>
          <w:rFonts w:cs="Arial"/>
          <w:szCs w:val="20"/>
          <w:lang w:val="sr-Latn-RS"/>
        </w:rPr>
        <w:t>,</w:t>
      </w:r>
      <w:r w:rsidR="005456AF">
        <w:rPr>
          <w:rFonts w:cs="Arial"/>
          <w:szCs w:val="20"/>
        </w:rPr>
        <w:t>2</w:t>
      </w:r>
      <w:r w:rsidRPr="00391427">
        <w:rPr>
          <w:rFonts w:cs="Arial"/>
          <w:szCs w:val="20"/>
        </w:rPr>
        <w:t xml:space="preserve">%; Снабдевање електричном енергијом, гасом и паром – </w:t>
      </w:r>
      <w:r w:rsidR="00C90D50">
        <w:rPr>
          <w:rFonts w:cs="Arial"/>
          <w:szCs w:val="20"/>
        </w:rPr>
        <w:t>раст</w:t>
      </w:r>
      <w:r w:rsidRPr="00391427">
        <w:rPr>
          <w:rFonts w:cs="Arial"/>
          <w:szCs w:val="20"/>
        </w:rPr>
        <w:t xml:space="preserve"> од </w:t>
      </w:r>
      <w:r w:rsidR="005456AF">
        <w:rPr>
          <w:rFonts w:cs="Arial"/>
          <w:szCs w:val="20"/>
        </w:rPr>
        <w:t>1</w:t>
      </w:r>
      <w:r w:rsidR="00EC0EFA">
        <w:rPr>
          <w:rFonts w:cs="Arial"/>
          <w:szCs w:val="20"/>
          <w:lang w:val="sr-Latn-RS"/>
        </w:rPr>
        <w:t>,</w:t>
      </w:r>
      <w:r w:rsidR="00C90D50">
        <w:rPr>
          <w:rFonts w:cs="Arial"/>
          <w:szCs w:val="20"/>
        </w:rPr>
        <w:t>4</w:t>
      </w:r>
      <w:r w:rsidRPr="00391427">
        <w:rPr>
          <w:rFonts w:cs="Arial"/>
          <w:szCs w:val="20"/>
        </w:rPr>
        <w:t>%.</w:t>
      </w:r>
    </w:p>
    <w:p w:rsidR="00DD40A5" w:rsidRPr="00391427" w:rsidRDefault="00DD40A5" w:rsidP="006B781F">
      <w:pPr>
        <w:spacing w:before="120" w:after="120"/>
        <w:ind w:firstLine="397"/>
        <w:jc w:val="both"/>
        <w:rPr>
          <w:rFonts w:cs="Arial"/>
          <w:szCs w:val="20"/>
        </w:rPr>
      </w:pPr>
      <w:r>
        <w:rPr>
          <w:rFonts w:cs="Arial"/>
          <w:bCs/>
          <w:szCs w:val="20"/>
          <w:lang w:val="ru-RU"/>
        </w:rPr>
        <w:t>О</w:t>
      </w:r>
      <w:r w:rsidRPr="004348D0">
        <w:rPr>
          <w:rFonts w:cs="Arial"/>
          <w:bCs/>
          <w:szCs w:val="20"/>
          <w:lang w:val="ru-RU"/>
        </w:rPr>
        <w:t>д укуп</w:t>
      </w:r>
      <w:r w:rsidR="00A85AD6">
        <w:rPr>
          <w:rFonts w:cs="Arial"/>
          <w:bCs/>
          <w:szCs w:val="20"/>
          <w:lang w:val="ru-RU"/>
        </w:rPr>
        <w:t>но коришћених вода у индустрији</w:t>
      </w:r>
      <w:r w:rsidR="00AA7BB6">
        <w:rPr>
          <w:rFonts w:cs="Arial"/>
          <w:bCs/>
          <w:szCs w:val="20"/>
          <w:lang w:val="sr-Latn-RS"/>
        </w:rPr>
        <w:t>,</w:t>
      </w:r>
      <w:r w:rsidRPr="004348D0">
        <w:rPr>
          <w:rFonts w:cs="Arial"/>
          <w:bCs/>
          <w:szCs w:val="20"/>
          <w:lang w:val="ru-RU"/>
        </w:rPr>
        <w:t xml:space="preserve"> </w:t>
      </w:r>
      <w:r w:rsidR="00CC02D2">
        <w:rPr>
          <w:rFonts w:cs="Arial"/>
          <w:bCs/>
          <w:szCs w:val="20"/>
          <w:lang w:val="sr-Latn-RS"/>
        </w:rPr>
        <w:t>97</w:t>
      </w:r>
      <w:r w:rsidRPr="004348D0">
        <w:rPr>
          <w:rFonts w:cs="Arial"/>
          <w:bCs/>
          <w:szCs w:val="20"/>
          <w:lang w:val="sr-Latn-RS"/>
        </w:rPr>
        <w:t>,</w:t>
      </w:r>
      <w:r w:rsidR="00C90D50">
        <w:rPr>
          <w:rFonts w:cs="Arial"/>
          <w:bCs/>
          <w:szCs w:val="20"/>
        </w:rPr>
        <w:t>6</w:t>
      </w:r>
      <w:r w:rsidRPr="004348D0">
        <w:rPr>
          <w:rFonts w:cs="Arial"/>
          <w:bCs/>
          <w:szCs w:val="20"/>
          <w:lang w:val="ru-RU"/>
        </w:rPr>
        <w:t>% чине воде коришћене у с</w:t>
      </w:r>
      <w:r w:rsidRPr="004348D0">
        <w:rPr>
          <w:rFonts w:cs="Arial"/>
          <w:szCs w:val="20"/>
          <w:lang w:val="ru-RU"/>
        </w:rPr>
        <w:t>набдевању електричном енергијом, гасом и паром</w:t>
      </w:r>
      <w:r w:rsidR="00CC02D2">
        <w:rPr>
          <w:rFonts w:cs="Arial"/>
          <w:bCs/>
          <w:szCs w:val="20"/>
          <w:lang w:val="ru-RU"/>
        </w:rPr>
        <w:t>, 2,</w:t>
      </w:r>
      <w:r w:rsidR="00C90D50">
        <w:rPr>
          <w:rFonts w:cs="Arial"/>
          <w:bCs/>
          <w:szCs w:val="20"/>
          <w:lang w:val="ru-RU"/>
        </w:rPr>
        <w:t>0</w:t>
      </w:r>
      <w:r w:rsidRPr="004348D0">
        <w:rPr>
          <w:rFonts w:cs="Arial"/>
          <w:bCs/>
          <w:szCs w:val="20"/>
          <w:lang w:val="ru-RU"/>
        </w:rPr>
        <w:t>% у прерађивачкој индустрији, а 0,</w:t>
      </w:r>
      <w:r w:rsidR="00C90D50">
        <w:rPr>
          <w:rFonts w:cs="Arial"/>
          <w:bCs/>
          <w:szCs w:val="20"/>
        </w:rPr>
        <w:t>3</w:t>
      </w:r>
      <w:r w:rsidRPr="004348D0">
        <w:rPr>
          <w:rFonts w:cs="Arial"/>
          <w:bCs/>
          <w:szCs w:val="20"/>
          <w:lang w:val="sr-Latn-CS"/>
        </w:rPr>
        <w:t>%</w:t>
      </w:r>
      <w:r w:rsidRPr="004348D0">
        <w:rPr>
          <w:rFonts w:cs="Arial"/>
          <w:bCs/>
          <w:szCs w:val="20"/>
          <w:lang w:val="ru-RU"/>
        </w:rPr>
        <w:t xml:space="preserve"> у р</w:t>
      </w:r>
      <w:r w:rsidRPr="004348D0">
        <w:rPr>
          <w:rFonts w:cs="Arial"/>
          <w:szCs w:val="20"/>
          <w:lang w:val="sr-Cyrl-CS"/>
        </w:rPr>
        <w:t>ударству</w:t>
      </w:r>
      <w:r w:rsidRPr="004348D0">
        <w:rPr>
          <w:rFonts w:cs="Arial"/>
          <w:bCs/>
          <w:szCs w:val="20"/>
          <w:lang w:val="ru-RU"/>
        </w:rPr>
        <w:t>.</w:t>
      </w:r>
      <w:r>
        <w:rPr>
          <w:rFonts w:cs="Arial"/>
          <w:bCs/>
          <w:szCs w:val="20"/>
          <w:lang w:val="ru-RU"/>
        </w:rPr>
        <w:t xml:space="preserve"> </w:t>
      </w:r>
    </w:p>
    <w:p w:rsidR="00DD40A5" w:rsidRPr="007747FF" w:rsidRDefault="007B13BF" w:rsidP="006B781F">
      <w:pPr>
        <w:spacing w:before="120" w:after="120"/>
        <w:ind w:firstLine="397"/>
        <w:jc w:val="both"/>
        <w:rPr>
          <w:rFonts w:cs="Arial"/>
          <w:szCs w:val="20"/>
        </w:rPr>
      </w:pPr>
      <w:r>
        <w:rPr>
          <w:rFonts w:cs="Arial"/>
          <w:szCs w:val="20"/>
        </w:rPr>
        <w:t>Од укупно 1</w:t>
      </w:r>
      <w:r w:rsidR="00C90D50">
        <w:rPr>
          <w:rFonts w:cs="Arial"/>
          <w:szCs w:val="20"/>
        </w:rPr>
        <w:t>19</w:t>
      </w:r>
      <w:r w:rsidRPr="007B13BF">
        <w:t xml:space="preserve"> </w:t>
      </w:r>
      <w:r>
        <w:rPr>
          <w:rFonts w:cs="Arial"/>
          <w:szCs w:val="20"/>
        </w:rPr>
        <w:t>мил. m</w:t>
      </w:r>
      <w:r w:rsidRPr="00412132">
        <w:rPr>
          <w:rFonts w:cs="Arial"/>
          <w:szCs w:val="20"/>
          <w:vertAlign w:val="superscript"/>
        </w:rPr>
        <w:t>3</w:t>
      </w:r>
      <w:r>
        <w:rPr>
          <w:rFonts w:cs="Arial"/>
          <w:szCs w:val="20"/>
        </w:rPr>
        <w:t xml:space="preserve"> </w:t>
      </w:r>
      <w:r w:rsidR="0026020B">
        <w:rPr>
          <w:rFonts w:cs="Arial"/>
          <w:szCs w:val="20"/>
        </w:rPr>
        <w:t>отпадних вода</w:t>
      </w:r>
      <w:r w:rsidR="006B781F">
        <w:rPr>
          <w:rStyle w:val="FootnoteReference"/>
          <w:rFonts w:cs="Arial"/>
          <w:szCs w:val="20"/>
        </w:rPr>
        <w:footnoteReference w:id="1"/>
      </w:r>
      <w:r w:rsidR="0026020B">
        <w:rPr>
          <w:rFonts w:cs="Arial"/>
          <w:szCs w:val="20"/>
        </w:rPr>
        <w:t xml:space="preserve"> у индустрији</w:t>
      </w:r>
      <w:r w:rsidR="00AA7BB6">
        <w:rPr>
          <w:rFonts w:cs="Arial"/>
          <w:szCs w:val="20"/>
          <w:lang w:val="sr-Latn-RS"/>
        </w:rPr>
        <w:t>,</w:t>
      </w:r>
      <w:r w:rsidR="00B95A7F">
        <w:rPr>
          <w:rFonts w:cs="Arial"/>
          <w:szCs w:val="20"/>
        </w:rPr>
        <w:t xml:space="preserve"> </w:t>
      </w:r>
      <w:r w:rsidR="00412132">
        <w:rPr>
          <w:rFonts w:cs="Arial"/>
          <w:szCs w:val="20"/>
        </w:rPr>
        <w:t>4</w:t>
      </w:r>
      <w:r w:rsidR="00C90D50">
        <w:rPr>
          <w:rFonts w:cs="Arial"/>
          <w:szCs w:val="20"/>
        </w:rPr>
        <w:t>7</w:t>
      </w:r>
      <w:r w:rsidR="00B95A7F">
        <w:rPr>
          <w:rFonts w:cs="Arial"/>
          <w:szCs w:val="20"/>
        </w:rPr>
        <w:t>,</w:t>
      </w:r>
      <w:r w:rsidR="00C90D50">
        <w:rPr>
          <w:rFonts w:cs="Arial"/>
          <w:szCs w:val="20"/>
        </w:rPr>
        <w:t>0</w:t>
      </w:r>
      <w:r w:rsidR="00DD40A5" w:rsidRPr="007747FF">
        <w:rPr>
          <w:rFonts w:cs="Arial"/>
          <w:szCs w:val="20"/>
        </w:rPr>
        <w:t xml:space="preserve">% чине испуштене воде </w:t>
      </w:r>
      <w:r w:rsidR="0026020B">
        <w:rPr>
          <w:rFonts w:cs="Arial"/>
          <w:szCs w:val="20"/>
        </w:rPr>
        <w:t>из сектора</w:t>
      </w:r>
      <w:r w:rsidR="00DD40A5" w:rsidRPr="007747FF">
        <w:rPr>
          <w:rFonts w:cs="Arial"/>
          <w:szCs w:val="20"/>
        </w:rPr>
        <w:t xml:space="preserve"> </w:t>
      </w:r>
      <w:r w:rsidR="00412132" w:rsidRPr="00412132">
        <w:rPr>
          <w:rFonts w:cs="Arial"/>
          <w:szCs w:val="20"/>
        </w:rPr>
        <w:t>Прерађивачка индустрија</w:t>
      </w:r>
      <w:r w:rsidR="00B95A7F">
        <w:rPr>
          <w:rFonts w:cs="Arial"/>
          <w:szCs w:val="20"/>
        </w:rPr>
        <w:t xml:space="preserve">, </w:t>
      </w:r>
      <w:r w:rsidR="00412132">
        <w:rPr>
          <w:rFonts w:cs="Arial"/>
          <w:szCs w:val="20"/>
        </w:rPr>
        <w:t>4</w:t>
      </w:r>
      <w:r w:rsidR="00C90D50">
        <w:rPr>
          <w:rFonts w:cs="Arial"/>
          <w:szCs w:val="20"/>
        </w:rPr>
        <w:t>2</w:t>
      </w:r>
      <w:r w:rsidR="00B95A7F">
        <w:rPr>
          <w:rFonts w:cs="Arial"/>
          <w:szCs w:val="20"/>
        </w:rPr>
        <w:t>,</w:t>
      </w:r>
      <w:r w:rsidR="00C90D50">
        <w:rPr>
          <w:rFonts w:cs="Arial"/>
          <w:szCs w:val="20"/>
        </w:rPr>
        <w:t>3</w:t>
      </w:r>
      <w:r w:rsidR="00DD40A5" w:rsidRPr="007747FF">
        <w:rPr>
          <w:rFonts w:cs="Arial"/>
          <w:szCs w:val="20"/>
        </w:rPr>
        <w:t xml:space="preserve">% </w:t>
      </w:r>
      <w:r w:rsidR="00DD40A5">
        <w:rPr>
          <w:rFonts w:cs="Arial"/>
          <w:szCs w:val="20"/>
        </w:rPr>
        <w:t xml:space="preserve">из сектора </w:t>
      </w:r>
      <w:r w:rsidR="00412132" w:rsidRPr="00412132">
        <w:rPr>
          <w:rFonts w:cs="Arial"/>
          <w:szCs w:val="20"/>
        </w:rPr>
        <w:t>Снабдевање електричном енергијом, гасом и паром</w:t>
      </w:r>
      <w:r w:rsidR="00DD40A5" w:rsidRPr="007747FF">
        <w:rPr>
          <w:rFonts w:cs="Arial"/>
          <w:szCs w:val="20"/>
        </w:rPr>
        <w:t xml:space="preserve">, а </w:t>
      </w:r>
      <w:r w:rsidR="00C90D50">
        <w:rPr>
          <w:rFonts w:cs="Arial"/>
          <w:szCs w:val="20"/>
        </w:rPr>
        <w:t>10</w:t>
      </w:r>
      <w:r w:rsidR="00DD40A5" w:rsidRPr="007747FF">
        <w:rPr>
          <w:rFonts w:cs="Arial"/>
          <w:szCs w:val="20"/>
        </w:rPr>
        <w:t>,</w:t>
      </w:r>
      <w:r w:rsidR="00C90D50">
        <w:rPr>
          <w:rFonts w:cs="Arial"/>
          <w:szCs w:val="20"/>
        </w:rPr>
        <w:t>7</w:t>
      </w:r>
      <w:r w:rsidR="00DD40A5" w:rsidRPr="007747FF">
        <w:rPr>
          <w:rFonts w:cs="Arial"/>
          <w:szCs w:val="20"/>
        </w:rPr>
        <w:t xml:space="preserve">% </w:t>
      </w:r>
      <w:r w:rsidR="00DD40A5">
        <w:rPr>
          <w:rFonts w:cs="Arial"/>
          <w:szCs w:val="20"/>
        </w:rPr>
        <w:t>из сектора Рударство.</w:t>
      </w:r>
    </w:p>
    <w:p w:rsidR="00DD40A5" w:rsidRDefault="00412132" w:rsidP="006B781F">
      <w:pPr>
        <w:spacing w:before="120" w:after="120"/>
        <w:ind w:firstLine="397"/>
        <w:jc w:val="both"/>
        <w:rPr>
          <w:rFonts w:cs="Arial"/>
          <w:szCs w:val="20"/>
        </w:rPr>
      </w:pPr>
      <w:r>
        <w:rPr>
          <w:rFonts w:cs="Arial"/>
          <w:szCs w:val="20"/>
        </w:rPr>
        <w:t>У 2019.</w:t>
      </w:r>
      <w:r w:rsidR="00F67EBA">
        <w:rPr>
          <w:rFonts w:cs="Arial"/>
          <w:szCs w:val="20"/>
        </w:rPr>
        <w:t xml:space="preserve"> </w:t>
      </w:r>
      <w:r>
        <w:rPr>
          <w:rFonts w:cs="Arial"/>
          <w:szCs w:val="20"/>
        </w:rPr>
        <w:t xml:space="preserve">години пречишећено је </w:t>
      </w:r>
      <w:r w:rsidR="00F67EBA">
        <w:rPr>
          <w:rFonts w:cs="Arial"/>
          <w:szCs w:val="20"/>
        </w:rPr>
        <w:t xml:space="preserve">укупно </w:t>
      </w:r>
      <w:r>
        <w:rPr>
          <w:rFonts w:cs="Arial"/>
          <w:szCs w:val="20"/>
        </w:rPr>
        <w:t>4</w:t>
      </w:r>
      <w:r w:rsidR="00C90D50">
        <w:rPr>
          <w:rFonts w:cs="Arial"/>
          <w:szCs w:val="20"/>
        </w:rPr>
        <w:t>6</w:t>
      </w:r>
      <w:r>
        <w:rPr>
          <w:rFonts w:cs="Arial"/>
          <w:szCs w:val="20"/>
        </w:rPr>
        <w:t xml:space="preserve"> мил</w:t>
      </w:r>
      <w:r w:rsidR="00F67EBA">
        <w:rPr>
          <w:rFonts w:cs="Arial"/>
          <w:szCs w:val="20"/>
        </w:rPr>
        <w:t>.</w:t>
      </w:r>
      <w:r w:rsidR="00F67EBA" w:rsidRPr="00F67EBA">
        <w:t xml:space="preserve"> </w:t>
      </w:r>
      <w:r w:rsidR="00F67EBA">
        <w:rPr>
          <w:rFonts w:eastAsia="ArialMT" w:cs="Arial"/>
          <w:szCs w:val="20"/>
          <w:lang w:val="sr-Latn-RS"/>
        </w:rPr>
        <w:t>m</w:t>
      </w:r>
      <w:r w:rsidR="00F67EBA" w:rsidRPr="00F74993">
        <w:rPr>
          <w:rFonts w:eastAsia="ArialMT" w:cs="Arial"/>
          <w:szCs w:val="20"/>
          <w:vertAlign w:val="superscript"/>
          <w:lang w:val="sr-Latn-RS"/>
        </w:rPr>
        <w:t>3</w:t>
      </w:r>
      <w:r>
        <w:rPr>
          <w:rFonts w:cs="Arial"/>
          <w:szCs w:val="20"/>
        </w:rPr>
        <w:t xml:space="preserve"> </w:t>
      </w:r>
      <w:r w:rsidR="00F67EBA">
        <w:rPr>
          <w:rFonts w:cs="Arial"/>
          <w:szCs w:val="20"/>
        </w:rPr>
        <w:t>воде</w:t>
      </w:r>
      <w:r w:rsidR="00AA7BB6">
        <w:rPr>
          <w:rFonts w:cs="Arial"/>
          <w:szCs w:val="20"/>
          <w:lang w:val="sr-Latn-RS"/>
        </w:rPr>
        <w:t>,</w:t>
      </w:r>
      <w:r w:rsidR="00F67EBA">
        <w:rPr>
          <w:rFonts w:cs="Arial"/>
          <w:szCs w:val="20"/>
        </w:rPr>
        <w:t xml:space="preserve"> а од тога п</w:t>
      </w:r>
      <w:r w:rsidR="00DD40A5">
        <w:rPr>
          <w:rFonts w:cs="Arial"/>
          <w:szCs w:val="20"/>
        </w:rPr>
        <w:t>римарни</w:t>
      </w:r>
      <w:r w:rsidR="00F67EBA">
        <w:rPr>
          <w:rFonts w:cs="Arial"/>
          <w:szCs w:val="20"/>
        </w:rPr>
        <w:t xml:space="preserve">м </w:t>
      </w:r>
      <w:r w:rsidR="00DD40A5">
        <w:rPr>
          <w:rFonts w:cs="Arial"/>
          <w:szCs w:val="20"/>
        </w:rPr>
        <w:t>третман</w:t>
      </w:r>
      <w:r w:rsidR="00F67EBA">
        <w:rPr>
          <w:rFonts w:cs="Arial"/>
          <w:szCs w:val="20"/>
        </w:rPr>
        <w:t>ом</w:t>
      </w:r>
      <w:r w:rsidR="00DD40A5">
        <w:rPr>
          <w:rFonts w:cs="Arial"/>
          <w:szCs w:val="20"/>
        </w:rPr>
        <w:t xml:space="preserve"> </w:t>
      </w:r>
      <w:r w:rsidR="00F67EBA">
        <w:rPr>
          <w:rFonts w:cs="Arial"/>
          <w:szCs w:val="20"/>
        </w:rPr>
        <w:t>3</w:t>
      </w:r>
      <w:r w:rsidR="00C90D50">
        <w:rPr>
          <w:rFonts w:cs="Arial"/>
          <w:szCs w:val="20"/>
        </w:rPr>
        <w:t>8</w:t>
      </w:r>
      <w:r w:rsidR="00F67EBA">
        <w:rPr>
          <w:rFonts w:cs="Arial"/>
          <w:szCs w:val="20"/>
        </w:rPr>
        <w:t>,</w:t>
      </w:r>
      <w:r w:rsidR="00C90D50">
        <w:rPr>
          <w:rFonts w:cs="Arial"/>
          <w:szCs w:val="20"/>
        </w:rPr>
        <w:t>3</w:t>
      </w:r>
      <w:r w:rsidR="00F67EBA">
        <w:rPr>
          <w:rFonts w:cs="Arial"/>
          <w:szCs w:val="20"/>
        </w:rPr>
        <w:t>%</w:t>
      </w:r>
      <w:r w:rsidR="00DD40A5">
        <w:rPr>
          <w:rFonts w:cs="Arial"/>
          <w:szCs w:val="20"/>
        </w:rPr>
        <w:t xml:space="preserve">, </w:t>
      </w:r>
      <w:r w:rsidR="00EC7636">
        <w:rPr>
          <w:rFonts w:cs="Arial"/>
          <w:szCs w:val="20"/>
        </w:rPr>
        <w:t>секундарни</w:t>
      </w:r>
      <w:r w:rsidR="00F67EBA">
        <w:rPr>
          <w:rFonts w:cs="Arial"/>
          <w:szCs w:val="20"/>
        </w:rPr>
        <w:t>м</w:t>
      </w:r>
      <w:r w:rsidR="00EC7636">
        <w:rPr>
          <w:rFonts w:cs="Arial"/>
          <w:szCs w:val="20"/>
        </w:rPr>
        <w:t xml:space="preserve"> третман</w:t>
      </w:r>
      <w:r w:rsidR="00F67EBA">
        <w:rPr>
          <w:rFonts w:cs="Arial"/>
          <w:szCs w:val="20"/>
        </w:rPr>
        <w:t>ом</w:t>
      </w:r>
      <w:r w:rsidR="00DD40A5">
        <w:rPr>
          <w:rFonts w:cs="Arial"/>
          <w:szCs w:val="20"/>
        </w:rPr>
        <w:t xml:space="preserve"> </w:t>
      </w:r>
      <w:r w:rsidR="00F67EBA">
        <w:rPr>
          <w:rFonts w:cs="Arial"/>
          <w:szCs w:val="20"/>
        </w:rPr>
        <w:t>12,</w:t>
      </w:r>
      <w:r w:rsidR="00C90D50">
        <w:rPr>
          <w:rFonts w:cs="Arial"/>
          <w:szCs w:val="20"/>
        </w:rPr>
        <w:t>5</w:t>
      </w:r>
      <w:r w:rsidR="00F67EBA">
        <w:rPr>
          <w:rFonts w:cs="Arial"/>
          <w:szCs w:val="20"/>
        </w:rPr>
        <w:t>%</w:t>
      </w:r>
      <w:r w:rsidR="00EC7636">
        <w:rPr>
          <w:rFonts w:cs="Arial"/>
          <w:szCs w:val="20"/>
        </w:rPr>
        <w:t xml:space="preserve"> и терцијарни</w:t>
      </w:r>
      <w:r w:rsidR="00F67EBA">
        <w:rPr>
          <w:rFonts w:cs="Arial"/>
          <w:szCs w:val="20"/>
        </w:rPr>
        <w:t>м</w:t>
      </w:r>
      <w:r w:rsidR="00EC7636">
        <w:rPr>
          <w:rFonts w:cs="Arial"/>
          <w:szCs w:val="20"/>
        </w:rPr>
        <w:t xml:space="preserve"> третман</w:t>
      </w:r>
      <w:r w:rsidR="00F67EBA">
        <w:rPr>
          <w:rFonts w:cs="Arial"/>
          <w:szCs w:val="20"/>
        </w:rPr>
        <w:t>ом</w:t>
      </w:r>
      <w:r w:rsidR="00DD40A5">
        <w:rPr>
          <w:rFonts w:cs="Arial"/>
          <w:szCs w:val="20"/>
        </w:rPr>
        <w:t xml:space="preserve"> </w:t>
      </w:r>
      <w:r w:rsidR="00C90D50">
        <w:rPr>
          <w:rFonts w:cs="Arial"/>
          <w:szCs w:val="20"/>
        </w:rPr>
        <w:t>49</w:t>
      </w:r>
      <w:r w:rsidR="00F67EBA">
        <w:rPr>
          <w:rFonts w:cs="Arial"/>
          <w:szCs w:val="20"/>
        </w:rPr>
        <w:t>,</w:t>
      </w:r>
      <w:r w:rsidR="00C90D50">
        <w:rPr>
          <w:rFonts w:cs="Arial"/>
          <w:szCs w:val="20"/>
        </w:rPr>
        <w:t>2</w:t>
      </w:r>
      <w:r w:rsidR="00F67EBA">
        <w:rPr>
          <w:rFonts w:cs="Arial"/>
          <w:szCs w:val="20"/>
        </w:rPr>
        <w:t>%</w:t>
      </w:r>
      <w:r w:rsidR="00DD40A5">
        <w:rPr>
          <w:rFonts w:cs="Arial"/>
          <w:szCs w:val="20"/>
        </w:rPr>
        <w:t>.</w:t>
      </w:r>
      <w:r w:rsidR="00E600BB">
        <w:rPr>
          <w:rFonts w:cs="Arial"/>
          <w:szCs w:val="20"/>
        </w:rPr>
        <w:t xml:space="preserve"> Највећи удео у пречишћеним водама сектора индустрије има област Производња основних метала </w:t>
      </w:r>
      <w:r w:rsidR="00AA7BB6">
        <w:rPr>
          <w:rFonts w:cs="Arial"/>
          <w:szCs w:val="20"/>
        </w:rPr>
        <w:t>–</w:t>
      </w:r>
      <w:r w:rsidR="00AA7BB6">
        <w:rPr>
          <w:rFonts w:cs="Arial"/>
          <w:szCs w:val="20"/>
          <w:lang w:val="sr-Latn-RS"/>
        </w:rPr>
        <w:t xml:space="preserve"> </w:t>
      </w:r>
      <w:r w:rsidR="00E600BB">
        <w:rPr>
          <w:rFonts w:cs="Arial"/>
          <w:szCs w:val="20"/>
        </w:rPr>
        <w:t>4</w:t>
      </w:r>
      <w:r w:rsidR="00C90D50">
        <w:rPr>
          <w:rFonts w:cs="Arial"/>
          <w:szCs w:val="20"/>
        </w:rPr>
        <w:t>0</w:t>
      </w:r>
      <w:r w:rsidR="00E600BB">
        <w:rPr>
          <w:rFonts w:cs="Arial"/>
          <w:szCs w:val="20"/>
        </w:rPr>
        <w:t>,</w:t>
      </w:r>
      <w:r w:rsidR="00C90D50">
        <w:rPr>
          <w:rFonts w:cs="Arial"/>
          <w:szCs w:val="20"/>
        </w:rPr>
        <w:t>5</w:t>
      </w:r>
      <w:r w:rsidR="00E600BB">
        <w:rPr>
          <w:rFonts w:cs="Arial"/>
          <w:szCs w:val="20"/>
        </w:rPr>
        <w:t xml:space="preserve">%, а потом следе Производња хемикалија и хемијских производа </w:t>
      </w:r>
      <w:r w:rsidR="00AA7BB6">
        <w:rPr>
          <w:rFonts w:cs="Arial"/>
          <w:szCs w:val="20"/>
        </w:rPr>
        <w:t>–</w:t>
      </w:r>
      <w:r w:rsidR="00AA7BB6">
        <w:rPr>
          <w:rFonts w:cs="Arial"/>
          <w:szCs w:val="20"/>
          <w:lang w:val="sr-Latn-RS"/>
        </w:rPr>
        <w:t xml:space="preserve"> </w:t>
      </w:r>
      <w:r w:rsidR="00E600BB">
        <w:rPr>
          <w:rFonts w:cs="Arial"/>
          <w:szCs w:val="20"/>
        </w:rPr>
        <w:t>12,</w:t>
      </w:r>
      <w:r w:rsidR="00C90D50">
        <w:rPr>
          <w:rFonts w:cs="Arial"/>
          <w:szCs w:val="20"/>
        </w:rPr>
        <w:t>6</w:t>
      </w:r>
      <w:r w:rsidR="00E600BB">
        <w:rPr>
          <w:rFonts w:cs="Arial"/>
          <w:szCs w:val="20"/>
        </w:rPr>
        <w:t>%, затим Производња прехрамбених производа са 1</w:t>
      </w:r>
      <w:r w:rsidR="00C90D50">
        <w:rPr>
          <w:rFonts w:cs="Arial"/>
          <w:szCs w:val="20"/>
        </w:rPr>
        <w:t>0</w:t>
      </w:r>
      <w:r w:rsidR="00E600BB">
        <w:rPr>
          <w:rFonts w:cs="Arial"/>
          <w:szCs w:val="20"/>
        </w:rPr>
        <w:t>,</w:t>
      </w:r>
      <w:r w:rsidR="00C90D50">
        <w:rPr>
          <w:rFonts w:cs="Arial"/>
          <w:szCs w:val="20"/>
        </w:rPr>
        <w:t>9</w:t>
      </w:r>
      <w:r w:rsidR="00E600BB">
        <w:rPr>
          <w:rFonts w:cs="Arial"/>
          <w:szCs w:val="20"/>
        </w:rPr>
        <w:t xml:space="preserve">% и Снабдевање </w:t>
      </w:r>
      <w:r w:rsidR="00E600BB" w:rsidRPr="00E600BB">
        <w:rPr>
          <w:rFonts w:cs="Arial"/>
          <w:szCs w:val="20"/>
        </w:rPr>
        <w:t>електричном енергијом, гасом, паром и климатизација</w:t>
      </w:r>
      <w:r w:rsidR="00E600BB">
        <w:rPr>
          <w:rFonts w:cs="Arial"/>
          <w:szCs w:val="20"/>
        </w:rPr>
        <w:t xml:space="preserve"> </w:t>
      </w:r>
      <w:r w:rsidR="00AA7BB6">
        <w:rPr>
          <w:rFonts w:cs="Arial"/>
          <w:szCs w:val="20"/>
        </w:rPr>
        <w:t>–</w:t>
      </w:r>
      <w:r w:rsidR="00AA7BB6">
        <w:rPr>
          <w:rFonts w:cs="Arial"/>
          <w:szCs w:val="20"/>
          <w:lang w:val="sr-Latn-RS"/>
        </w:rPr>
        <w:t xml:space="preserve"> </w:t>
      </w:r>
      <w:r w:rsidR="00C90D50">
        <w:rPr>
          <w:rFonts w:cs="Arial"/>
          <w:szCs w:val="20"/>
        </w:rPr>
        <w:t>8</w:t>
      </w:r>
      <w:r w:rsidR="00E600BB">
        <w:rPr>
          <w:rFonts w:cs="Arial"/>
          <w:szCs w:val="20"/>
        </w:rPr>
        <w:t>,</w:t>
      </w:r>
      <w:r w:rsidR="00C90D50">
        <w:rPr>
          <w:rFonts w:cs="Arial"/>
          <w:szCs w:val="20"/>
        </w:rPr>
        <w:t>9</w:t>
      </w:r>
      <w:r w:rsidR="00E600BB">
        <w:rPr>
          <w:rFonts w:cs="Arial"/>
          <w:szCs w:val="20"/>
        </w:rPr>
        <w:t>%. Све остале области сектора индустрије имају удео пречишћених вода од 2</w:t>
      </w:r>
      <w:r w:rsidR="00C90D50">
        <w:rPr>
          <w:rFonts w:cs="Arial"/>
          <w:szCs w:val="20"/>
        </w:rPr>
        <w:t>7</w:t>
      </w:r>
      <w:r w:rsidR="00E600BB">
        <w:rPr>
          <w:rFonts w:cs="Arial"/>
          <w:szCs w:val="20"/>
        </w:rPr>
        <w:t>,</w:t>
      </w:r>
      <w:r w:rsidR="00C90D50">
        <w:rPr>
          <w:rFonts w:cs="Arial"/>
          <w:szCs w:val="20"/>
        </w:rPr>
        <w:t>1</w:t>
      </w:r>
      <w:r w:rsidR="00E600BB">
        <w:rPr>
          <w:rFonts w:cs="Arial"/>
          <w:szCs w:val="20"/>
        </w:rPr>
        <w:t>%.</w:t>
      </w:r>
    </w:p>
    <w:p w:rsidR="00DD40A5" w:rsidRDefault="00BA4ACE" w:rsidP="00BA4ACE">
      <w:pPr>
        <w:spacing w:before="720" w:after="60" w:line="264" w:lineRule="auto"/>
        <w:jc w:val="left"/>
        <w:rPr>
          <w:rFonts w:cs="Arial"/>
          <w:b/>
          <w:bCs/>
          <w:szCs w:val="20"/>
          <w:lang w:val="ru-RU"/>
        </w:rPr>
      </w:pPr>
      <w:r>
        <w:rPr>
          <w:rFonts w:cs="Arial"/>
          <w:b/>
          <w:bCs/>
          <w:szCs w:val="20"/>
          <w:lang w:val="sr-Latn-RS"/>
        </w:rPr>
        <w:t xml:space="preserve">                                             </w:t>
      </w:r>
      <w:r w:rsidR="00DD40A5">
        <w:rPr>
          <w:rFonts w:cs="Arial"/>
          <w:b/>
          <w:bCs/>
          <w:szCs w:val="20"/>
        </w:rPr>
        <w:t>1</w:t>
      </w:r>
      <w:r w:rsidR="00DD40A5" w:rsidRPr="00E16EE3">
        <w:rPr>
          <w:rFonts w:cs="Arial"/>
          <w:b/>
          <w:bCs/>
          <w:szCs w:val="20"/>
          <w:lang w:val="sr-Cyrl-CS"/>
        </w:rPr>
        <w:t xml:space="preserve">. </w:t>
      </w:r>
      <w:r w:rsidR="00DD40A5" w:rsidRPr="00E16EE3">
        <w:rPr>
          <w:rFonts w:cs="Arial"/>
          <w:b/>
          <w:bCs/>
          <w:szCs w:val="20"/>
        </w:rPr>
        <w:t>K</w:t>
      </w:r>
      <w:r w:rsidR="00DD40A5">
        <w:rPr>
          <w:rFonts w:cs="Arial"/>
          <w:b/>
          <w:bCs/>
          <w:szCs w:val="20"/>
          <w:lang w:val="ru-RU"/>
        </w:rPr>
        <w:t>оришћене воде у индустрији</w:t>
      </w:r>
    </w:p>
    <w:p w:rsidR="00DD40A5" w:rsidRPr="00CF4CCE" w:rsidRDefault="00DD40A5" w:rsidP="00E11A12">
      <w:pPr>
        <w:spacing w:after="60" w:line="264" w:lineRule="auto"/>
        <w:jc w:val="left"/>
        <w:rPr>
          <w:rFonts w:cs="Arial"/>
          <w:b/>
          <w:bCs/>
          <w:szCs w:val="20"/>
          <w:lang w:val="ru-RU"/>
        </w:rPr>
      </w:pPr>
      <w:r w:rsidRPr="001A3149">
        <w:rPr>
          <w:rFonts w:cs="Arial"/>
          <w:b/>
          <w:bCs/>
          <w:sz w:val="18"/>
          <w:szCs w:val="18"/>
        </w:rPr>
        <w:t>Република Србија</w:t>
      </w:r>
      <w:r w:rsidRPr="001A3149">
        <w:rPr>
          <w:rFonts w:cs="Arial"/>
          <w:b/>
          <w:bCs/>
          <w:sz w:val="18"/>
          <w:szCs w:val="18"/>
          <w:vertAlign w:val="superscript"/>
          <w:lang w:val="sr-Cyrl-CS"/>
        </w:rPr>
        <w:t xml:space="preserve">   </w:t>
      </w:r>
      <w:r w:rsidRPr="001A3149">
        <w:rPr>
          <w:rFonts w:cs="Arial"/>
          <w:b/>
          <w:sz w:val="16"/>
          <w:szCs w:val="16"/>
          <w:lang w:val="ru-RU"/>
        </w:rPr>
        <w:t xml:space="preserve">       </w:t>
      </w:r>
      <w:r>
        <w:rPr>
          <w:rFonts w:cs="Arial"/>
          <w:b/>
          <w:sz w:val="16"/>
          <w:szCs w:val="16"/>
          <w:lang w:val="ru-RU"/>
        </w:rPr>
        <w:t xml:space="preserve">                                 </w:t>
      </w:r>
      <w:r w:rsidRPr="001A3149">
        <w:rPr>
          <w:rFonts w:cs="Arial"/>
          <w:b/>
          <w:sz w:val="16"/>
          <w:szCs w:val="16"/>
          <w:lang w:val="ru-RU"/>
        </w:rPr>
        <w:t xml:space="preserve">                                                                             </w:t>
      </w:r>
      <w:r>
        <w:rPr>
          <w:rFonts w:cs="Arial"/>
          <w:b/>
          <w:sz w:val="16"/>
          <w:szCs w:val="16"/>
          <w:lang w:val="ru-RU"/>
        </w:rPr>
        <w:t xml:space="preserve">      </w:t>
      </w:r>
      <w:r w:rsidR="00BA4ACE">
        <w:rPr>
          <w:rFonts w:cs="Arial"/>
          <w:b/>
          <w:sz w:val="16"/>
          <w:szCs w:val="16"/>
          <w:lang w:val="sr-Latn-RS"/>
        </w:rPr>
        <w:t xml:space="preserve">   </w:t>
      </w:r>
      <w:r>
        <w:rPr>
          <w:rFonts w:cs="Arial"/>
          <w:b/>
          <w:sz w:val="16"/>
          <w:szCs w:val="16"/>
          <w:lang w:val="ru-RU"/>
        </w:rPr>
        <w:t xml:space="preserve">     </w:t>
      </w:r>
      <w:r w:rsidRPr="00A8584F">
        <w:rPr>
          <w:rFonts w:cs="Arial"/>
          <w:sz w:val="16"/>
          <w:szCs w:val="16"/>
          <w:lang w:val="ru-RU"/>
        </w:rPr>
        <w:t>мил</w:t>
      </w:r>
      <w:r>
        <w:rPr>
          <w:rFonts w:cs="Arial"/>
          <w:sz w:val="16"/>
          <w:szCs w:val="16"/>
          <w:lang w:val="ru-RU"/>
        </w:rPr>
        <w:t>.</w:t>
      </w:r>
      <w:r w:rsidRPr="00A8584F">
        <w:rPr>
          <w:rFonts w:cs="Arial"/>
          <w:sz w:val="16"/>
          <w:szCs w:val="16"/>
          <w:lang w:val="ru-RU"/>
        </w:rPr>
        <w:t xml:space="preserve"> </w:t>
      </w:r>
      <w:r w:rsidRPr="00A8584F">
        <w:rPr>
          <w:rFonts w:cs="Arial"/>
          <w:sz w:val="16"/>
          <w:szCs w:val="16"/>
        </w:rPr>
        <w:t>m</w:t>
      </w:r>
      <w:r w:rsidRPr="00A8584F">
        <w:rPr>
          <w:rFonts w:cs="Arial"/>
          <w:sz w:val="16"/>
          <w:szCs w:val="16"/>
          <w:vertAlign w:val="superscript"/>
          <w:lang w:val="ru-RU"/>
        </w:rPr>
        <w:t>3</w:t>
      </w:r>
      <w:r w:rsidRPr="001A3149">
        <w:rPr>
          <w:rFonts w:cs="Arial"/>
          <w:b/>
          <w:sz w:val="16"/>
          <w:szCs w:val="16"/>
          <w:lang w:val="ru-RU"/>
        </w:rPr>
        <w:t xml:space="preserve">   </w:t>
      </w:r>
    </w:p>
    <w:tbl>
      <w:tblPr>
        <w:tblW w:w="8132"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E0" w:firstRow="1" w:lastRow="1" w:firstColumn="1" w:lastColumn="0" w:noHBand="0" w:noVBand="1"/>
      </w:tblPr>
      <w:tblGrid>
        <w:gridCol w:w="4082"/>
        <w:gridCol w:w="1986"/>
        <w:gridCol w:w="2064"/>
      </w:tblGrid>
      <w:tr w:rsidR="00DD40A5" w:rsidRPr="00CF4CCE" w:rsidTr="00F64A64">
        <w:trPr>
          <w:trHeight w:val="675"/>
        </w:trPr>
        <w:tc>
          <w:tcPr>
            <w:tcW w:w="4082" w:type="dxa"/>
            <w:tcBorders>
              <w:bottom w:val="single" w:sz="4" w:space="0" w:color="808080" w:themeColor="background1" w:themeShade="80"/>
            </w:tcBorders>
            <w:shd w:val="clear" w:color="auto" w:fill="auto"/>
            <w:noWrap/>
            <w:vAlign w:val="center"/>
            <w:hideMark/>
          </w:tcPr>
          <w:p w:rsidR="00DD40A5" w:rsidRPr="00CF4CCE" w:rsidRDefault="00DD40A5" w:rsidP="0034647C">
            <w:pPr>
              <w:spacing w:line="264" w:lineRule="auto"/>
              <w:rPr>
                <w:rFonts w:cs="Arial"/>
                <w:sz w:val="16"/>
                <w:szCs w:val="16"/>
                <w:lang w:val="sr-Cyrl-CS"/>
              </w:rPr>
            </w:pPr>
            <w:r w:rsidRPr="00CF4CCE">
              <w:rPr>
                <w:rFonts w:cs="Arial"/>
                <w:sz w:val="16"/>
                <w:szCs w:val="16"/>
                <w:lang w:val="sr-Cyrl-CS"/>
              </w:rPr>
              <w:t>Сектори (КД)</w:t>
            </w:r>
          </w:p>
        </w:tc>
        <w:tc>
          <w:tcPr>
            <w:tcW w:w="1986" w:type="dxa"/>
            <w:tcBorders>
              <w:bottom w:val="single" w:sz="4" w:space="0" w:color="808080" w:themeColor="background1" w:themeShade="80"/>
            </w:tcBorders>
            <w:shd w:val="clear" w:color="auto" w:fill="auto"/>
            <w:noWrap/>
            <w:vAlign w:val="center"/>
            <w:hideMark/>
          </w:tcPr>
          <w:p w:rsidR="00DD40A5" w:rsidRPr="002C5B87" w:rsidRDefault="00DD40A5" w:rsidP="00F64A64">
            <w:pPr>
              <w:spacing w:line="264" w:lineRule="auto"/>
              <w:rPr>
                <w:rFonts w:cs="Arial"/>
                <w:sz w:val="16"/>
                <w:szCs w:val="16"/>
                <w:lang w:val="sr-Latn-RS"/>
              </w:rPr>
            </w:pPr>
            <w:r w:rsidRPr="00CF4CCE">
              <w:rPr>
                <w:rFonts w:cs="Arial"/>
                <w:sz w:val="16"/>
                <w:szCs w:val="16"/>
                <w:lang w:val="sr-Cyrl-CS"/>
              </w:rPr>
              <w:t>201</w:t>
            </w:r>
            <w:r w:rsidR="00F64A64">
              <w:rPr>
                <w:rFonts w:cs="Arial"/>
                <w:sz w:val="16"/>
                <w:szCs w:val="16"/>
                <w:lang w:val="sr-Latn-RS"/>
              </w:rPr>
              <w:t>8</w:t>
            </w:r>
          </w:p>
        </w:tc>
        <w:tc>
          <w:tcPr>
            <w:tcW w:w="2064" w:type="dxa"/>
            <w:tcBorders>
              <w:bottom w:val="single" w:sz="4" w:space="0" w:color="808080" w:themeColor="background1" w:themeShade="80"/>
            </w:tcBorders>
            <w:shd w:val="clear" w:color="auto" w:fill="auto"/>
            <w:noWrap/>
            <w:vAlign w:val="center"/>
            <w:hideMark/>
          </w:tcPr>
          <w:p w:rsidR="00DD40A5" w:rsidRPr="002C5B87" w:rsidRDefault="00DD40A5" w:rsidP="00F64A64">
            <w:pPr>
              <w:spacing w:line="264" w:lineRule="auto"/>
              <w:rPr>
                <w:rFonts w:cs="Arial"/>
                <w:sz w:val="16"/>
                <w:szCs w:val="16"/>
                <w:lang w:val="sr-Latn-RS"/>
              </w:rPr>
            </w:pPr>
            <w:r w:rsidRPr="00CF4CCE">
              <w:rPr>
                <w:rFonts w:cs="Arial"/>
                <w:sz w:val="16"/>
                <w:szCs w:val="16"/>
                <w:lang w:val="sr-Cyrl-CS"/>
              </w:rPr>
              <w:t>201</w:t>
            </w:r>
            <w:r w:rsidR="00F64A64">
              <w:rPr>
                <w:rFonts w:cs="Arial"/>
                <w:sz w:val="16"/>
                <w:szCs w:val="16"/>
                <w:lang w:val="sr-Latn-RS"/>
              </w:rPr>
              <w:t>9</w:t>
            </w:r>
          </w:p>
        </w:tc>
      </w:tr>
      <w:tr w:rsidR="00DD40A5" w:rsidRPr="00CF4CCE" w:rsidTr="00F64A64">
        <w:trPr>
          <w:trHeight w:val="255"/>
        </w:trPr>
        <w:tc>
          <w:tcPr>
            <w:tcW w:w="4082" w:type="dxa"/>
            <w:tcBorders>
              <w:bottom w:val="nil"/>
            </w:tcBorders>
            <w:shd w:val="clear" w:color="auto" w:fill="auto"/>
            <w:noWrap/>
            <w:vAlign w:val="bottom"/>
            <w:hideMark/>
          </w:tcPr>
          <w:p w:rsidR="00DD40A5" w:rsidRPr="00CF4CCE" w:rsidRDefault="00DD40A5" w:rsidP="00365B0F">
            <w:pPr>
              <w:spacing w:line="264" w:lineRule="auto"/>
              <w:jc w:val="left"/>
              <w:rPr>
                <w:rFonts w:cs="Arial"/>
                <w:sz w:val="16"/>
                <w:szCs w:val="16"/>
                <w:lang w:val="sr-Cyrl-CS"/>
              </w:rPr>
            </w:pPr>
          </w:p>
        </w:tc>
        <w:tc>
          <w:tcPr>
            <w:tcW w:w="1986" w:type="dxa"/>
            <w:tcBorders>
              <w:bottom w:val="nil"/>
            </w:tcBorders>
            <w:shd w:val="clear" w:color="auto" w:fill="auto"/>
            <w:noWrap/>
            <w:vAlign w:val="center"/>
            <w:hideMark/>
          </w:tcPr>
          <w:p w:rsidR="00DD40A5" w:rsidRPr="00CF4CCE" w:rsidRDefault="00DD40A5" w:rsidP="00365B0F">
            <w:pPr>
              <w:spacing w:line="264" w:lineRule="auto"/>
              <w:rPr>
                <w:rFonts w:cs="Arial"/>
                <w:sz w:val="16"/>
                <w:szCs w:val="16"/>
                <w:lang w:val="sr-Cyrl-CS"/>
              </w:rPr>
            </w:pPr>
            <w:r w:rsidRPr="00CF4CCE">
              <w:rPr>
                <w:rFonts w:cs="Arial"/>
                <w:sz w:val="16"/>
                <w:szCs w:val="16"/>
                <w:lang w:val="sr-Cyrl-CS"/>
              </w:rPr>
              <w:t> </w:t>
            </w:r>
          </w:p>
        </w:tc>
        <w:tc>
          <w:tcPr>
            <w:tcW w:w="2064" w:type="dxa"/>
            <w:tcBorders>
              <w:bottom w:val="nil"/>
            </w:tcBorders>
            <w:shd w:val="clear" w:color="auto" w:fill="auto"/>
            <w:noWrap/>
            <w:vAlign w:val="center"/>
            <w:hideMark/>
          </w:tcPr>
          <w:p w:rsidR="00DD40A5" w:rsidRPr="00CF4CCE" w:rsidRDefault="00DD40A5" w:rsidP="00365B0F">
            <w:pPr>
              <w:spacing w:line="264" w:lineRule="auto"/>
              <w:rPr>
                <w:rFonts w:cs="Arial"/>
                <w:sz w:val="16"/>
                <w:szCs w:val="16"/>
                <w:lang w:val="sr-Cyrl-CS"/>
              </w:rPr>
            </w:pPr>
            <w:r w:rsidRPr="00CF4CCE">
              <w:rPr>
                <w:rFonts w:cs="Arial"/>
                <w:sz w:val="16"/>
                <w:szCs w:val="16"/>
                <w:lang w:val="sr-Cyrl-CS"/>
              </w:rPr>
              <w:t> </w:t>
            </w:r>
          </w:p>
        </w:tc>
      </w:tr>
      <w:tr w:rsidR="00F64A64" w:rsidRPr="00BA4ACE" w:rsidTr="00F64A64">
        <w:trPr>
          <w:trHeight w:val="255"/>
        </w:trPr>
        <w:tc>
          <w:tcPr>
            <w:tcW w:w="4082" w:type="dxa"/>
            <w:tcBorders>
              <w:top w:val="nil"/>
              <w:bottom w:val="nil"/>
            </w:tcBorders>
            <w:shd w:val="clear" w:color="auto" w:fill="auto"/>
            <w:noWrap/>
            <w:vAlign w:val="center"/>
            <w:hideMark/>
          </w:tcPr>
          <w:p w:rsidR="00F64A64" w:rsidRPr="00BA4ACE" w:rsidRDefault="00F64A64" w:rsidP="00EC7636">
            <w:pPr>
              <w:spacing w:line="264" w:lineRule="auto"/>
              <w:jc w:val="left"/>
              <w:rPr>
                <w:rFonts w:cs="Arial"/>
                <w:b/>
                <w:sz w:val="16"/>
                <w:szCs w:val="16"/>
                <w:lang w:val="sr-Cyrl-CS"/>
              </w:rPr>
            </w:pPr>
            <w:r w:rsidRPr="00BA4ACE">
              <w:rPr>
                <w:rFonts w:cs="Arial"/>
                <w:b/>
                <w:sz w:val="16"/>
                <w:szCs w:val="16"/>
                <w:lang w:val="sr-Cyrl-CS"/>
              </w:rPr>
              <w:t>Коришћене воде – укупно</w:t>
            </w:r>
            <w:r w:rsidR="00BA4ACE">
              <w:rPr>
                <w:rFonts w:cs="Arial"/>
                <w:b/>
                <w:sz w:val="16"/>
                <w:szCs w:val="16"/>
                <w:vertAlign w:val="superscript"/>
                <w:lang w:val="sr-Cyrl-CS"/>
              </w:rPr>
              <w:t>1</w:t>
            </w:r>
            <w:r w:rsidRPr="00BA4ACE">
              <w:rPr>
                <w:rFonts w:cs="Arial"/>
                <w:b/>
                <w:sz w:val="16"/>
                <w:szCs w:val="16"/>
                <w:vertAlign w:val="superscript"/>
                <w:lang w:val="sr-Cyrl-CS"/>
              </w:rPr>
              <w:t>)</w:t>
            </w:r>
          </w:p>
        </w:tc>
        <w:tc>
          <w:tcPr>
            <w:tcW w:w="1986" w:type="dxa"/>
            <w:tcBorders>
              <w:top w:val="nil"/>
              <w:bottom w:val="nil"/>
            </w:tcBorders>
            <w:shd w:val="clear" w:color="auto" w:fill="auto"/>
            <w:noWrap/>
            <w:vAlign w:val="center"/>
            <w:hideMark/>
          </w:tcPr>
          <w:p w:rsidR="00F64A64" w:rsidRPr="00BA4ACE" w:rsidRDefault="00F64A64" w:rsidP="00C90D50">
            <w:pPr>
              <w:spacing w:line="264" w:lineRule="auto"/>
              <w:ind w:right="567"/>
              <w:jc w:val="right"/>
              <w:rPr>
                <w:rFonts w:cs="Arial"/>
                <w:b/>
                <w:sz w:val="16"/>
                <w:szCs w:val="16"/>
                <w:lang w:val="sr-Latn-RS"/>
              </w:rPr>
            </w:pPr>
            <w:r w:rsidRPr="00BA4ACE">
              <w:rPr>
                <w:rFonts w:cs="Arial"/>
                <w:b/>
                <w:sz w:val="16"/>
                <w:szCs w:val="16"/>
                <w:lang w:val="sr-Latn-RS"/>
              </w:rPr>
              <w:t xml:space="preserve">4 </w:t>
            </w:r>
            <w:r w:rsidR="00C13704" w:rsidRPr="00BA4ACE">
              <w:rPr>
                <w:rFonts w:cs="Arial"/>
                <w:b/>
                <w:sz w:val="16"/>
                <w:szCs w:val="16"/>
                <w:lang w:val="sr-Latn-RS"/>
              </w:rPr>
              <w:t>18</w:t>
            </w:r>
            <w:r w:rsidR="00C90D50">
              <w:rPr>
                <w:rFonts w:cs="Arial"/>
                <w:b/>
                <w:sz w:val="16"/>
                <w:szCs w:val="16"/>
              </w:rPr>
              <w:t>1</w:t>
            </w:r>
            <w:r w:rsidRPr="00BA4ACE">
              <w:rPr>
                <w:rFonts w:cs="Arial"/>
                <w:b/>
                <w:sz w:val="16"/>
                <w:szCs w:val="16"/>
                <w:lang w:val="sr-Latn-RS"/>
              </w:rPr>
              <w:t xml:space="preserve"> </w:t>
            </w:r>
          </w:p>
        </w:tc>
        <w:tc>
          <w:tcPr>
            <w:tcW w:w="2064" w:type="dxa"/>
            <w:tcBorders>
              <w:top w:val="nil"/>
              <w:bottom w:val="nil"/>
            </w:tcBorders>
            <w:shd w:val="clear" w:color="auto" w:fill="auto"/>
            <w:noWrap/>
            <w:vAlign w:val="center"/>
            <w:hideMark/>
          </w:tcPr>
          <w:p w:rsidR="00F64A64" w:rsidRPr="00BA4ACE" w:rsidRDefault="00C90D50" w:rsidP="00BA4ACE">
            <w:pPr>
              <w:spacing w:line="264" w:lineRule="auto"/>
              <w:ind w:right="454"/>
              <w:jc w:val="right"/>
              <w:rPr>
                <w:rFonts w:cs="Arial"/>
                <w:b/>
                <w:sz w:val="16"/>
                <w:szCs w:val="16"/>
                <w:lang w:val="sr-Latn-RS"/>
              </w:rPr>
            </w:pPr>
            <w:r>
              <w:rPr>
                <w:rFonts w:cs="Arial"/>
                <w:b/>
                <w:sz w:val="16"/>
                <w:szCs w:val="16"/>
              </w:rPr>
              <w:t>4 232</w:t>
            </w:r>
            <w:r w:rsidR="00BA4ACE">
              <w:rPr>
                <w:rFonts w:cs="Arial"/>
                <w:b/>
                <w:sz w:val="16"/>
                <w:szCs w:val="16"/>
                <w:vertAlign w:val="superscript"/>
                <w:lang w:val="sr-Latn-RS"/>
              </w:rPr>
              <w:t>2</w:t>
            </w:r>
            <w:r w:rsidR="00F64A64" w:rsidRPr="00BA4ACE">
              <w:rPr>
                <w:rFonts w:cs="Arial"/>
                <w:b/>
                <w:sz w:val="16"/>
                <w:szCs w:val="16"/>
                <w:vertAlign w:val="superscript"/>
                <w:lang w:val="sr-Latn-RS"/>
              </w:rPr>
              <w:t>)</w:t>
            </w:r>
            <w:r w:rsidR="00F64A64" w:rsidRPr="00BA4ACE">
              <w:rPr>
                <w:rFonts w:cs="Arial"/>
                <w:b/>
                <w:sz w:val="16"/>
                <w:szCs w:val="16"/>
                <w:lang w:val="sr-Latn-RS"/>
              </w:rPr>
              <w:t xml:space="preserve"> </w:t>
            </w:r>
          </w:p>
        </w:tc>
      </w:tr>
      <w:tr w:rsidR="00F64A64" w:rsidRPr="00CF4CCE" w:rsidTr="00F64A64">
        <w:trPr>
          <w:trHeight w:val="255"/>
        </w:trPr>
        <w:tc>
          <w:tcPr>
            <w:tcW w:w="4082" w:type="dxa"/>
            <w:tcBorders>
              <w:top w:val="nil"/>
              <w:bottom w:val="nil"/>
            </w:tcBorders>
            <w:shd w:val="clear" w:color="auto" w:fill="auto"/>
            <w:noWrap/>
            <w:vAlign w:val="center"/>
            <w:hideMark/>
          </w:tcPr>
          <w:p w:rsidR="00F64A64" w:rsidRPr="00CF4CCE" w:rsidRDefault="00F64A64" w:rsidP="00365B0F">
            <w:pPr>
              <w:spacing w:line="264" w:lineRule="auto"/>
              <w:jc w:val="left"/>
              <w:rPr>
                <w:rFonts w:cs="Arial"/>
                <w:sz w:val="16"/>
                <w:szCs w:val="16"/>
                <w:lang w:val="sr-Cyrl-CS"/>
              </w:rPr>
            </w:pPr>
            <w:r w:rsidRPr="00CF4CCE">
              <w:rPr>
                <w:rFonts w:cs="Arial"/>
                <w:sz w:val="16"/>
                <w:szCs w:val="16"/>
                <w:lang w:val="sr-Cyrl-CS"/>
              </w:rPr>
              <w:t xml:space="preserve">  Рударство </w:t>
            </w:r>
          </w:p>
        </w:tc>
        <w:tc>
          <w:tcPr>
            <w:tcW w:w="1986" w:type="dxa"/>
            <w:tcBorders>
              <w:top w:val="nil"/>
              <w:bottom w:val="nil"/>
            </w:tcBorders>
            <w:shd w:val="clear" w:color="auto" w:fill="auto"/>
            <w:noWrap/>
            <w:vAlign w:val="center"/>
            <w:hideMark/>
          </w:tcPr>
          <w:p w:rsidR="00F64A64" w:rsidRPr="00C13704" w:rsidRDefault="00F64A64" w:rsidP="00C13704">
            <w:pPr>
              <w:spacing w:line="264" w:lineRule="auto"/>
              <w:ind w:right="567"/>
              <w:jc w:val="right"/>
              <w:rPr>
                <w:rFonts w:cs="Arial"/>
                <w:sz w:val="16"/>
                <w:szCs w:val="16"/>
                <w:lang w:val="en-US"/>
              </w:rPr>
            </w:pPr>
            <w:r>
              <w:rPr>
                <w:rFonts w:cs="Arial"/>
                <w:sz w:val="16"/>
                <w:szCs w:val="16"/>
                <w:lang w:val="sr-Cyrl-CS"/>
              </w:rPr>
              <w:t>1</w:t>
            </w:r>
            <w:r w:rsidR="00C13704">
              <w:rPr>
                <w:rFonts w:cs="Arial"/>
                <w:sz w:val="16"/>
                <w:szCs w:val="16"/>
                <w:lang w:val="en-US"/>
              </w:rPr>
              <w:t>3</w:t>
            </w:r>
          </w:p>
        </w:tc>
        <w:tc>
          <w:tcPr>
            <w:tcW w:w="2064" w:type="dxa"/>
            <w:tcBorders>
              <w:top w:val="nil"/>
              <w:bottom w:val="nil"/>
            </w:tcBorders>
            <w:shd w:val="clear" w:color="auto" w:fill="auto"/>
            <w:noWrap/>
            <w:vAlign w:val="center"/>
            <w:hideMark/>
          </w:tcPr>
          <w:p w:rsidR="00F64A64" w:rsidRPr="00CF4CCE" w:rsidRDefault="00C90D50" w:rsidP="00E11A12">
            <w:pPr>
              <w:spacing w:line="264" w:lineRule="auto"/>
              <w:ind w:right="567"/>
              <w:jc w:val="right"/>
              <w:rPr>
                <w:rFonts w:cs="Arial"/>
                <w:sz w:val="16"/>
                <w:szCs w:val="16"/>
                <w:lang w:val="sr-Cyrl-CS"/>
              </w:rPr>
            </w:pPr>
            <w:r>
              <w:rPr>
                <w:rFonts w:cs="Arial"/>
                <w:sz w:val="16"/>
                <w:szCs w:val="16"/>
                <w:lang w:val="sr-Cyrl-CS"/>
              </w:rPr>
              <w:t>14</w:t>
            </w:r>
          </w:p>
        </w:tc>
      </w:tr>
      <w:tr w:rsidR="00F64A64" w:rsidRPr="00CF4CCE" w:rsidTr="00F64A64">
        <w:trPr>
          <w:trHeight w:val="255"/>
        </w:trPr>
        <w:tc>
          <w:tcPr>
            <w:tcW w:w="4082" w:type="dxa"/>
            <w:tcBorders>
              <w:top w:val="nil"/>
              <w:bottom w:val="nil"/>
            </w:tcBorders>
            <w:shd w:val="clear" w:color="auto" w:fill="auto"/>
            <w:noWrap/>
            <w:vAlign w:val="center"/>
            <w:hideMark/>
          </w:tcPr>
          <w:p w:rsidR="00F64A64" w:rsidRPr="00CF4CCE" w:rsidRDefault="00F64A64" w:rsidP="00365B0F">
            <w:pPr>
              <w:spacing w:line="264" w:lineRule="auto"/>
              <w:jc w:val="left"/>
              <w:rPr>
                <w:rFonts w:cs="Arial"/>
                <w:sz w:val="16"/>
                <w:szCs w:val="16"/>
                <w:lang w:val="sr-Cyrl-CS"/>
              </w:rPr>
            </w:pPr>
            <w:r w:rsidRPr="00CF4CCE">
              <w:rPr>
                <w:rFonts w:cs="Arial"/>
                <w:sz w:val="16"/>
                <w:szCs w:val="16"/>
                <w:lang w:val="sr-Cyrl-CS"/>
              </w:rPr>
              <w:t xml:space="preserve">  Прерађивачка индустрија </w:t>
            </w:r>
          </w:p>
        </w:tc>
        <w:tc>
          <w:tcPr>
            <w:tcW w:w="1986" w:type="dxa"/>
            <w:tcBorders>
              <w:top w:val="nil"/>
              <w:bottom w:val="nil"/>
            </w:tcBorders>
            <w:shd w:val="clear" w:color="auto" w:fill="auto"/>
            <w:noWrap/>
            <w:vAlign w:val="center"/>
            <w:hideMark/>
          </w:tcPr>
          <w:p w:rsidR="00F64A64" w:rsidRPr="00C13704" w:rsidRDefault="00C13704" w:rsidP="00C13704">
            <w:pPr>
              <w:spacing w:line="264" w:lineRule="auto"/>
              <w:ind w:right="567"/>
              <w:jc w:val="right"/>
              <w:rPr>
                <w:rFonts w:cs="Arial"/>
                <w:sz w:val="16"/>
                <w:szCs w:val="16"/>
                <w:lang w:val="en-US"/>
              </w:rPr>
            </w:pPr>
            <w:r>
              <w:rPr>
                <w:rFonts w:cs="Arial"/>
                <w:sz w:val="16"/>
                <w:szCs w:val="16"/>
                <w:lang w:val="en-US"/>
              </w:rPr>
              <w:t>91</w:t>
            </w:r>
          </w:p>
        </w:tc>
        <w:tc>
          <w:tcPr>
            <w:tcW w:w="2064" w:type="dxa"/>
            <w:tcBorders>
              <w:top w:val="nil"/>
              <w:bottom w:val="nil"/>
            </w:tcBorders>
            <w:shd w:val="clear" w:color="auto" w:fill="auto"/>
            <w:noWrap/>
            <w:vAlign w:val="center"/>
            <w:hideMark/>
          </w:tcPr>
          <w:p w:rsidR="00F64A64" w:rsidRPr="001A3CD2" w:rsidRDefault="00F64A64" w:rsidP="00C90D50">
            <w:pPr>
              <w:spacing w:line="264" w:lineRule="auto"/>
              <w:ind w:right="567"/>
              <w:jc w:val="right"/>
              <w:rPr>
                <w:rFonts w:cs="Arial"/>
                <w:sz w:val="16"/>
                <w:szCs w:val="16"/>
                <w:lang w:val="sr-Latn-RS"/>
              </w:rPr>
            </w:pPr>
            <w:r>
              <w:rPr>
                <w:rFonts w:cs="Arial"/>
                <w:sz w:val="16"/>
                <w:szCs w:val="16"/>
                <w:lang w:val="sr-Cyrl-CS"/>
              </w:rPr>
              <w:t>8</w:t>
            </w:r>
            <w:r w:rsidR="00C90D50">
              <w:rPr>
                <w:rFonts w:cs="Arial"/>
                <w:sz w:val="16"/>
                <w:szCs w:val="16"/>
                <w:lang w:val="sr-Cyrl-CS"/>
              </w:rPr>
              <w:t>6</w:t>
            </w:r>
          </w:p>
        </w:tc>
      </w:tr>
      <w:tr w:rsidR="00F64A64" w:rsidRPr="00CF4CCE" w:rsidTr="00F64A64">
        <w:trPr>
          <w:trHeight w:val="255"/>
        </w:trPr>
        <w:tc>
          <w:tcPr>
            <w:tcW w:w="4082" w:type="dxa"/>
            <w:tcBorders>
              <w:top w:val="nil"/>
              <w:bottom w:val="nil"/>
            </w:tcBorders>
            <w:shd w:val="clear" w:color="auto" w:fill="auto"/>
            <w:noWrap/>
            <w:vAlign w:val="center"/>
            <w:hideMark/>
          </w:tcPr>
          <w:p w:rsidR="00F64A64" w:rsidRPr="00CF4CCE" w:rsidRDefault="00F64A64" w:rsidP="00365B0F">
            <w:pPr>
              <w:spacing w:line="264" w:lineRule="auto"/>
              <w:jc w:val="left"/>
              <w:rPr>
                <w:rFonts w:cs="Arial"/>
                <w:sz w:val="16"/>
                <w:szCs w:val="16"/>
                <w:lang w:val="sr-Cyrl-CS"/>
              </w:rPr>
            </w:pPr>
            <w:r w:rsidRPr="00CF4CCE">
              <w:rPr>
                <w:rFonts w:cs="Arial"/>
                <w:sz w:val="16"/>
                <w:szCs w:val="16"/>
                <w:lang w:val="sr-Cyrl-CS"/>
              </w:rPr>
              <w:t xml:space="preserve">  Снабдева</w:t>
            </w:r>
            <w:r>
              <w:rPr>
                <w:rFonts w:cs="Arial"/>
                <w:sz w:val="16"/>
                <w:szCs w:val="16"/>
                <w:lang w:val="sr-Cyrl-CS"/>
              </w:rPr>
              <w:t>ње електричном енергијом, гасом и</w:t>
            </w:r>
            <w:r w:rsidRPr="00CF4CCE">
              <w:rPr>
                <w:rFonts w:cs="Arial"/>
                <w:sz w:val="16"/>
                <w:szCs w:val="16"/>
                <w:lang w:val="sr-Cyrl-CS"/>
              </w:rPr>
              <w:t xml:space="preserve"> паром </w:t>
            </w:r>
          </w:p>
        </w:tc>
        <w:tc>
          <w:tcPr>
            <w:tcW w:w="1986" w:type="dxa"/>
            <w:tcBorders>
              <w:top w:val="nil"/>
              <w:bottom w:val="nil"/>
            </w:tcBorders>
            <w:shd w:val="clear" w:color="auto" w:fill="auto"/>
            <w:noWrap/>
            <w:vAlign w:val="center"/>
            <w:hideMark/>
          </w:tcPr>
          <w:p w:rsidR="00F64A64" w:rsidRPr="00CF4CCE" w:rsidRDefault="00F64A64" w:rsidP="00D97C59">
            <w:pPr>
              <w:spacing w:line="264" w:lineRule="auto"/>
              <w:ind w:right="567"/>
              <w:jc w:val="right"/>
              <w:rPr>
                <w:rFonts w:cs="Arial"/>
                <w:sz w:val="16"/>
                <w:szCs w:val="16"/>
                <w:lang w:val="sr-Cyrl-CS"/>
              </w:rPr>
            </w:pPr>
            <w:r>
              <w:rPr>
                <w:rFonts w:cs="Arial"/>
                <w:sz w:val="16"/>
                <w:szCs w:val="16"/>
                <w:lang w:val="sr-Cyrl-CS"/>
              </w:rPr>
              <w:t>4 077</w:t>
            </w:r>
          </w:p>
        </w:tc>
        <w:tc>
          <w:tcPr>
            <w:tcW w:w="2064" w:type="dxa"/>
            <w:tcBorders>
              <w:top w:val="nil"/>
              <w:bottom w:val="nil"/>
            </w:tcBorders>
            <w:shd w:val="clear" w:color="auto" w:fill="auto"/>
            <w:noWrap/>
            <w:vAlign w:val="center"/>
            <w:hideMark/>
          </w:tcPr>
          <w:p w:rsidR="00F64A64" w:rsidRPr="00CF4CCE" w:rsidRDefault="00C90D50" w:rsidP="00EA43E9">
            <w:pPr>
              <w:spacing w:line="264" w:lineRule="auto"/>
              <w:ind w:right="567"/>
              <w:jc w:val="right"/>
              <w:rPr>
                <w:rFonts w:cs="Arial"/>
                <w:sz w:val="16"/>
                <w:szCs w:val="16"/>
                <w:lang w:val="sr-Cyrl-CS"/>
              </w:rPr>
            </w:pPr>
            <w:r>
              <w:rPr>
                <w:rFonts w:cs="Arial"/>
                <w:sz w:val="16"/>
                <w:szCs w:val="16"/>
                <w:lang w:val="sr-Cyrl-CS"/>
              </w:rPr>
              <w:t>4 132</w:t>
            </w:r>
          </w:p>
        </w:tc>
      </w:tr>
    </w:tbl>
    <w:p w:rsidR="00E11A12" w:rsidRDefault="00E11A12" w:rsidP="00DD40A5">
      <w:pPr>
        <w:spacing w:before="60" w:line="264" w:lineRule="auto"/>
        <w:ind w:left="113" w:hanging="113"/>
        <w:jc w:val="both"/>
        <w:rPr>
          <w:rFonts w:cs="Arial"/>
          <w:sz w:val="14"/>
          <w:szCs w:val="14"/>
          <w:vertAlign w:val="superscript"/>
        </w:rPr>
      </w:pPr>
      <w:r>
        <w:rPr>
          <w:rFonts w:cs="Arial"/>
          <w:bCs/>
          <w:noProof/>
          <w:szCs w:val="20"/>
          <w:lang w:val="en-US"/>
        </w:rPr>
        <mc:AlternateContent>
          <mc:Choice Requires="wps">
            <w:drawing>
              <wp:anchor distT="0" distB="0" distL="114300" distR="114300" simplePos="0" relativeHeight="251660288" behindDoc="0" locked="0" layoutInCell="1" allowOverlap="1">
                <wp:simplePos x="0" y="0"/>
                <wp:positionH relativeFrom="column">
                  <wp:posOffset>11430</wp:posOffset>
                </wp:positionH>
                <wp:positionV relativeFrom="paragraph">
                  <wp:posOffset>110762</wp:posOffset>
                </wp:positionV>
                <wp:extent cx="62865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317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19FB2F" id="Straight Connector 4"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7pt" to="50.4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" strokecolor="#7f7f7f [1612]" strokeweight=".25pt"/>
            </w:pict>
          </mc:Fallback>
        </mc:AlternateContent>
      </w:r>
    </w:p>
    <w:p w:rsidR="00DD40A5" w:rsidRDefault="00BA4ACE" w:rsidP="00DD40A5">
      <w:pPr>
        <w:spacing w:before="60" w:line="264" w:lineRule="auto"/>
        <w:ind w:left="113" w:hanging="113"/>
        <w:jc w:val="both"/>
        <w:rPr>
          <w:rFonts w:cs="Arial"/>
          <w:sz w:val="14"/>
          <w:szCs w:val="14"/>
          <w:lang w:val="ru-RU"/>
        </w:rPr>
      </w:pPr>
      <w:r>
        <w:rPr>
          <w:rFonts w:cs="Arial"/>
          <w:sz w:val="14"/>
          <w:szCs w:val="14"/>
          <w:vertAlign w:val="superscript"/>
          <w:lang w:val="sr-Latn-RS"/>
        </w:rPr>
        <w:t>1</w:t>
      </w:r>
      <w:r w:rsidR="00DD40A5" w:rsidRPr="00804EB3">
        <w:rPr>
          <w:rFonts w:cs="Arial"/>
          <w:sz w:val="14"/>
          <w:szCs w:val="14"/>
          <w:vertAlign w:val="superscript"/>
          <w:lang w:val="ru-RU"/>
        </w:rPr>
        <w:t>)</w:t>
      </w:r>
      <w:r w:rsidR="00DD40A5">
        <w:rPr>
          <w:rFonts w:cs="Arial"/>
          <w:sz w:val="14"/>
          <w:szCs w:val="14"/>
          <w:lang w:val="ru-RU"/>
        </w:rPr>
        <w:t xml:space="preserve"> Укључена је област </w:t>
      </w:r>
      <w:r w:rsidR="00DD40A5" w:rsidRPr="00804EB3">
        <w:rPr>
          <w:rFonts w:cs="Arial"/>
          <w:sz w:val="14"/>
          <w:szCs w:val="14"/>
          <w:lang w:val="ru-RU"/>
        </w:rPr>
        <w:t>Сакупљање,</w:t>
      </w:r>
      <w:r w:rsidR="00DD40A5">
        <w:rPr>
          <w:rFonts w:cs="Arial"/>
          <w:sz w:val="14"/>
          <w:szCs w:val="14"/>
          <w:lang w:val="sr-Latn-RS"/>
        </w:rPr>
        <w:t xml:space="preserve"> </w:t>
      </w:r>
      <w:r w:rsidR="00DD40A5" w:rsidRPr="00804EB3">
        <w:rPr>
          <w:rFonts w:cs="Arial"/>
          <w:sz w:val="14"/>
          <w:szCs w:val="14"/>
          <w:lang w:val="ru-RU"/>
        </w:rPr>
        <w:t>третман и о</w:t>
      </w:r>
      <w:r w:rsidR="00DD40A5">
        <w:rPr>
          <w:rFonts w:cs="Arial"/>
          <w:sz w:val="14"/>
          <w:szCs w:val="14"/>
          <w:lang w:val="ru-RU"/>
        </w:rPr>
        <w:t>длагање отпада.</w:t>
      </w:r>
    </w:p>
    <w:p w:rsidR="00BA4ACE" w:rsidRDefault="00BA4ACE" w:rsidP="00BA4ACE">
      <w:pPr>
        <w:spacing w:before="60" w:line="264" w:lineRule="auto"/>
        <w:ind w:left="113" w:hanging="113"/>
        <w:jc w:val="both"/>
        <w:rPr>
          <w:rFonts w:cs="Arial"/>
          <w:sz w:val="14"/>
          <w:szCs w:val="14"/>
          <w:lang w:val="ru-RU"/>
        </w:rPr>
      </w:pPr>
      <w:r>
        <w:rPr>
          <w:rFonts w:cs="Arial"/>
          <w:sz w:val="14"/>
          <w:szCs w:val="14"/>
          <w:vertAlign w:val="superscript"/>
          <w:lang w:val="sr-Latn-CS"/>
        </w:rPr>
        <w:t>2</w:t>
      </w:r>
      <w:r w:rsidRPr="005B6ECD">
        <w:rPr>
          <w:rFonts w:cs="Arial"/>
          <w:sz w:val="14"/>
          <w:szCs w:val="14"/>
          <w:vertAlign w:val="superscript"/>
          <w:lang w:val="sr-Latn-CS"/>
        </w:rPr>
        <w:t xml:space="preserve">) </w:t>
      </w:r>
      <w:r w:rsidRPr="005B6ECD">
        <w:rPr>
          <w:rFonts w:cs="Arial"/>
          <w:sz w:val="14"/>
          <w:szCs w:val="14"/>
          <w:vertAlign w:val="superscript"/>
          <w:lang w:val="ru-RU"/>
        </w:rPr>
        <w:t xml:space="preserve"> </w:t>
      </w:r>
      <w:r>
        <w:rPr>
          <w:rFonts w:cs="Arial"/>
          <w:sz w:val="14"/>
          <w:szCs w:val="14"/>
        </w:rPr>
        <w:t>Количина</w:t>
      </w:r>
      <w:r>
        <w:rPr>
          <w:rFonts w:cs="Arial"/>
          <w:sz w:val="14"/>
          <w:szCs w:val="14"/>
          <w:lang w:val="sr-Latn-RS"/>
        </w:rPr>
        <w:t xml:space="preserve"> </w:t>
      </w:r>
      <w:r>
        <w:rPr>
          <w:rFonts w:cs="Arial"/>
          <w:sz w:val="14"/>
          <w:szCs w:val="14"/>
        </w:rPr>
        <w:t>п</w:t>
      </w:r>
      <w:r>
        <w:rPr>
          <w:rFonts w:cs="Arial"/>
          <w:sz w:val="14"/>
          <w:szCs w:val="14"/>
          <w:lang w:val="ru-RU"/>
        </w:rPr>
        <w:t>роточних вода за хидроелектране</w:t>
      </w:r>
      <w:r w:rsidRPr="00E16EE3">
        <w:rPr>
          <w:rFonts w:cs="Arial"/>
          <w:sz w:val="14"/>
          <w:szCs w:val="14"/>
          <w:lang w:val="ru-RU"/>
        </w:rPr>
        <w:t xml:space="preserve"> </w:t>
      </w:r>
      <w:r>
        <w:rPr>
          <w:rFonts w:cs="Arial"/>
          <w:sz w:val="14"/>
          <w:szCs w:val="14"/>
          <w:lang w:val="ru-RU"/>
        </w:rPr>
        <w:t>износи</w:t>
      </w:r>
      <w:r w:rsidRPr="00E16EE3">
        <w:rPr>
          <w:rFonts w:cs="Arial"/>
          <w:sz w:val="14"/>
          <w:szCs w:val="14"/>
          <w:lang w:val="ru-RU"/>
        </w:rPr>
        <w:t xml:space="preserve"> </w:t>
      </w:r>
      <w:r>
        <w:rPr>
          <w:rFonts w:cs="Arial"/>
          <w:sz w:val="14"/>
          <w:szCs w:val="14"/>
          <w:lang w:val="sr-Latn-RS"/>
        </w:rPr>
        <w:t>155</w:t>
      </w:r>
      <w:r>
        <w:rPr>
          <w:rFonts w:cs="Arial"/>
          <w:sz w:val="14"/>
          <w:szCs w:val="14"/>
        </w:rPr>
        <w:t xml:space="preserve"> </w:t>
      </w:r>
      <w:r>
        <w:rPr>
          <w:rFonts w:cs="Arial"/>
          <w:sz w:val="14"/>
          <w:szCs w:val="14"/>
          <w:lang w:val="sr-Latn-RS"/>
        </w:rPr>
        <w:t>85</w:t>
      </w:r>
      <w:r>
        <w:rPr>
          <w:rFonts w:cs="Arial"/>
          <w:sz w:val="14"/>
          <w:szCs w:val="14"/>
        </w:rPr>
        <w:t xml:space="preserve">9 </w:t>
      </w:r>
      <w:r w:rsidRPr="00E16EE3">
        <w:rPr>
          <w:rFonts w:cs="Arial"/>
          <w:sz w:val="14"/>
          <w:szCs w:val="14"/>
          <w:lang w:val="sr-Cyrl-CS"/>
        </w:rPr>
        <w:t>мил</w:t>
      </w:r>
      <w:r w:rsidRPr="00E16EE3">
        <w:rPr>
          <w:rFonts w:cs="Arial"/>
          <w:sz w:val="14"/>
          <w:szCs w:val="14"/>
          <w:lang w:val="ru-RU"/>
        </w:rPr>
        <w:t xml:space="preserve">. </w:t>
      </w:r>
      <w:r w:rsidRPr="00E16EE3">
        <w:rPr>
          <w:rFonts w:cs="Arial"/>
          <w:sz w:val="14"/>
          <w:szCs w:val="14"/>
        </w:rPr>
        <w:t>m</w:t>
      </w:r>
      <w:r w:rsidRPr="00E16EE3">
        <w:rPr>
          <w:rFonts w:cs="Arial"/>
          <w:sz w:val="14"/>
          <w:szCs w:val="14"/>
          <w:vertAlign w:val="superscript"/>
          <w:lang w:val="ru-RU"/>
        </w:rPr>
        <w:t>3</w:t>
      </w:r>
      <w:r>
        <w:rPr>
          <w:rFonts w:cs="Arial"/>
          <w:sz w:val="14"/>
          <w:szCs w:val="14"/>
          <w:lang w:val="ru-RU"/>
        </w:rPr>
        <w:t>.</w:t>
      </w:r>
    </w:p>
    <w:p w:rsidR="006B781F" w:rsidRDefault="006B781F" w:rsidP="00DD40A5">
      <w:pPr>
        <w:spacing w:before="60" w:line="264" w:lineRule="auto"/>
        <w:ind w:left="113" w:hanging="113"/>
        <w:jc w:val="both"/>
        <w:rPr>
          <w:rFonts w:cs="Arial"/>
          <w:sz w:val="14"/>
          <w:szCs w:val="14"/>
          <w:lang w:val="ru-RU"/>
        </w:rPr>
      </w:pPr>
    </w:p>
    <w:p w:rsidR="00BA4ACE" w:rsidRDefault="00BA4ACE">
      <w:pPr>
        <w:spacing w:after="200" w:line="276" w:lineRule="auto"/>
        <w:jc w:val="left"/>
        <w:rPr>
          <w:rFonts w:cs="Arial"/>
          <w:b/>
          <w:bCs/>
          <w:szCs w:val="20"/>
        </w:rPr>
      </w:pPr>
      <w:r>
        <w:rPr>
          <w:rFonts w:cs="Arial"/>
          <w:b/>
          <w:bCs/>
          <w:szCs w:val="20"/>
        </w:rPr>
        <w:br w:type="page"/>
      </w:r>
    </w:p>
    <w:p w:rsidR="00DD40A5" w:rsidRPr="00E16EE3" w:rsidRDefault="00B340B8" w:rsidP="00B340B8">
      <w:pPr>
        <w:spacing w:after="60"/>
        <w:jc w:val="both"/>
        <w:rPr>
          <w:rFonts w:cs="Arial"/>
          <w:b/>
          <w:bCs/>
          <w:szCs w:val="20"/>
          <w:lang w:val="sr-Cyrl-CS"/>
        </w:rPr>
      </w:pPr>
      <w:r>
        <w:rPr>
          <w:rFonts w:cs="Arial"/>
          <w:b/>
          <w:bCs/>
          <w:szCs w:val="20"/>
          <w:lang w:val="sr-Latn-RS"/>
        </w:rPr>
        <w:lastRenderedPageBreak/>
        <w:t xml:space="preserve">                                               </w:t>
      </w:r>
      <w:r w:rsidR="00DD40A5">
        <w:rPr>
          <w:rFonts w:cs="Arial"/>
          <w:b/>
          <w:bCs/>
          <w:szCs w:val="20"/>
        </w:rPr>
        <w:t>2</w:t>
      </w:r>
      <w:r w:rsidR="00DD40A5" w:rsidRPr="00E16EE3">
        <w:rPr>
          <w:rFonts w:cs="Arial"/>
          <w:b/>
          <w:bCs/>
          <w:szCs w:val="20"/>
          <w:lang w:val="sr-Cyrl-CS"/>
        </w:rPr>
        <w:t xml:space="preserve">. </w:t>
      </w:r>
      <w:r w:rsidR="0067350D">
        <w:rPr>
          <w:rFonts w:cs="Arial"/>
          <w:b/>
          <w:bCs/>
          <w:szCs w:val="20"/>
          <w:lang w:val="sr-Cyrl-CS"/>
        </w:rPr>
        <w:t>Отпадне</w:t>
      </w:r>
      <w:r w:rsidR="00DD40A5" w:rsidRPr="00E16EE3">
        <w:rPr>
          <w:rFonts w:cs="Arial"/>
          <w:b/>
          <w:bCs/>
          <w:szCs w:val="20"/>
          <w:lang w:val="sr-Cyrl-CS"/>
        </w:rPr>
        <w:t xml:space="preserve"> воде из индустрије, 201</w:t>
      </w:r>
      <w:r w:rsidR="00F64A64">
        <w:rPr>
          <w:rFonts w:cs="Arial"/>
          <w:b/>
          <w:bCs/>
          <w:szCs w:val="20"/>
          <w:lang w:val="sr-Latn-RS"/>
        </w:rPr>
        <w:t>9</w:t>
      </w:r>
      <w:r w:rsidR="00DD40A5" w:rsidRPr="00E16EE3">
        <w:rPr>
          <w:rFonts w:cs="Arial"/>
          <w:b/>
          <w:bCs/>
          <w:szCs w:val="20"/>
          <w:lang w:val="sr-Cyrl-CS"/>
        </w:rPr>
        <w:t>.</w:t>
      </w:r>
    </w:p>
    <w:p w:rsidR="00DD40A5" w:rsidRDefault="00DD40A5" w:rsidP="00BA4ACE">
      <w:pPr>
        <w:spacing w:after="40"/>
        <w:jc w:val="left"/>
        <w:rPr>
          <w:rFonts w:cs="Arial"/>
          <w:b/>
          <w:sz w:val="16"/>
          <w:szCs w:val="16"/>
          <w:lang w:val="ru-RU"/>
        </w:rPr>
      </w:pPr>
      <w:r w:rsidRPr="001A3149">
        <w:rPr>
          <w:rFonts w:cs="Arial"/>
          <w:b/>
          <w:bCs/>
          <w:sz w:val="18"/>
          <w:szCs w:val="18"/>
        </w:rPr>
        <w:t>Република Србија</w:t>
      </w:r>
      <w:r w:rsidRPr="001A3149">
        <w:rPr>
          <w:rFonts w:cs="Arial"/>
          <w:b/>
          <w:bCs/>
          <w:sz w:val="18"/>
          <w:szCs w:val="18"/>
          <w:vertAlign w:val="superscript"/>
          <w:lang w:val="sr-Cyrl-CS"/>
        </w:rPr>
        <w:t xml:space="preserve">   </w:t>
      </w:r>
      <w:r w:rsidRPr="001A3149">
        <w:rPr>
          <w:rFonts w:cs="Arial"/>
          <w:b/>
          <w:sz w:val="16"/>
          <w:szCs w:val="16"/>
          <w:lang w:val="ru-RU"/>
        </w:rPr>
        <w:t xml:space="preserve">       </w:t>
      </w:r>
      <w:r>
        <w:rPr>
          <w:rFonts w:cs="Arial"/>
          <w:b/>
          <w:sz w:val="16"/>
          <w:szCs w:val="16"/>
          <w:lang w:val="ru-RU"/>
        </w:rPr>
        <w:t xml:space="preserve">                                 </w:t>
      </w:r>
      <w:r w:rsidRPr="001A3149">
        <w:rPr>
          <w:rFonts w:cs="Arial"/>
          <w:b/>
          <w:sz w:val="16"/>
          <w:szCs w:val="16"/>
          <w:lang w:val="ru-RU"/>
        </w:rPr>
        <w:t xml:space="preserve">                         </w:t>
      </w:r>
      <w:r w:rsidR="00E11A12" w:rsidRPr="006B781F">
        <w:rPr>
          <w:rFonts w:cs="Arial"/>
          <w:b/>
          <w:sz w:val="16"/>
          <w:szCs w:val="16"/>
          <w:lang w:val="ru-RU"/>
        </w:rPr>
        <w:t xml:space="preserve">   </w:t>
      </w:r>
      <w:r w:rsidRPr="001A3149">
        <w:rPr>
          <w:rFonts w:cs="Arial"/>
          <w:b/>
          <w:sz w:val="16"/>
          <w:szCs w:val="16"/>
          <w:lang w:val="ru-RU"/>
        </w:rPr>
        <w:t xml:space="preserve">                                                      </w:t>
      </w:r>
      <w:r>
        <w:rPr>
          <w:rFonts w:cs="Arial"/>
          <w:b/>
          <w:sz w:val="16"/>
          <w:szCs w:val="16"/>
          <w:lang w:val="ru-RU"/>
        </w:rPr>
        <w:t xml:space="preserve">          </w:t>
      </w:r>
      <w:r w:rsidR="006B781F">
        <w:rPr>
          <w:rFonts w:cs="Arial"/>
          <w:b/>
          <w:sz w:val="16"/>
          <w:szCs w:val="16"/>
          <w:lang w:val="sr-Latn-RS"/>
        </w:rPr>
        <w:t xml:space="preserve">       </w:t>
      </w:r>
      <w:r>
        <w:rPr>
          <w:rFonts w:cs="Arial"/>
          <w:b/>
          <w:sz w:val="16"/>
          <w:szCs w:val="16"/>
          <w:lang w:val="ru-RU"/>
        </w:rPr>
        <w:t xml:space="preserve"> </w:t>
      </w:r>
      <w:r w:rsidRPr="00A8584F">
        <w:rPr>
          <w:rFonts w:cs="Arial"/>
          <w:sz w:val="16"/>
          <w:szCs w:val="16"/>
          <w:lang w:val="ru-RU"/>
        </w:rPr>
        <w:t>мил</w:t>
      </w:r>
      <w:r>
        <w:rPr>
          <w:rFonts w:cs="Arial"/>
          <w:sz w:val="16"/>
          <w:szCs w:val="16"/>
          <w:lang w:val="ru-RU"/>
        </w:rPr>
        <w:t>.</w:t>
      </w:r>
      <w:r w:rsidRPr="00A8584F">
        <w:rPr>
          <w:rFonts w:cs="Arial"/>
          <w:sz w:val="16"/>
          <w:szCs w:val="16"/>
          <w:lang w:val="ru-RU"/>
        </w:rPr>
        <w:t xml:space="preserve"> </w:t>
      </w:r>
      <w:r w:rsidRPr="00A8584F">
        <w:rPr>
          <w:rFonts w:cs="Arial"/>
          <w:sz w:val="16"/>
          <w:szCs w:val="16"/>
        </w:rPr>
        <w:t>m</w:t>
      </w:r>
      <w:r w:rsidRPr="00A8584F">
        <w:rPr>
          <w:rFonts w:cs="Arial"/>
          <w:sz w:val="16"/>
          <w:szCs w:val="16"/>
          <w:vertAlign w:val="superscript"/>
          <w:lang w:val="ru-RU"/>
        </w:rPr>
        <w:t>3</w:t>
      </w:r>
      <w:r w:rsidRPr="001A3149">
        <w:rPr>
          <w:rFonts w:cs="Arial"/>
          <w:b/>
          <w:sz w:val="16"/>
          <w:szCs w:val="16"/>
          <w:lang w:val="ru-RU"/>
        </w:rPr>
        <w:t xml:space="preserve">   </w:t>
      </w:r>
    </w:p>
    <w:tbl>
      <w:tblPr>
        <w:tblW w:w="8505"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4170"/>
        <w:gridCol w:w="1425"/>
        <w:gridCol w:w="1485"/>
        <w:gridCol w:w="1425"/>
      </w:tblGrid>
      <w:tr w:rsidR="00DD40A5" w:rsidRPr="000109C1" w:rsidTr="006B781F">
        <w:trPr>
          <w:trHeight w:val="20"/>
        </w:trPr>
        <w:tc>
          <w:tcPr>
            <w:tcW w:w="4082" w:type="dxa"/>
            <w:tcBorders>
              <w:bottom w:val="single" w:sz="4" w:space="0" w:color="808080" w:themeColor="background1" w:themeShade="80"/>
            </w:tcBorders>
            <w:shd w:val="clear" w:color="auto" w:fill="auto"/>
            <w:noWrap/>
            <w:vAlign w:val="center"/>
            <w:hideMark/>
          </w:tcPr>
          <w:p w:rsidR="00DD40A5" w:rsidRPr="000109C1" w:rsidRDefault="00DD40A5" w:rsidP="00BA4ACE">
            <w:pPr>
              <w:spacing w:before="120" w:after="120"/>
              <w:rPr>
                <w:rFonts w:cs="Arial"/>
                <w:color w:val="000000"/>
                <w:sz w:val="16"/>
                <w:szCs w:val="16"/>
                <w:lang w:val="en-GB" w:eastAsia="en-GB"/>
              </w:rPr>
            </w:pPr>
            <w:r w:rsidRPr="000109C1">
              <w:rPr>
                <w:rFonts w:cs="Arial"/>
                <w:color w:val="000000"/>
                <w:sz w:val="16"/>
                <w:szCs w:val="16"/>
                <w:lang w:val="sr-Cyrl-CS" w:eastAsia="en-GB"/>
              </w:rPr>
              <w:t>Сектори (КД)</w:t>
            </w:r>
          </w:p>
        </w:tc>
        <w:tc>
          <w:tcPr>
            <w:tcW w:w="1395" w:type="dxa"/>
            <w:tcBorders>
              <w:bottom w:val="single" w:sz="4" w:space="0" w:color="808080" w:themeColor="background1" w:themeShade="80"/>
            </w:tcBorders>
            <w:shd w:val="clear" w:color="auto" w:fill="auto"/>
            <w:noWrap/>
            <w:vAlign w:val="center"/>
            <w:hideMark/>
          </w:tcPr>
          <w:p w:rsidR="00DD40A5" w:rsidRPr="000109C1" w:rsidRDefault="00DD40A5" w:rsidP="00BA4ACE">
            <w:pPr>
              <w:spacing w:before="120" w:after="120"/>
              <w:rPr>
                <w:rFonts w:cs="Arial"/>
                <w:color w:val="000000"/>
                <w:sz w:val="16"/>
                <w:szCs w:val="16"/>
                <w:lang w:val="en-GB" w:eastAsia="en-GB"/>
              </w:rPr>
            </w:pPr>
            <w:r w:rsidRPr="000109C1">
              <w:rPr>
                <w:rFonts w:cs="Arial"/>
                <w:color w:val="000000"/>
                <w:sz w:val="16"/>
                <w:szCs w:val="16"/>
                <w:lang w:val="sr-Cyrl-CS" w:eastAsia="en-GB"/>
              </w:rPr>
              <w:t>Укупно</w:t>
            </w:r>
          </w:p>
        </w:tc>
        <w:tc>
          <w:tcPr>
            <w:tcW w:w="1454" w:type="dxa"/>
            <w:tcBorders>
              <w:bottom w:val="single" w:sz="4" w:space="0" w:color="808080" w:themeColor="background1" w:themeShade="80"/>
            </w:tcBorders>
            <w:shd w:val="clear" w:color="auto" w:fill="auto"/>
            <w:noWrap/>
            <w:vAlign w:val="center"/>
            <w:hideMark/>
          </w:tcPr>
          <w:p w:rsidR="00DD40A5" w:rsidRPr="000109C1" w:rsidRDefault="00DD40A5" w:rsidP="00BA4ACE">
            <w:pPr>
              <w:spacing w:before="120" w:after="120"/>
              <w:rPr>
                <w:rFonts w:cs="Arial"/>
                <w:color w:val="000000"/>
                <w:sz w:val="16"/>
                <w:szCs w:val="16"/>
                <w:lang w:val="en-GB" w:eastAsia="en-GB"/>
              </w:rPr>
            </w:pPr>
            <w:r w:rsidRPr="000109C1">
              <w:rPr>
                <w:rFonts w:cs="Arial"/>
                <w:color w:val="000000"/>
                <w:sz w:val="16"/>
                <w:szCs w:val="16"/>
                <w:lang w:val="sr-Cyrl-CS" w:eastAsia="en-GB"/>
              </w:rPr>
              <w:t>Непречишћене</w:t>
            </w:r>
          </w:p>
        </w:tc>
        <w:tc>
          <w:tcPr>
            <w:tcW w:w="1395" w:type="dxa"/>
            <w:tcBorders>
              <w:bottom w:val="single" w:sz="4" w:space="0" w:color="808080" w:themeColor="background1" w:themeShade="80"/>
            </w:tcBorders>
            <w:shd w:val="clear" w:color="auto" w:fill="auto"/>
            <w:noWrap/>
            <w:vAlign w:val="center"/>
            <w:hideMark/>
          </w:tcPr>
          <w:p w:rsidR="00DD40A5" w:rsidRPr="000109C1" w:rsidRDefault="00DD40A5" w:rsidP="00BA4ACE">
            <w:pPr>
              <w:spacing w:before="120" w:after="120"/>
              <w:rPr>
                <w:rFonts w:cs="Arial"/>
                <w:color w:val="000000"/>
                <w:sz w:val="16"/>
                <w:szCs w:val="16"/>
                <w:lang w:val="en-GB" w:eastAsia="en-GB"/>
              </w:rPr>
            </w:pPr>
            <w:r w:rsidRPr="000109C1">
              <w:rPr>
                <w:rFonts w:cs="Arial"/>
                <w:color w:val="000000"/>
                <w:sz w:val="16"/>
                <w:szCs w:val="16"/>
                <w:lang w:val="en-GB" w:eastAsia="en-GB"/>
              </w:rPr>
              <w:t>Пречишћене</w:t>
            </w:r>
          </w:p>
        </w:tc>
      </w:tr>
      <w:tr w:rsidR="00E11A12" w:rsidRPr="000109C1" w:rsidTr="006B781F">
        <w:trPr>
          <w:trHeight w:val="20"/>
        </w:trPr>
        <w:tc>
          <w:tcPr>
            <w:tcW w:w="4082" w:type="dxa"/>
            <w:tcBorders>
              <w:bottom w:val="nil"/>
            </w:tcBorders>
            <w:shd w:val="clear" w:color="auto" w:fill="auto"/>
            <w:noWrap/>
            <w:vAlign w:val="center"/>
          </w:tcPr>
          <w:p w:rsidR="00E11A12" w:rsidRPr="000109C1" w:rsidRDefault="00E11A12" w:rsidP="00BA4ACE">
            <w:pPr>
              <w:jc w:val="left"/>
              <w:rPr>
                <w:rFonts w:cs="Arial"/>
                <w:color w:val="000000"/>
                <w:sz w:val="16"/>
                <w:szCs w:val="16"/>
                <w:lang w:val="sr-Cyrl-CS" w:eastAsia="en-GB"/>
              </w:rPr>
            </w:pPr>
          </w:p>
        </w:tc>
        <w:tc>
          <w:tcPr>
            <w:tcW w:w="1395" w:type="dxa"/>
            <w:tcBorders>
              <w:bottom w:val="nil"/>
            </w:tcBorders>
            <w:shd w:val="clear" w:color="auto" w:fill="auto"/>
            <w:noWrap/>
            <w:vAlign w:val="center"/>
          </w:tcPr>
          <w:p w:rsidR="00E11A12" w:rsidRDefault="00E11A12" w:rsidP="00BA4ACE">
            <w:pPr>
              <w:rPr>
                <w:rFonts w:cs="Arial"/>
                <w:color w:val="000000"/>
                <w:sz w:val="16"/>
                <w:szCs w:val="16"/>
                <w:lang w:val="sr-Latn-RS" w:eastAsia="en-GB"/>
              </w:rPr>
            </w:pPr>
          </w:p>
        </w:tc>
        <w:tc>
          <w:tcPr>
            <w:tcW w:w="1454" w:type="dxa"/>
            <w:tcBorders>
              <w:bottom w:val="nil"/>
            </w:tcBorders>
            <w:shd w:val="clear" w:color="auto" w:fill="auto"/>
            <w:noWrap/>
            <w:vAlign w:val="center"/>
          </w:tcPr>
          <w:p w:rsidR="00E11A12" w:rsidRPr="000109C1" w:rsidRDefault="00E11A12" w:rsidP="00BA4ACE">
            <w:pPr>
              <w:rPr>
                <w:rFonts w:cs="Arial"/>
                <w:color w:val="000000"/>
                <w:sz w:val="16"/>
                <w:szCs w:val="16"/>
                <w:lang w:val="sr-Cyrl-CS" w:eastAsia="en-GB"/>
              </w:rPr>
            </w:pPr>
          </w:p>
        </w:tc>
        <w:tc>
          <w:tcPr>
            <w:tcW w:w="1395" w:type="dxa"/>
            <w:tcBorders>
              <w:bottom w:val="nil"/>
            </w:tcBorders>
            <w:shd w:val="clear" w:color="auto" w:fill="auto"/>
            <w:noWrap/>
            <w:vAlign w:val="center"/>
          </w:tcPr>
          <w:p w:rsidR="00E11A12" w:rsidRDefault="00E11A12" w:rsidP="00BA4ACE">
            <w:pPr>
              <w:rPr>
                <w:rFonts w:cs="Arial"/>
                <w:color w:val="000000"/>
                <w:sz w:val="16"/>
                <w:szCs w:val="16"/>
                <w:lang w:val="en-GB" w:eastAsia="en-GB"/>
              </w:rPr>
            </w:pPr>
          </w:p>
        </w:tc>
      </w:tr>
      <w:tr w:rsidR="0067350D" w:rsidRPr="00BA4ACE" w:rsidTr="006B781F">
        <w:trPr>
          <w:trHeight w:val="20"/>
        </w:trPr>
        <w:tc>
          <w:tcPr>
            <w:tcW w:w="4082" w:type="dxa"/>
            <w:tcBorders>
              <w:top w:val="nil"/>
              <w:bottom w:val="nil"/>
            </w:tcBorders>
            <w:shd w:val="clear" w:color="auto" w:fill="auto"/>
            <w:noWrap/>
            <w:vAlign w:val="center"/>
            <w:hideMark/>
          </w:tcPr>
          <w:p w:rsidR="0067350D" w:rsidRPr="00BA4ACE" w:rsidRDefault="0067350D" w:rsidP="00BA4ACE">
            <w:pPr>
              <w:jc w:val="left"/>
              <w:rPr>
                <w:rFonts w:cs="Arial"/>
                <w:b/>
                <w:color w:val="000000"/>
                <w:sz w:val="16"/>
                <w:szCs w:val="16"/>
                <w:lang w:val="en-GB" w:eastAsia="en-GB"/>
              </w:rPr>
            </w:pPr>
            <w:r w:rsidRPr="00BA4ACE">
              <w:rPr>
                <w:rFonts w:cs="Arial"/>
                <w:b/>
                <w:color w:val="000000"/>
                <w:sz w:val="16"/>
                <w:szCs w:val="16"/>
                <w:lang w:val="sr-Cyrl-CS" w:eastAsia="en-GB"/>
              </w:rPr>
              <w:t>Испуштене воде</w:t>
            </w:r>
            <w:r w:rsidRPr="00BA4ACE">
              <w:rPr>
                <w:rFonts w:cs="Arial"/>
                <w:b/>
                <w:color w:val="000000"/>
                <w:sz w:val="16"/>
                <w:szCs w:val="16"/>
                <w:vertAlign w:val="superscript"/>
                <w:lang w:val="sr-Cyrl-CS" w:eastAsia="en-GB"/>
              </w:rPr>
              <w:t>1)2)</w:t>
            </w:r>
          </w:p>
        </w:tc>
        <w:tc>
          <w:tcPr>
            <w:tcW w:w="1395" w:type="dxa"/>
            <w:tcBorders>
              <w:top w:val="nil"/>
              <w:bottom w:val="nil"/>
            </w:tcBorders>
            <w:shd w:val="clear" w:color="auto" w:fill="auto"/>
            <w:noWrap/>
            <w:vAlign w:val="bottom"/>
            <w:hideMark/>
          </w:tcPr>
          <w:p w:rsidR="0067350D" w:rsidRPr="00BA4ACE" w:rsidRDefault="0067350D" w:rsidP="00C90D50">
            <w:pPr>
              <w:ind w:right="340"/>
              <w:jc w:val="right"/>
              <w:rPr>
                <w:rFonts w:ascii="Arial Narrow" w:hAnsi="Arial Narrow" w:cs="Arial"/>
                <w:b/>
                <w:sz w:val="16"/>
                <w:szCs w:val="16"/>
              </w:rPr>
            </w:pPr>
            <w:r w:rsidRPr="00BA4ACE">
              <w:rPr>
                <w:rFonts w:ascii="Arial Narrow" w:hAnsi="Arial Narrow" w:cs="Arial"/>
                <w:b/>
                <w:sz w:val="16"/>
                <w:szCs w:val="16"/>
              </w:rPr>
              <w:t>1</w:t>
            </w:r>
            <w:r w:rsidR="00C90D50">
              <w:rPr>
                <w:rFonts w:ascii="Arial Narrow" w:hAnsi="Arial Narrow" w:cs="Arial"/>
                <w:b/>
                <w:sz w:val="16"/>
                <w:szCs w:val="16"/>
              </w:rPr>
              <w:t>19</w:t>
            </w:r>
          </w:p>
        </w:tc>
        <w:tc>
          <w:tcPr>
            <w:tcW w:w="1454" w:type="dxa"/>
            <w:tcBorders>
              <w:top w:val="nil"/>
              <w:bottom w:val="nil"/>
            </w:tcBorders>
            <w:shd w:val="clear" w:color="auto" w:fill="auto"/>
            <w:noWrap/>
            <w:vAlign w:val="center"/>
            <w:hideMark/>
          </w:tcPr>
          <w:p w:rsidR="0067350D" w:rsidRPr="00BA4ACE" w:rsidRDefault="0067350D" w:rsidP="00C90D50">
            <w:pPr>
              <w:ind w:right="340"/>
              <w:jc w:val="right"/>
              <w:rPr>
                <w:rFonts w:cs="Arial"/>
                <w:b/>
                <w:color w:val="000000"/>
                <w:sz w:val="16"/>
                <w:szCs w:val="16"/>
              </w:rPr>
            </w:pPr>
            <w:r w:rsidRPr="00BA4ACE">
              <w:rPr>
                <w:rFonts w:cs="Arial"/>
                <w:b/>
                <w:color w:val="000000"/>
                <w:sz w:val="16"/>
                <w:szCs w:val="16"/>
              </w:rPr>
              <w:t>7</w:t>
            </w:r>
            <w:r w:rsidR="00C90D50">
              <w:rPr>
                <w:rFonts w:cs="Arial"/>
                <w:b/>
                <w:color w:val="000000"/>
                <w:sz w:val="16"/>
                <w:szCs w:val="16"/>
              </w:rPr>
              <w:t>3</w:t>
            </w:r>
          </w:p>
        </w:tc>
        <w:tc>
          <w:tcPr>
            <w:tcW w:w="1395" w:type="dxa"/>
            <w:tcBorders>
              <w:top w:val="nil"/>
              <w:bottom w:val="nil"/>
            </w:tcBorders>
            <w:shd w:val="clear" w:color="auto" w:fill="auto"/>
            <w:noWrap/>
            <w:vAlign w:val="bottom"/>
            <w:hideMark/>
          </w:tcPr>
          <w:p w:rsidR="0067350D" w:rsidRPr="00BA4ACE" w:rsidRDefault="0067350D" w:rsidP="00C90D50">
            <w:pPr>
              <w:ind w:right="340"/>
              <w:jc w:val="right"/>
              <w:rPr>
                <w:rFonts w:cs="Arial"/>
                <w:b/>
                <w:sz w:val="16"/>
                <w:szCs w:val="16"/>
              </w:rPr>
            </w:pPr>
            <w:r w:rsidRPr="00BA4ACE">
              <w:rPr>
                <w:rFonts w:cs="Arial"/>
                <w:b/>
                <w:sz w:val="16"/>
                <w:szCs w:val="16"/>
              </w:rPr>
              <w:t>4</w:t>
            </w:r>
            <w:r w:rsidR="00C90D50">
              <w:rPr>
                <w:rFonts w:cs="Arial"/>
                <w:b/>
                <w:sz w:val="16"/>
                <w:szCs w:val="16"/>
              </w:rPr>
              <w:t>6</w:t>
            </w:r>
          </w:p>
        </w:tc>
      </w:tr>
      <w:tr w:rsidR="0067350D" w:rsidRPr="000109C1" w:rsidTr="006B781F">
        <w:trPr>
          <w:trHeight w:val="20"/>
        </w:trPr>
        <w:tc>
          <w:tcPr>
            <w:tcW w:w="4082" w:type="dxa"/>
            <w:tcBorders>
              <w:top w:val="nil"/>
              <w:bottom w:val="nil"/>
            </w:tcBorders>
            <w:shd w:val="clear" w:color="auto" w:fill="auto"/>
            <w:noWrap/>
            <w:vAlign w:val="center"/>
            <w:hideMark/>
          </w:tcPr>
          <w:p w:rsidR="0067350D" w:rsidRPr="000109C1" w:rsidRDefault="0067350D" w:rsidP="00BA4ACE">
            <w:pPr>
              <w:jc w:val="left"/>
              <w:rPr>
                <w:rFonts w:cs="Arial"/>
                <w:color w:val="000000"/>
                <w:sz w:val="16"/>
                <w:szCs w:val="16"/>
                <w:lang w:val="en-GB" w:eastAsia="en-GB"/>
              </w:rPr>
            </w:pPr>
            <w:r w:rsidRPr="000109C1">
              <w:rPr>
                <w:rFonts w:cs="Arial"/>
                <w:color w:val="000000"/>
                <w:sz w:val="16"/>
                <w:szCs w:val="16"/>
                <w:lang w:val="sr-Cyrl-CS" w:eastAsia="en-GB"/>
              </w:rPr>
              <w:t xml:space="preserve">  Рударство </w:t>
            </w:r>
          </w:p>
        </w:tc>
        <w:tc>
          <w:tcPr>
            <w:tcW w:w="1395" w:type="dxa"/>
            <w:tcBorders>
              <w:top w:val="nil"/>
              <w:bottom w:val="nil"/>
            </w:tcBorders>
            <w:shd w:val="clear" w:color="auto" w:fill="auto"/>
            <w:noWrap/>
            <w:vAlign w:val="bottom"/>
            <w:hideMark/>
          </w:tcPr>
          <w:p w:rsidR="0067350D" w:rsidRDefault="00C90D50" w:rsidP="00BA4ACE">
            <w:pPr>
              <w:ind w:right="340"/>
              <w:jc w:val="right"/>
              <w:rPr>
                <w:rFonts w:ascii="Arial Narrow" w:hAnsi="Arial Narrow" w:cs="Arial"/>
                <w:sz w:val="16"/>
                <w:szCs w:val="16"/>
              </w:rPr>
            </w:pPr>
            <w:r>
              <w:rPr>
                <w:rFonts w:ascii="Arial Narrow" w:hAnsi="Arial Narrow" w:cs="Arial"/>
                <w:sz w:val="16"/>
                <w:szCs w:val="16"/>
              </w:rPr>
              <w:t>13</w:t>
            </w:r>
          </w:p>
        </w:tc>
        <w:tc>
          <w:tcPr>
            <w:tcW w:w="1454" w:type="dxa"/>
            <w:tcBorders>
              <w:top w:val="nil"/>
              <w:bottom w:val="nil"/>
            </w:tcBorders>
            <w:shd w:val="clear" w:color="auto" w:fill="auto"/>
            <w:noWrap/>
            <w:vAlign w:val="center"/>
            <w:hideMark/>
          </w:tcPr>
          <w:p w:rsidR="0067350D" w:rsidRDefault="00C90D50" w:rsidP="00BA4ACE">
            <w:pPr>
              <w:ind w:right="340"/>
              <w:jc w:val="right"/>
              <w:rPr>
                <w:rFonts w:cs="Arial"/>
                <w:color w:val="000000"/>
                <w:sz w:val="16"/>
                <w:szCs w:val="16"/>
              </w:rPr>
            </w:pPr>
            <w:r>
              <w:rPr>
                <w:rFonts w:cs="Arial"/>
                <w:color w:val="000000"/>
                <w:sz w:val="16"/>
                <w:szCs w:val="16"/>
              </w:rPr>
              <w:t>11</w:t>
            </w:r>
          </w:p>
        </w:tc>
        <w:tc>
          <w:tcPr>
            <w:tcW w:w="1395" w:type="dxa"/>
            <w:tcBorders>
              <w:top w:val="nil"/>
              <w:bottom w:val="nil"/>
            </w:tcBorders>
            <w:shd w:val="clear" w:color="auto" w:fill="auto"/>
            <w:noWrap/>
            <w:vAlign w:val="bottom"/>
            <w:hideMark/>
          </w:tcPr>
          <w:p w:rsidR="0067350D" w:rsidRDefault="00C90D50" w:rsidP="00BA4ACE">
            <w:pPr>
              <w:ind w:right="340"/>
              <w:jc w:val="right"/>
              <w:rPr>
                <w:rFonts w:cs="Arial"/>
                <w:sz w:val="16"/>
                <w:szCs w:val="16"/>
              </w:rPr>
            </w:pPr>
            <w:r>
              <w:rPr>
                <w:rFonts w:cs="Arial"/>
                <w:sz w:val="16"/>
                <w:szCs w:val="16"/>
              </w:rPr>
              <w:t>2</w:t>
            </w:r>
          </w:p>
        </w:tc>
      </w:tr>
      <w:tr w:rsidR="0067350D" w:rsidRPr="000109C1" w:rsidTr="006B781F">
        <w:trPr>
          <w:trHeight w:val="20"/>
        </w:trPr>
        <w:tc>
          <w:tcPr>
            <w:tcW w:w="4082" w:type="dxa"/>
            <w:tcBorders>
              <w:top w:val="nil"/>
              <w:bottom w:val="nil"/>
            </w:tcBorders>
            <w:shd w:val="clear" w:color="auto" w:fill="auto"/>
            <w:noWrap/>
            <w:vAlign w:val="center"/>
            <w:hideMark/>
          </w:tcPr>
          <w:p w:rsidR="0067350D" w:rsidRPr="000109C1" w:rsidRDefault="0067350D" w:rsidP="00BA4ACE">
            <w:pPr>
              <w:jc w:val="left"/>
              <w:rPr>
                <w:rFonts w:cs="Arial"/>
                <w:color w:val="000000"/>
                <w:sz w:val="16"/>
                <w:szCs w:val="16"/>
                <w:lang w:val="en-GB" w:eastAsia="en-GB"/>
              </w:rPr>
            </w:pPr>
            <w:r w:rsidRPr="000109C1">
              <w:rPr>
                <w:rFonts w:cs="Arial"/>
                <w:color w:val="000000"/>
                <w:sz w:val="16"/>
                <w:szCs w:val="16"/>
                <w:lang w:val="sr-Cyrl-CS" w:eastAsia="en-GB"/>
              </w:rPr>
              <w:t xml:space="preserve">  Прерађивачка индустрија </w:t>
            </w:r>
          </w:p>
        </w:tc>
        <w:tc>
          <w:tcPr>
            <w:tcW w:w="1395" w:type="dxa"/>
            <w:tcBorders>
              <w:top w:val="nil"/>
              <w:bottom w:val="nil"/>
            </w:tcBorders>
            <w:shd w:val="clear" w:color="auto" w:fill="auto"/>
            <w:noWrap/>
            <w:vAlign w:val="bottom"/>
            <w:hideMark/>
          </w:tcPr>
          <w:p w:rsidR="0067350D" w:rsidRDefault="0067350D" w:rsidP="00C90D50">
            <w:pPr>
              <w:ind w:right="340"/>
              <w:jc w:val="right"/>
              <w:rPr>
                <w:rFonts w:ascii="Arial Narrow" w:hAnsi="Arial Narrow" w:cs="Arial"/>
                <w:sz w:val="16"/>
                <w:szCs w:val="16"/>
              </w:rPr>
            </w:pPr>
            <w:r>
              <w:rPr>
                <w:rFonts w:ascii="Arial Narrow" w:hAnsi="Arial Narrow" w:cs="Arial"/>
                <w:sz w:val="16"/>
                <w:szCs w:val="16"/>
              </w:rPr>
              <w:t>5</w:t>
            </w:r>
            <w:r w:rsidR="00C90D50">
              <w:rPr>
                <w:rFonts w:ascii="Arial Narrow" w:hAnsi="Arial Narrow" w:cs="Arial"/>
                <w:sz w:val="16"/>
                <w:szCs w:val="16"/>
              </w:rPr>
              <w:t>6</w:t>
            </w:r>
          </w:p>
        </w:tc>
        <w:tc>
          <w:tcPr>
            <w:tcW w:w="1454" w:type="dxa"/>
            <w:tcBorders>
              <w:top w:val="nil"/>
              <w:bottom w:val="nil"/>
            </w:tcBorders>
            <w:shd w:val="clear" w:color="auto" w:fill="auto"/>
            <w:noWrap/>
            <w:vAlign w:val="center"/>
            <w:hideMark/>
          </w:tcPr>
          <w:p w:rsidR="0067350D" w:rsidRDefault="0067350D" w:rsidP="00C90D50">
            <w:pPr>
              <w:ind w:right="340"/>
              <w:jc w:val="right"/>
              <w:rPr>
                <w:rFonts w:cs="Arial"/>
                <w:color w:val="000000"/>
                <w:sz w:val="16"/>
                <w:szCs w:val="16"/>
              </w:rPr>
            </w:pPr>
            <w:r>
              <w:rPr>
                <w:rFonts w:cs="Arial"/>
                <w:color w:val="000000"/>
                <w:sz w:val="16"/>
                <w:szCs w:val="16"/>
              </w:rPr>
              <w:t>1</w:t>
            </w:r>
            <w:r w:rsidR="00C90D50">
              <w:rPr>
                <w:rFonts w:cs="Arial"/>
                <w:color w:val="000000"/>
                <w:sz w:val="16"/>
                <w:szCs w:val="16"/>
              </w:rPr>
              <w:t>6</w:t>
            </w:r>
          </w:p>
        </w:tc>
        <w:tc>
          <w:tcPr>
            <w:tcW w:w="1395" w:type="dxa"/>
            <w:tcBorders>
              <w:top w:val="nil"/>
              <w:bottom w:val="nil"/>
            </w:tcBorders>
            <w:shd w:val="clear" w:color="auto" w:fill="auto"/>
            <w:noWrap/>
            <w:vAlign w:val="bottom"/>
            <w:hideMark/>
          </w:tcPr>
          <w:p w:rsidR="0067350D" w:rsidRDefault="0067350D" w:rsidP="00BA4ACE">
            <w:pPr>
              <w:ind w:right="340"/>
              <w:jc w:val="right"/>
              <w:rPr>
                <w:rFonts w:cs="Arial"/>
                <w:sz w:val="16"/>
                <w:szCs w:val="16"/>
              </w:rPr>
            </w:pPr>
            <w:r>
              <w:rPr>
                <w:rFonts w:cs="Arial"/>
                <w:sz w:val="16"/>
                <w:szCs w:val="16"/>
              </w:rPr>
              <w:t>40</w:t>
            </w:r>
          </w:p>
        </w:tc>
      </w:tr>
      <w:tr w:rsidR="0067350D" w:rsidRPr="000109C1" w:rsidTr="006B781F">
        <w:trPr>
          <w:trHeight w:val="20"/>
        </w:trPr>
        <w:tc>
          <w:tcPr>
            <w:tcW w:w="4082" w:type="dxa"/>
            <w:tcBorders>
              <w:top w:val="nil"/>
              <w:bottom w:val="nil"/>
            </w:tcBorders>
            <w:shd w:val="clear" w:color="auto" w:fill="auto"/>
            <w:noWrap/>
            <w:vAlign w:val="center"/>
            <w:hideMark/>
          </w:tcPr>
          <w:p w:rsidR="0067350D" w:rsidRPr="006B781F" w:rsidRDefault="0067350D" w:rsidP="00BA4ACE">
            <w:pPr>
              <w:jc w:val="left"/>
              <w:rPr>
                <w:rFonts w:cs="Arial"/>
                <w:color w:val="000000"/>
                <w:sz w:val="16"/>
                <w:szCs w:val="16"/>
                <w:lang w:eastAsia="en-GB"/>
              </w:rPr>
            </w:pPr>
            <w:r w:rsidRPr="000109C1">
              <w:rPr>
                <w:rFonts w:cs="Arial"/>
                <w:color w:val="000000"/>
                <w:sz w:val="16"/>
                <w:szCs w:val="16"/>
                <w:lang w:val="sr-Cyrl-CS" w:eastAsia="en-GB"/>
              </w:rPr>
              <w:t xml:space="preserve">  Снабдева</w:t>
            </w:r>
            <w:r>
              <w:rPr>
                <w:rFonts w:cs="Arial"/>
                <w:color w:val="000000"/>
                <w:sz w:val="16"/>
                <w:szCs w:val="16"/>
                <w:lang w:val="sr-Cyrl-CS" w:eastAsia="en-GB"/>
              </w:rPr>
              <w:t>ње електричном енергијом, гасом и</w:t>
            </w:r>
            <w:r w:rsidRPr="000109C1">
              <w:rPr>
                <w:rFonts w:cs="Arial"/>
                <w:color w:val="000000"/>
                <w:sz w:val="16"/>
                <w:szCs w:val="16"/>
                <w:lang w:val="sr-Cyrl-CS" w:eastAsia="en-GB"/>
              </w:rPr>
              <w:t xml:space="preserve"> паром </w:t>
            </w:r>
          </w:p>
        </w:tc>
        <w:tc>
          <w:tcPr>
            <w:tcW w:w="1395" w:type="dxa"/>
            <w:tcBorders>
              <w:top w:val="nil"/>
              <w:bottom w:val="nil"/>
            </w:tcBorders>
            <w:shd w:val="clear" w:color="auto" w:fill="auto"/>
            <w:noWrap/>
            <w:vAlign w:val="bottom"/>
            <w:hideMark/>
          </w:tcPr>
          <w:p w:rsidR="0067350D" w:rsidRDefault="0067350D" w:rsidP="00C90D50">
            <w:pPr>
              <w:ind w:right="340"/>
              <w:jc w:val="right"/>
              <w:rPr>
                <w:rFonts w:ascii="Arial Narrow" w:hAnsi="Arial Narrow" w:cs="Arial"/>
                <w:sz w:val="16"/>
                <w:szCs w:val="16"/>
              </w:rPr>
            </w:pPr>
            <w:r>
              <w:rPr>
                <w:rFonts w:ascii="Arial Narrow" w:hAnsi="Arial Narrow" w:cs="Arial"/>
                <w:sz w:val="16"/>
                <w:szCs w:val="16"/>
              </w:rPr>
              <w:t>5</w:t>
            </w:r>
            <w:r w:rsidR="00C90D50">
              <w:rPr>
                <w:rFonts w:ascii="Arial Narrow" w:hAnsi="Arial Narrow" w:cs="Arial"/>
                <w:sz w:val="16"/>
                <w:szCs w:val="16"/>
              </w:rPr>
              <w:t>0</w:t>
            </w:r>
          </w:p>
        </w:tc>
        <w:tc>
          <w:tcPr>
            <w:tcW w:w="1454" w:type="dxa"/>
            <w:tcBorders>
              <w:top w:val="nil"/>
              <w:bottom w:val="nil"/>
            </w:tcBorders>
            <w:shd w:val="clear" w:color="auto" w:fill="auto"/>
            <w:noWrap/>
            <w:vAlign w:val="center"/>
            <w:hideMark/>
          </w:tcPr>
          <w:p w:rsidR="0067350D" w:rsidRDefault="00C90D50" w:rsidP="00BA4ACE">
            <w:pPr>
              <w:ind w:right="340"/>
              <w:jc w:val="right"/>
              <w:rPr>
                <w:rFonts w:cs="Arial"/>
                <w:color w:val="000000"/>
                <w:sz w:val="16"/>
                <w:szCs w:val="16"/>
              </w:rPr>
            </w:pPr>
            <w:r>
              <w:rPr>
                <w:rFonts w:cs="Arial"/>
                <w:color w:val="000000"/>
                <w:sz w:val="16"/>
                <w:szCs w:val="16"/>
              </w:rPr>
              <w:t>46</w:t>
            </w:r>
          </w:p>
        </w:tc>
        <w:tc>
          <w:tcPr>
            <w:tcW w:w="1395" w:type="dxa"/>
            <w:tcBorders>
              <w:top w:val="nil"/>
              <w:bottom w:val="nil"/>
            </w:tcBorders>
            <w:shd w:val="clear" w:color="auto" w:fill="auto"/>
            <w:noWrap/>
            <w:vAlign w:val="bottom"/>
            <w:hideMark/>
          </w:tcPr>
          <w:p w:rsidR="0067350D" w:rsidRDefault="00C90D50" w:rsidP="00BA4ACE">
            <w:pPr>
              <w:ind w:right="340"/>
              <w:jc w:val="right"/>
              <w:rPr>
                <w:rFonts w:cs="Arial"/>
                <w:sz w:val="16"/>
                <w:szCs w:val="16"/>
              </w:rPr>
            </w:pPr>
            <w:r>
              <w:rPr>
                <w:rFonts w:cs="Arial"/>
                <w:sz w:val="16"/>
                <w:szCs w:val="16"/>
              </w:rPr>
              <w:t>4</w:t>
            </w:r>
          </w:p>
        </w:tc>
      </w:tr>
    </w:tbl>
    <w:p w:rsidR="00DD40A5" w:rsidRDefault="006B781F" w:rsidP="00BA4ACE">
      <w:pPr>
        <w:spacing w:before="60"/>
        <w:ind w:left="113" w:hanging="113"/>
        <w:jc w:val="both"/>
        <w:rPr>
          <w:rFonts w:cs="Arial"/>
          <w:sz w:val="14"/>
          <w:szCs w:val="14"/>
          <w:vertAlign w:val="superscript"/>
        </w:rPr>
      </w:pPr>
      <w:r>
        <w:rPr>
          <w:rFonts w:cs="Arial"/>
          <w:bCs/>
          <w:noProof/>
          <w:szCs w:val="20"/>
          <w:lang w:val="en-US"/>
        </w:rPr>
        <mc:AlternateContent>
          <mc:Choice Requires="wps">
            <w:drawing>
              <wp:anchor distT="0" distB="0" distL="114300" distR="114300" simplePos="0" relativeHeight="251658240" behindDoc="0" locked="0" layoutInCell="1" allowOverlap="1">
                <wp:simplePos x="0" y="0"/>
                <wp:positionH relativeFrom="column">
                  <wp:posOffset>11430</wp:posOffset>
                </wp:positionH>
                <wp:positionV relativeFrom="paragraph">
                  <wp:posOffset>68580</wp:posOffset>
                </wp:positionV>
                <wp:extent cx="628650" cy="0"/>
                <wp:effectExtent l="0" t="0" r="1905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 cy="0"/>
                        </a:xfrm>
                        <a:prstGeom prst="line">
                          <a:avLst/>
                        </a:prstGeom>
                        <a:noFill/>
                        <a:ln w="317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1B78A" id="Straight Connector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50.4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" strokecolor="#7f7f7f [1612]" strokeweight=".25pt"/>
            </w:pict>
          </mc:Fallback>
        </mc:AlternateContent>
      </w:r>
    </w:p>
    <w:p w:rsidR="00DD40A5" w:rsidRPr="00431311" w:rsidRDefault="00DD40A5" w:rsidP="00BA4ACE">
      <w:pPr>
        <w:spacing w:before="40" w:after="40"/>
        <w:ind w:left="113" w:hanging="113"/>
        <w:jc w:val="both"/>
        <w:rPr>
          <w:rFonts w:cs="Arial"/>
          <w:sz w:val="14"/>
          <w:szCs w:val="14"/>
          <w:vertAlign w:val="superscript"/>
          <w:lang w:val="sr-Latn-CS"/>
        </w:rPr>
      </w:pPr>
      <w:r>
        <w:rPr>
          <w:rFonts w:cs="Arial"/>
          <w:sz w:val="14"/>
          <w:szCs w:val="14"/>
          <w:vertAlign w:val="superscript"/>
        </w:rPr>
        <w:t>1</w:t>
      </w:r>
      <w:r w:rsidRPr="005B6ECD">
        <w:rPr>
          <w:rFonts w:cs="Arial"/>
          <w:sz w:val="14"/>
          <w:szCs w:val="14"/>
          <w:vertAlign w:val="superscript"/>
          <w:lang w:val="sr-Latn-CS"/>
        </w:rPr>
        <w:t xml:space="preserve">) </w:t>
      </w:r>
      <w:r w:rsidRPr="00431311">
        <w:rPr>
          <w:rFonts w:cs="Arial"/>
          <w:sz w:val="14"/>
          <w:szCs w:val="14"/>
          <w:vertAlign w:val="superscript"/>
          <w:lang w:val="sr-Latn-CS"/>
        </w:rPr>
        <w:t xml:space="preserve"> </w:t>
      </w:r>
      <w:r w:rsidRPr="00431311">
        <w:rPr>
          <w:rFonts w:cs="Arial"/>
          <w:sz w:val="14"/>
          <w:szCs w:val="14"/>
          <w:lang w:val="sr-Latn-CS"/>
        </w:rPr>
        <w:t>Нису укључене проточне воде у хидроелектранама.</w:t>
      </w:r>
    </w:p>
    <w:p w:rsidR="00DD40A5" w:rsidRDefault="00DD40A5" w:rsidP="00BA4ACE">
      <w:pPr>
        <w:spacing w:before="40" w:after="40"/>
        <w:ind w:left="113" w:hanging="113"/>
        <w:jc w:val="both"/>
        <w:rPr>
          <w:rFonts w:cs="Arial"/>
          <w:sz w:val="14"/>
          <w:szCs w:val="14"/>
        </w:rPr>
      </w:pPr>
      <w:r w:rsidRPr="00431311">
        <w:rPr>
          <w:rFonts w:cs="Arial"/>
          <w:sz w:val="14"/>
          <w:szCs w:val="14"/>
          <w:vertAlign w:val="superscript"/>
          <w:lang w:val="sr-Latn-CS"/>
        </w:rPr>
        <w:t xml:space="preserve">2) </w:t>
      </w:r>
      <w:r w:rsidRPr="00431311">
        <w:rPr>
          <w:rFonts w:cs="Arial"/>
          <w:sz w:val="14"/>
          <w:szCs w:val="14"/>
          <w:lang w:val="sr-Latn-CS"/>
        </w:rPr>
        <w:t>Укључена је област Сакупљање, третман и одлагање отпада.</w:t>
      </w:r>
    </w:p>
    <w:p w:rsidR="009B0C5C" w:rsidRPr="00E16EE3" w:rsidRDefault="009B0C5C" w:rsidP="00BA4ACE">
      <w:pPr>
        <w:spacing w:before="360"/>
        <w:rPr>
          <w:rFonts w:cs="Arial"/>
          <w:b/>
          <w:bCs/>
          <w:szCs w:val="20"/>
          <w:lang w:val="sr-Cyrl-CS"/>
        </w:rPr>
      </w:pPr>
      <w:r>
        <w:rPr>
          <w:rFonts w:cs="Arial"/>
          <w:b/>
          <w:bCs/>
          <w:szCs w:val="20"/>
        </w:rPr>
        <w:t>3</w:t>
      </w:r>
      <w:r w:rsidRPr="00E16EE3">
        <w:rPr>
          <w:rFonts w:cs="Arial"/>
          <w:b/>
          <w:bCs/>
          <w:szCs w:val="20"/>
          <w:lang w:val="sr-Cyrl-CS"/>
        </w:rPr>
        <w:t xml:space="preserve">. </w:t>
      </w:r>
      <w:r>
        <w:rPr>
          <w:rFonts w:cs="Arial"/>
          <w:b/>
          <w:bCs/>
          <w:szCs w:val="20"/>
          <w:lang w:val="sr-Cyrl-CS"/>
        </w:rPr>
        <w:t>Пречишћене</w:t>
      </w:r>
      <w:r w:rsidRPr="00E16EE3">
        <w:rPr>
          <w:rFonts w:cs="Arial"/>
          <w:b/>
          <w:bCs/>
          <w:szCs w:val="20"/>
          <w:lang w:val="sr-Cyrl-CS"/>
        </w:rPr>
        <w:t xml:space="preserve"> воде из индустрије, 201</w:t>
      </w:r>
      <w:r w:rsidR="00F64A64">
        <w:rPr>
          <w:rFonts w:cs="Arial"/>
          <w:b/>
          <w:bCs/>
          <w:szCs w:val="20"/>
          <w:lang w:val="sr-Latn-RS"/>
        </w:rPr>
        <w:t>9</w:t>
      </w:r>
      <w:r w:rsidRPr="00E16EE3">
        <w:rPr>
          <w:rFonts w:cs="Arial"/>
          <w:b/>
          <w:bCs/>
          <w:szCs w:val="20"/>
          <w:lang w:val="sr-Cyrl-CS"/>
        </w:rPr>
        <w:t>.</w:t>
      </w:r>
    </w:p>
    <w:p w:rsidR="009B0C5C" w:rsidRDefault="009B0C5C" w:rsidP="00BA4ACE">
      <w:pPr>
        <w:rPr>
          <w:rFonts w:cs="Arial"/>
          <w:b/>
          <w:bCs/>
          <w:sz w:val="18"/>
          <w:szCs w:val="18"/>
          <w:lang w:val="sr-Latn-RS"/>
        </w:rPr>
      </w:pPr>
    </w:p>
    <w:p w:rsidR="006B781F" w:rsidRPr="00C973F4" w:rsidRDefault="009B0C5C" w:rsidP="00BA4ACE">
      <w:pPr>
        <w:spacing w:after="60"/>
        <w:jc w:val="left"/>
        <w:rPr>
          <w:rFonts w:cs="Arial"/>
          <w:b/>
          <w:sz w:val="16"/>
          <w:szCs w:val="16"/>
        </w:rPr>
      </w:pPr>
      <w:r w:rsidRPr="001A3149">
        <w:rPr>
          <w:rFonts w:cs="Arial"/>
          <w:b/>
          <w:bCs/>
          <w:sz w:val="18"/>
          <w:szCs w:val="18"/>
        </w:rPr>
        <w:t>Република Србија</w:t>
      </w:r>
      <w:r w:rsidRPr="001A3149">
        <w:rPr>
          <w:rFonts w:cs="Arial"/>
          <w:b/>
          <w:bCs/>
          <w:sz w:val="18"/>
          <w:szCs w:val="18"/>
          <w:vertAlign w:val="superscript"/>
          <w:lang w:val="sr-Cyrl-CS"/>
        </w:rPr>
        <w:t xml:space="preserve">   </w:t>
      </w:r>
      <w:r w:rsidRPr="001A3149">
        <w:rPr>
          <w:rFonts w:cs="Arial"/>
          <w:b/>
          <w:sz w:val="16"/>
          <w:szCs w:val="16"/>
          <w:lang w:val="ru-RU"/>
        </w:rPr>
        <w:t xml:space="preserve">  </w:t>
      </w:r>
      <w:r w:rsidR="009E3C24" w:rsidRPr="00C973F4">
        <w:rPr>
          <w:rFonts w:cs="Arial"/>
          <w:b/>
          <w:sz w:val="16"/>
          <w:szCs w:val="16"/>
        </w:rPr>
        <w:t xml:space="preserve">                                                                                                                                                             </w:t>
      </w:r>
      <w:r w:rsidR="006B4182" w:rsidRPr="00C973F4">
        <w:rPr>
          <w:rFonts w:cs="Arial"/>
          <w:b/>
          <w:sz w:val="16"/>
          <w:szCs w:val="16"/>
        </w:rPr>
        <w:t xml:space="preserve">            </w:t>
      </w:r>
      <w:r w:rsidR="009E3C24" w:rsidRPr="00C973F4">
        <w:rPr>
          <w:rFonts w:cs="Arial"/>
          <w:b/>
          <w:sz w:val="16"/>
          <w:szCs w:val="16"/>
        </w:rPr>
        <w:t xml:space="preserve"> </w:t>
      </w:r>
      <w:r w:rsidR="009E3C24" w:rsidRPr="00A8584F">
        <w:rPr>
          <w:rFonts w:cs="Arial"/>
          <w:sz w:val="16"/>
          <w:szCs w:val="16"/>
          <w:lang w:val="ru-RU"/>
        </w:rPr>
        <w:t>мил</w:t>
      </w:r>
      <w:r w:rsidR="009E3C24">
        <w:rPr>
          <w:rFonts w:cs="Arial"/>
          <w:sz w:val="16"/>
          <w:szCs w:val="16"/>
          <w:lang w:val="ru-RU"/>
        </w:rPr>
        <w:t>.</w:t>
      </w:r>
      <w:r w:rsidR="009E3C24" w:rsidRPr="00A8584F">
        <w:rPr>
          <w:rFonts w:cs="Arial"/>
          <w:sz w:val="16"/>
          <w:szCs w:val="16"/>
          <w:lang w:val="ru-RU"/>
        </w:rPr>
        <w:t xml:space="preserve"> </w:t>
      </w:r>
      <w:r w:rsidR="009E3C24" w:rsidRPr="00A8584F">
        <w:rPr>
          <w:rFonts w:cs="Arial"/>
          <w:sz w:val="16"/>
          <w:szCs w:val="16"/>
        </w:rPr>
        <w:t>m</w:t>
      </w:r>
      <w:r w:rsidR="009E3C24" w:rsidRPr="00A8584F">
        <w:rPr>
          <w:rFonts w:cs="Arial"/>
          <w:sz w:val="16"/>
          <w:szCs w:val="16"/>
          <w:vertAlign w:val="superscript"/>
          <w:lang w:val="ru-RU"/>
        </w:rPr>
        <w:t>3</w:t>
      </w:r>
      <w:r w:rsidR="009E3C24" w:rsidRPr="001A3149">
        <w:rPr>
          <w:rFonts w:cs="Arial"/>
          <w:b/>
          <w:sz w:val="16"/>
          <w:szCs w:val="16"/>
          <w:lang w:val="ru-RU"/>
        </w:rPr>
        <w:t xml:space="preserve">   </w:t>
      </w:r>
    </w:p>
    <w:tbl>
      <w:tblPr>
        <w:tblW w:w="9930" w:type="dxa"/>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CellMar>
          <w:left w:w="28" w:type="dxa"/>
          <w:right w:w="28" w:type="dxa"/>
        </w:tblCellMar>
        <w:tblLook w:val="04A0" w:firstRow="1" w:lastRow="0" w:firstColumn="1" w:lastColumn="0" w:noHBand="0" w:noVBand="1"/>
      </w:tblPr>
      <w:tblGrid>
        <w:gridCol w:w="4170"/>
        <w:gridCol w:w="1425"/>
        <w:gridCol w:w="1485"/>
        <w:gridCol w:w="1425"/>
        <w:gridCol w:w="1425"/>
      </w:tblGrid>
      <w:tr w:rsidR="006B781F" w:rsidRPr="000109C1" w:rsidTr="00706308">
        <w:trPr>
          <w:trHeight w:val="20"/>
        </w:trPr>
        <w:tc>
          <w:tcPr>
            <w:tcW w:w="4170" w:type="dxa"/>
            <w:vMerge w:val="restart"/>
            <w:shd w:val="clear" w:color="auto" w:fill="auto"/>
            <w:noWrap/>
            <w:vAlign w:val="center"/>
          </w:tcPr>
          <w:p w:rsidR="006B781F" w:rsidRPr="00C973F4" w:rsidRDefault="006B781F" w:rsidP="00BA4ACE">
            <w:pPr>
              <w:spacing w:before="120" w:after="120"/>
              <w:rPr>
                <w:rFonts w:cs="Arial"/>
                <w:color w:val="000000"/>
                <w:sz w:val="16"/>
                <w:szCs w:val="16"/>
                <w:lang w:eastAsia="en-GB"/>
              </w:rPr>
            </w:pPr>
          </w:p>
        </w:tc>
        <w:tc>
          <w:tcPr>
            <w:tcW w:w="5760" w:type="dxa"/>
            <w:gridSpan w:val="4"/>
            <w:tcBorders>
              <w:bottom w:val="single" w:sz="4" w:space="0" w:color="808080" w:themeColor="background1" w:themeShade="80"/>
            </w:tcBorders>
            <w:shd w:val="clear" w:color="auto" w:fill="auto"/>
            <w:noWrap/>
            <w:vAlign w:val="center"/>
          </w:tcPr>
          <w:p w:rsidR="006B781F" w:rsidRPr="000109C1" w:rsidRDefault="00BA4ACE" w:rsidP="00BA4ACE">
            <w:pPr>
              <w:spacing w:before="120" w:after="120"/>
              <w:rPr>
                <w:rFonts w:cs="Arial"/>
                <w:color w:val="000000"/>
                <w:sz w:val="16"/>
                <w:szCs w:val="16"/>
                <w:lang w:val="en-GB" w:eastAsia="en-GB"/>
              </w:rPr>
            </w:pPr>
            <w:r w:rsidRPr="006B781F">
              <w:rPr>
                <w:rFonts w:cs="Arial"/>
                <w:sz w:val="16"/>
                <w:szCs w:val="16"/>
              </w:rPr>
              <w:t>Пречишћене воде</w:t>
            </w:r>
          </w:p>
        </w:tc>
      </w:tr>
      <w:tr w:rsidR="006B781F" w:rsidRPr="000109C1" w:rsidTr="006B781F">
        <w:trPr>
          <w:trHeight w:val="20"/>
        </w:trPr>
        <w:tc>
          <w:tcPr>
            <w:tcW w:w="4170" w:type="dxa"/>
            <w:vMerge/>
            <w:tcBorders>
              <w:bottom w:val="single" w:sz="4" w:space="0" w:color="808080" w:themeColor="background1" w:themeShade="80"/>
            </w:tcBorders>
            <w:shd w:val="clear" w:color="auto" w:fill="auto"/>
            <w:noWrap/>
            <w:vAlign w:val="center"/>
          </w:tcPr>
          <w:p w:rsidR="006B781F" w:rsidRPr="000109C1" w:rsidRDefault="006B781F" w:rsidP="00BA4ACE">
            <w:pPr>
              <w:spacing w:before="120" w:after="120"/>
              <w:rPr>
                <w:rFonts w:cs="Arial"/>
                <w:color w:val="000000"/>
                <w:sz w:val="16"/>
                <w:szCs w:val="16"/>
                <w:lang w:val="en-GB" w:eastAsia="en-GB"/>
              </w:rPr>
            </w:pPr>
          </w:p>
        </w:tc>
        <w:tc>
          <w:tcPr>
            <w:tcW w:w="1425" w:type="dxa"/>
            <w:tcBorders>
              <w:bottom w:val="single" w:sz="4" w:space="0" w:color="808080" w:themeColor="background1" w:themeShade="80"/>
            </w:tcBorders>
            <w:shd w:val="clear" w:color="auto" w:fill="auto"/>
            <w:noWrap/>
            <w:vAlign w:val="center"/>
          </w:tcPr>
          <w:p w:rsidR="006B781F" w:rsidRPr="006B781F" w:rsidRDefault="00BA4ACE" w:rsidP="00BA4ACE">
            <w:pPr>
              <w:spacing w:before="40" w:after="40"/>
              <w:ind w:left="113" w:hanging="113"/>
              <w:rPr>
                <w:rFonts w:cs="Arial"/>
                <w:sz w:val="16"/>
                <w:szCs w:val="16"/>
              </w:rPr>
            </w:pPr>
            <w:r w:rsidRPr="006B781F">
              <w:rPr>
                <w:rFonts w:cs="Arial"/>
                <w:sz w:val="16"/>
                <w:szCs w:val="16"/>
              </w:rPr>
              <w:t>укупно</w:t>
            </w:r>
          </w:p>
        </w:tc>
        <w:tc>
          <w:tcPr>
            <w:tcW w:w="1485" w:type="dxa"/>
            <w:tcBorders>
              <w:bottom w:val="single" w:sz="4" w:space="0" w:color="808080" w:themeColor="background1" w:themeShade="80"/>
            </w:tcBorders>
            <w:shd w:val="clear" w:color="auto" w:fill="auto"/>
            <w:noWrap/>
            <w:vAlign w:val="center"/>
          </w:tcPr>
          <w:p w:rsidR="006B781F" w:rsidRPr="006B781F" w:rsidRDefault="00BA4ACE" w:rsidP="00BA4ACE">
            <w:pPr>
              <w:spacing w:before="40" w:after="40"/>
              <w:ind w:left="113" w:hanging="113"/>
              <w:rPr>
                <w:rFonts w:cs="Arial"/>
                <w:sz w:val="16"/>
                <w:szCs w:val="16"/>
              </w:rPr>
            </w:pPr>
            <w:r w:rsidRPr="006B781F">
              <w:rPr>
                <w:rFonts w:cs="Arial"/>
                <w:sz w:val="16"/>
                <w:szCs w:val="16"/>
              </w:rPr>
              <w:t xml:space="preserve">примарни </w:t>
            </w:r>
            <w:r w:rsidR="00262BA7">
              <w:rPr>
                <w:rFonts w:cs="Arial"/>
                <w:sz w:val="16"/>
                <w:szCs w:val="16"/>
                <w:lang w:val="sr-Latn-RS"/>
              </w:rPr>
              <w:t xml:space="preserve"> </w:t>
            </w:r>
            <w:r w:rsidRPr="006B781F">
              <w:rPr>
                <w:rFonts w:cs="Arial"/>
                <w:sz w:val="16"/>
                <w:szCs w:val="16"/>
              </w:rPr>
              <w:t>третман</w:t>
            </w:r>
          </w:p>
        </w:tc>
        <w:tc>
          <w:tcPr>
            <w:tcW w:w="1425" w:type="dxa"/>
            <w:tcBorders>
              <w:bottom w:val="single" w:sz="4" w:space="0" w:color="808080" w:themeColor="background1" w:themeShade="80"/>
            </w:tcBorders>
            <w:shd w:val="clear" w:color="auto" w:fill="auto"/>
            <w:noWrap/>
            <w:vAlign w:val="center"/>
          </w:tcPr>
          <w:p w:rsidR="006B781F" w:rsidRPr="006B781F" w:rsidRDefault="00BA4ACE" w:rsidP="00BA4ACE">
            <w:pPr>
              <w:spacing w:before="40" w:after="40"/>
              <w:ind w:left="113" w:hanging="113"/>
              <w:rPr>
                <w:rFonts w:cs="Arial"/>
                <w:sz w:val="16"/>
                <w:szCs w:val="16"/>
              </w:rPr>
            </w:pPr>
            <w:r w:rsidRPr="006B781F">
              <w:rPr>
                <w:rFonts w:cs="Arial"/>
                <w:sz w:val="16"/>
                <w:szCs w:val="16"/>
              </w:rPr>
              <w:t>секундарни третман</w:t>
            </w:r>
          </w:p>
        </w:tc>
        <w:tc>
          <w:tcPr>
            <w:tcW w:w="1425" w:type="dxa"/>
            <w:tcBorders>
              <w:bottom w:val="single" w:sz="4" w:space="0" w:color="808080" w:themeColor="background1" w:themeShade="80"/>
            </w:tcBorders>
            <w:vAlign w:val="center"/>
          </w:tcPr>
          <w:p w:rsidR="006B781F" w:rsidRPr="006B781F" w:rsidRDefault="00BA4ACE" w:rsidP="00BA4ACE">
            <w:pPr>
              <w:spacing w:before="40" w:after="40"/>
              <w:ind w:left="113" w:hanging="113"/>
              <w:rPr>
                <w:rFonts w:cs="Arial"/>
                <w:sz w:val="16"/>
                <w:szCs w:val="16"/>
              </w:rPr>
            </w:pPr>
            <w:r w:rsidRPr="006B781F">
              <w:rPr>
                <w:rFonts w:cs="Arial"/>
                <w:sz w:val="16"/>
                <w:szCs w:val="16"/>
              </w:rPr>
              <w:t>терцијарни третман</w:t>
            </w:r>
          </w:p>
        </w:tc>
      </w:tr>
      <w:tr w:rsidR="006B781F" w:rsidTr="006B781F">
        <w:trPr>
          <w:trHeight w:val="20"/>
        </w:trPr>
        <w:tc>
          <w:tcPr>
            <w:tcW w:w="4170" w:type="dxa"/>
            <w:tcBorders>
              <w:bottom w:val="nil"/>
            </w:tcBorders>
            <w:shd w:val="clear" w:color="auto" w:fill="auto"/>
            <w:noWrap/>
            <w:vAlign w:val="center"/>
          </w:tcPr>
          <w:p w:rsidR="006B781F" w:rsidRPr="000109C1" w:rsidRDefault="006B781F" w:rsidP="00BA4ACE">
            <w:pPr>
              <w:jc w:val="left"/>
              <w:rPr>
                <w:rFonts w:cs="Arial"/>
                <w:color w:val="000000"/>
                <w:sz w:val="16"/>
                <w:szCs w:val="16"/>
                <w:lang w:val="sr-Cyrl-CS" w:eastAsia="en-GB"/>
              </w:rPr>
            </w:pPr>
          </w:p>
        </w:tc>
        <w:tc>
          <w:tcPr>
            <w:tcW w:w="1425" w:type="dxa"/>
            <w:tcBorders>
              <w:bottom w:val="nil"/>
            </w:tcBorders>
            <w:shd w:val="clear" w:color="auto" w:fill="auto"/>
            <w:noWrap/>
            <w:vAlign w:val="center"/>
          </w:tcPr>
          <w:p w:rsidR="006B781F" w:rsidRDefault="006B781F" w:rsidP="00BA4ACE">
            <w:pPr>
              <w:rPr>
                <w:rFonts w:cs="Arial"/>
                <w:color w:val="000000"/>
                <w:sz w:val="16"/>
                <w:szCs w:val="16"/>
                <w:lang w:val="sr-Latn-RS" w:eastAsia="en-GB"/>
              </w:rPr>
            </w:pPr>
          </w:p>
        </w:tc>
        <w:tc>
          <w:tcPr>
            <w:tcW w:w="1485" w:type="dxa"/>
            <w:tcBorders>
              <w:bottom w:val="nil"/>
            </w:tcBorders>
            <w:shd w:val="clear" w:color="auto" w:fill="auto"/>
            <w:noWrap/>
            <w:vAlign w:val="center"/>
          </w:tcPr>
          <w:p w:rsidR="006B781F" w:rsidRPr="000109C1" w:rsidRDefault="006B781F" w:rsidP="00BA4ACE">
            <w:pPr>
              <w:rPr>
                <w:rFonts w:cs="Arial"/>
                <w:color w:val="000000"/>
                <w:sz w:val="16"/>
                <w:szCs w:val="16"/>
                <w:lang w:val="sr-Cyrl-CS" w:eastAsia="en-GB"/>
              </w:rPr>
            </w:pPr>
          </w:p>
        </w:tc>
        <w:tc>
          <w:tcPr>
            <w:tcW w:w="1425" w:type="dxa"/>
            <w:tcBorders>
              <w:bottom w:val="nil"/>
            </w:tcBorders>
            <w:shd w:val="clear" w:color="auto" w:fill="auto"/>
            <w:noWrap/>
            <w:vAlign w:val="center"/>
          </w:tcPr>
          <w:p w:rsidR="006B781F" w:rsidRDefault="006B781F" w:rsidP="00BA4ACE">
            <w:pPr>
              <w:rPr>
                <w:rFonts w:cs="Arial"/>
                <w:color w:val="000000"/>
                <w:sz w:val="16"/>
                <w:szCs w:val="16"/>
                <w:lang w:val="en-GB" w:eastAsia="en-GB"/>
              </w:rPr>
            </w:pPr>
          </w:p>
        </w:tc>
        <w:tc>
          <w:tcPr>
            <w:tcW w:w="1425" w:type="dxa"/>
            <w:tcBorders>
              <w:bottom w:val="nil"/>
            </w:tcBorders>
          </w:tcPr>
          <w:p w:rsidR="006B781F" w:rsidRDefault="006B781F" w:rsidP="00BA4ACE">
            <w:pPr>
              <w:rPr>
                <w:rFonts w:cs="Arial"/>
                <w:color w:val="000000"/>
                <w:sz w:val="16"/>
                <w:szCs w:val="16"/>
                <w:lang w:val="en-GB" w:eastAsia="en-GB"/>
              </w:rPr>
            </w:pPr>
          </w:p>
        </w:tc>
      </w:tr>
      <w:tr w:rsidR="00BA4ACE" w:rsidRPr="00BA4ACE" w:rsidTr="00BA4ACE">
        <w:trPr>
          <w:trHeight w:val="20"/>
        </w:trPr>
        <w:tc>
          <w:tcPr>
            <w:tcW w:w="4170" w:type="dxa"/>
            <w:tcBorders>
              <w:top w:val="nil"/>
              <w:bottom w:val="nil"/>
            </w:tcBorders>
            <w:shd w:val="clear" w:color="auto" w:fill="auto"/>
            <w:noWrap/>
          </w:tcPr>
          <w:p w:rsidR="00BA4ACE" w:rsidRPr="00BA4ACE" w:rsidRDefault="00BA4ACE" w:rsidP="00BA4ACE">
            <w:pPr>
              <w:jc w:val="left"/>
              <w:rPr>
                <w:rFonts w:cs="Arial"/>
                <w:b/>
                <w:sz w:val="16"/>
                <w:szCs w:val="16"/>
              </w:rPr>
            </w:pPr>
            <w:r>
              <w:rPr>
                <w:rFonts w:cs="Arial"/>
                <w:b/>
                <w:sz w:val="16"/>
                <w:szCs w:val="16"/>
              </w:rPr>
              <w:t>Укупно</w:t>
            </w:r>
          </w:p>
        </w:tc>
        <w:tc>
          <w:tcPr>
            <w:tcW w:w="1425" w:type="dxa"/>
            <w:tcBorders>
              <w:top w:val="nil"/>
              <w:bottom w:val="nil"/>
            </w:tcBorders>
            <w:shd w:val="clear" w:color="auto" w:fill="auto"/>
            <w:noWrap/>
            <w:vAlign w:val="center"/>
          </w:tcPr>
          <w:p w:rsidR="00BA4ACE" w:rsidRPr="00BA4ACE" w:rsidRDefault="00BA4ACE" w:rsidP="00F31F66">
            <w:pPr>
              <w:ind w:right="340"/>
              <w:jc w:val="right"/>
              <w:rPr>
                <w:rFonts w:cs="Arial"/>
                <w:b/>
                <w:sz w:val="16"/>
                <w:szCs w:val="16"/>
              </w:rPr>
            </w:pPr>
            <w:r w:rsidRPr="00BA4ACE">
              <w:rPr>
                <w:rFonts w:cs="Arial"/>
                <w:b/>
                <w:sz w:val="16"/>
                <w:szCs w:val="16"/>
              </w:rPr>
              <w:t>4</w:t>
            </w:r>
            <w:r w:rsidR="00F31F66">
              <w:rPr>
                <w:rFonts w:cs="Arial"/>
                <w:b/>
                <w:sz w:val="16"/>
                <w:szCs w:val="16"/>
              </w:rPr>
              <w:t>6</w:t>
            </w:r>
          </w:p>
        </w:tc>
        <w:tc>
          <w:tcPr>
            <w:tcW w:w="1485" w:type="dxa"/>
            <w:tcBorders>
              <w:top w:val="nil"/>
              <w:bottom w:val="nil"/>
            </w:tcBorders>
            <w:shd w:val="clear" w:color="auto" w:fill="auto"/>
            <w:noWrap/>
            <w:vAlign w:val="center"/>
          </w:tcPr>
          <w:p w:rsidR="00BA4ACE" w:rsidRPr="00BA4ACE" w:rsidRDefault="00BA4ACE" w:rsidP="00F31F66">
            <w:pPr>
              <w:ind w:right="340"/>
              <w:jc w:val="right"/>
              <w:rPr>
                <w:rFonts w:cs="Arial"/>
                <w:b/>
                <w:sz w:val="16"/>
                <w:szCs w:val="16"/>
              </w:rPr>
            </w:pPr>
            <w:r w:rsidRPr="00BA4ACE">
              <w:rPr>
                <w:rFonts w:cs="Arial"/>
                <w:b/>
                <w:sz w:val="16"/>
                <w:szCs w:val="16"/>
              </w:rPr>
              <w:t>1</w:t>
            </w:r>
            <w:r w:rsidR="00F31F66">
              <w:rPr>
                <w:rFonts w:cs="Arial"/>
                <w:b/>
                <w:sz w:val="16"/>
                <w:szCs w:val="16"/>
              </w:rPr>
              <w:t>8</w:t>
            </w:r>
          </w:p>
        </w:tc>
        <w:tc>
          <w:tcPr>
            <w:tcW w:w="1425" w:type="dxa"/>
            <w:tcBorders>
              <w:top w:val="nil"/>
              <w:bottom w:val="nil"/>
            </w:tcBorders>
            <w:shd w:val="clear" w:color="auto" w:fill="auto"/>
            <w:noWrap/>
            <w:vAlign w:val="center"/>
          </w:tcPr>
          <w:p w:rsidR="00BA4ACE" w:rsidRPr="00BA4ACE" w:rsidRDefault="00BA4ACE" w:rsidP="00BA4ACE">
            <w:pPr>
              <w:ind w:right="340"/>
              <w:jc w:val="right"/>
              <w:rPr>
                <w:rFonts w:cs="Arial"/>
                <w:b/>
                <w:sz w:val="16"/>
                <w:szCs w:val="16"/>
              </w:rPr>
            </w:pPr>
            <w:r w:rsidRPr="00BA4ACE">
              <w:rPr>
                <w:rFonts w:cs="Arial"/>
                <w:b/>
                <w:sz w:val="16"/>
                <w:szCs w:val="16"/>
              </w:rPr>
              <w:t>6</w:t>
            </w:r>
          </w:p>
        </w:tc>
        <w:tc>
          <w:tcPr>
            <w:tcW w:w="1425" w:type="dxa"/>
            <w:tcBorders>
              <w:top w:val="nil"/>
              <w:bottom w:val="nil"/>
            </w:tcBorders>
            <w:vAlign w:val="center"/>
          </w:tcPr>
          <w:p w:rsidR="00BA4ACE" w:rsidRPr="00BA4ACE" w:rsidRDefault="00BA4ACE" w:rsidP="00BA4ACE">
            <w:pPr>
              <w:ind w:right="340"/>
              <w:jc w:val="right"/>
              <w:rPr>
                <w:rFonts w:cs="Arial"/>
                <w:b/>
                <w:sz w:val="16"/>
                <w:szCs w:val="16"/>
              </w:rPr>
            </w:pPr>
            <w:r w:rsidRPr="00BA4ACE">
              <w:rPr>
                <w:rFonts w:cs="Arial"/>
                <w:b/>
                <w:sz w:val="16"/>
                <w:szCs w:val="16"/>
              </w:rPr>
              <w:t>23</w:t>
            </w:r>
          </w:p>
        </w:tc>
      </w:tr>
      <w:tr w:rsidR="00BA4ACE" w:rsidTr="00BA4ACE">
        <w:trPr>
          <w:trHeight w:val="20"/>
        </w:trPr>
        <w:tc>
          <w:tcPr>
            <w:tcW w:w="4170" w:type="dxa"/>
            <w:tcBorders>
              <w:top w:val="nil"/>
              <w:bottom w:val="nil"/>
            </w:tcBorders>
            <w:shd w:val="clear" w:color="auto" w:fill="auto"/>
            <w:noWrap/>
          </w:tcPr>
          <w:p w:rsidR="00BA4ACE" w:rsidRPr="006B781F" w:rsidRDefault="00BA4ACE" w:rsidP="00BA4ACE">
            <w:pPr>
              <w:jc w:val="left"/>
              <w:rPr>
                <w:rFonts w:cs="Arial"/>
                <w:sz w:val="16"/>
                <w:szCs w:val="16"/>
              </w:rPr>
            </w:pPr>
            <w:r w:rsidRPr="006B781F">
              <w:rPr>
                <w:rFonts w:cs="Arial"/>
                <w:sz w:val="16"/>
                <w:szCs w:val="16"/>
              </w:rPr>
              <w:t>Рударство</w:t>
            </w:r>
          </w:p>
        </w:tc>
        <w:tc>
          <w:tcPr>
            <w:tcW w:w="1425" w:type="dxa"/>
            <w:tcBorders>
              <w:top w:val="nil"/>
              <w:bottom w:val="nil"/>
            </w:tcBorders>
            <w:shd w:val="clear" w:color="auto" w:fill="auto"/>
            <w:noWrap/>
            <w:vAlign w:val="center"/>
          </w:tcPr>
          <w:p w:rsidR="00BA4ACE" w:rsidRPr="006B781F" w:rsidRDefault="00F31F66" w:rsidP="00BA4ACE">
            <w:pPr>
              <w:ind w:right="340"/>
              <w:jc w:val="right"/>
              <w:rPr>
                <w:rFonts w:cs="Arial"/>
                <w:sz w:val="16"/>
                <w:szCs w:val="16"/>
              </w:rPr>
            </w:pPr>
            <w:r>
              <w:rPr>
                <w:rFonts w:cs="Arial"/>
                <w:sz w:val="16"/>
                <w:szCs w:val="16"/>
              </w:rPr>
              <w:t>2</w:t>
            </w:r>
          </w:p>
        </w:tc>
        <w:tc>
          <w:tcPr>
            <w:tcW w:w="1485" w:type="dxa"/>
            <w:tcBorders>
              <w:top w:val="nil"/>
              <w:bottom w:val="nil"/>
            </w:tcBorders>
            <w:shd w:val="clear" w:color="auto" w:fill="auto"/>
            <w:noWrap/>
            <w:vAlign w:val="center"/>
          </w:tcPr>
          <w:p w:rsidR="00BA4ACE" w:rsidRPr="006B781F" w:rsidRDefault="00BA4ACE" w:rsidP="00BA4ACE">
            <w:pPr>
              <w:ind w:right="340"/>
              <w:jc w:val="right"/>
              <w:rPr>
                <w:rFonts w:cs="Arial"/>
                <w:sz w:val="16"/>
                <w:szCs w:val="16"/>
              </w:rPr>
            </w:pPr>
            <w:r w:rsidRPr="006B781F">
              <w:rPr>
                <w:rFonts w:cs="Arial"/>
                <w:sz w:val="16"/>
                <w:szCs w:val="16"/>
              </w:rPr>
              <w:t>1</w:t>
            </w:r>
          </w:p>
        </w:tc>
        <w:tc>
          <w:tcPr>
            <w:tcW w:w="1425" w:type="dxa"/>
            <w:tcBorders>
              <w:top w:val="nil"/>
              <w:bottom w:val="nil"/>
            </w:tcBorders>
            <w:shd w:val="clear" w:color="auto" w:fill="auto"/>
            <w:noWrap/>
            <w:vAlign w:val="center"/>
          </w:tcPr>
          <w:p w:rsidR="00BA4ACE" w:rsidRPr="006B781F" w:rsidRDefault="00F31F66" w:rsidP="00BA4ACE">
            <w:pPr>
              <w:ind w:right="340"/>
              <w:jc w:val="right"/>
              <w:rPr>
                <w:rFonts w:cs="Arial"/>
                <w:sz w:val="16"/>
                <w:szCs w:val="16"/>
              </w:rPr>
            </w:pPr>
            <w:r>
              <w:rPr>
                <w:rFonts w:cs="Arial"/>
                <w:sz w:val="16"/>
                <w:szCs w:val="16"/>
              </w:rPr>
              <w:t>1</w:t>
            </w:r>
          </w:p>
        </w:tc>
        <w:tc>
          <w:tcPr>
            <w:tcW w:w="1425" w:type="dxa"/>
            <w:tcBorders>
              <w:top w:val="nil"/>
              <w:bottom w:val="nil"/>
            </w:tcBorders>
            <w:vAlign w:val="center"/>
          </w:tcPr>
          <w:p w:rsidR="00BA4ACE" w:rsidRPr="006B781F" w:rsidRDefault="00BA4ACE" w:rsidP="00BA4ACE">
            <w:pPr>
              <w:ind w:right="340"/>
              <w:jc w:val="right"/>
              <w:rPr>
                <w:rFonts w:cs="Arial"/>
                <w:sz w:val="16"/>
                <w:szCs w:val="16"/>
              </w:rPr>
            </w:pPr>
            <w:r w:rsidRPr="006B781F">
              <w:rPr>
                <w:rFonts w:cs="Arial"/>
                <w:sz w:val="16"/>
                <w:szCs w:val="16"/>
              </w:rPr>
              <w:t>-</w:t>
            </w:r>
          </w:p>
        </w:tc>
      </w:tr>
      <w:tr w:rsidR="00BA4ACE" w:rsidTr="00BA4ACE">
        <w:trPr>
          <w:trHeight w:val="20"/>
        </w:trPr>
        <w:tc>
          <w:tcPr>
            <w:tcW w:w="4170" w:type="dxa"/>
            <w:tcBorders>
              <w:top w:val="nil"/>
              <w:bottom w:val="nil"/>
            </w:tcBorders>
            <w:shd w:val="clear" w:color="auto" w:fill="auto"/>
            <w:noWrap/>
          </w:tcPr>
          <w:p w:rsidR="00BA4ACE" w:rsidRPr="006B781F" w:rsidRDefault="00BA4ACE" w:rsidP="00BA4ACE">
            <w:pPr>
              <w:jc w:val="left"/>
              <w:rPr>
                <w:rFonts w:cs="Arial"/>
                <w:sz w:val="16"/>
                <w:szCs w:val="16"/>
              </w:rPr>
            </w:pPr>
            <w:r w:rsidRPr="006B781F">
              <w:rPr>
                <w:rFonts w:cs="Arial"/>
                <w:sz w:val="16"/>
                <w:szCs w:val="16"/>
              </w:rPr>
              <w:t>Прерађивачка индустрија</w:t>
            </w:r>
          </w:p>
        </w:tc>
        <w:tc>
          <w:tcPr>
            <w:tcW w:w="1425" w:type="dxa"/>
            <w:tcBorders>
              <w:top w:val="nil"/>
              <w:bottom w:val="nil"/>
            </w:tcBorders>
            <w:shd w:val="clear" w:color="auto" w:fill="auto"/>
            <w:noWrap/>
            <w:vAlign w:val="center"/>
          </w:tcPr>
          <w:p w:rsidR="00BA4ACE" w:rsidRPr="006B781F" w:rsidRDefault="00BA4ACE" w:rsidP="00BA4ACE">
            <w:pPr>
              <w:ind w:right="340"/>
              <w:jc w:val="right"/>
              <w:rPr>
                <w:rFonts w:cs="Arial"/>
                <w:sz w:val="16"/>
                <w:szCs w:val="16"/>
              </w:rPr>
            </w:pPr>
            <w:r w:rsidRPr="006B781F">
              <w:rPr>
                <w:rFonts w:cs="Arial"/>
                <w:sz w:val="16"/>
                <w:szCs w:val="16"/>
              </w:rPr>
              <w:t>40</w:t>
            </w:r>
          </w:p>
        </w:tc>
        <w:tc>
          <w:tcPr>
            <w:tcW w:w="1485" w:type="dxa"/>
            <w:tcBorders>
              <w:top w:val="nil"/>
              <w:bottom w:val="nil"/>
            </w:tcBorders>
            <w:shd w:val="clear" w:color="auto" w:fill="auto"/>
            <w:noWrap/>
            <w:vAlign w:val="center"/>
          </w:tcPr>
          <w:p w:rsidR="00BA4ACE" w:rsidRPr="006B781F" w:rsidRDefault="00BA4ACE" w:rsidP="00BA4ACE">
            <w:pPr>
              <w:ind w:right="340"/>
              <w:jc w:val="right"/>
              <w:rPr>
                <w:rFonts w:cs="Arial"/>
                <w:sz w:val="16"/>
                <w:szCs w:val="16"/>
              </w:rPr>
            </w:pPr>
            <w:r w:rsidRPr="006B781F">
              <w:rPr>
                <w:rFonts w:cs="Arial"/>
                <w:sz w:val="16"/>
                <w:szCs w:val="16"/>
              </w:rPr>
              <w:t>13</w:t>
            </w:r>
          </w:p>
        </w:tc>
        <w:tc>
          <w:tcPr>
            <w:tcW w:w="1425" w:type="dxa"/>
            <w:tcBorders>
              <w:top w:val="nil"/>
              <w:bottom w:val="nil"/>
            </w:tcBorders>
            <w:shd w:val="clear" w:color="auto" w:fill="auto"/>
            <w:noWrap/>
            <w:vAlign w:val="center"/>
          </w:tcPr>
          <w:p w:rsidR="00BA4ACE" w:rsidRPr="006B781F" w:rsidRDefault="00BA4ACE" w:rsidP="00BA4ACE">
            <w:pPr>
              <w:ind w:right="340"/>
              <w:jc w:val="right"/>
              <w:rPr>
                <w:rFonts w:cs="Arial"/>
                <w:sz w:val="16"/>
                <w:szCs w:val="16"/>
              </w:rPr>
            </w:pPr>
            <w:r w:rsidRPr="006B781F">
              <w:rPr>
                <w:rFonts w:cs="Arial"/>
                <w:sz w:val="16"/>
                <w:szCs w:val="16"/>
              </w:rPr>
              <w:t>4</w:t>
            </w:r>
          </w:p>
        </w:tc>
        <w:tc>
          <w:tcPr>
            <w:tcW w:w="1425" w:type="dxa"/>
            <w:tcBorders>
              <w:top w:val="nil"/>
              <w:bottom w:val="nil"/>
            </w:tcBorders>
            <w:vAlign w:val="center"/>
          </w:tcPr>
          <w:p w:rsidR="00BA4ACE" w:rsidRPr="006B781F" w:rsidRDefault="00BA4ACE" w:rsidP="00BA4ACE">
            <w:pPr>
              <w:ind w:right="340"/>
              <w:jc w:val="right"/>
              <w:rPr>
                <w:rFonts w:cs="Arial"/>
                <w:sz w:val="16"/>
                <w:szCs w:val="16"/>
              </w:rPr>
            </w:pPr>
            <w:r w:rsidRPr="006B781F">
              <w:rPr>
                <w:rFonts w:cs="Arial"/>
                <w:sz w:val="16"/>
                <w:szCs w:val="16"/>
              </w:rPr>
              <w:t>23</w:t>
            </w:r>
          </w:p>
        </w:tc>
      </w:tr>
      <w:tr w:rsidR="00BA4ACE" w:rsidTr="00BA4ACE">
        <w:trPr>
          <w:trHeight w:val="20"/>
        </w:trPr>
        <w:tc>
          <w:tcPr>
            <w:tcW w:w="4170" w:type="dxa"/>
            <w:tcBorders>
              <w:top w:val="nil"/>
              <w:bottom w:val="nil"/>
            </w:tcBorders>
            <w:shd w:val="clear" w:color="auto" w:fill="auto"/>
            <w:noWrap/>
          </w:tcPr>
          <w:p w:rsidR="00BA4ACE" w:rsidRPr="006B781F" w:rsidRDefault="00BA4ACE" w:rsidP="00BA4ACE">
            <w:pPr>
              <w:jc w:val="left"/>
              <w:rPr>
                <w:rFonts w:cs="Arial"/>
                <w:sz w:val="16"/>
                <w:szCs w:val="16"/>
              </w:rPr>
            </w:pPr>
            <w:r w:rsidRPr="006B781F">
              <w:rPr>
                <w:rFonts w:cs="Arial"/>
                <w:sz w:val="16"/>
                <w:szCs w:val="16"/>
              </w:rPr>
              <w:t>Снабдевање електричном енергијом, гасом, паром и климатизација</w:t>
            </w:r>
          </w:p>
        </w:tc>
        <w:tc>
          <w:tcPr>
            <w:tcW w:w="1425" w:type="dxa"/>
            <w:tcBorders>
              <w:top w:val="nil"/>
              <w:bottom w:val="nil"/>
            </w:tcBorders>
            <w:shd w:val="clear" w:color="auto" w:fill="auto"/>
            <w:noWrap/>
            <w:vAlign w:val="center"/>
          </w:tcPr>
          <w:p w:rsidR="00BA4ACE" w:rsidRPr="006B781F" w:rsidRDefault="00F31F66" w:rsidP="00BA4ACE">
            <w:pPr>
              <w:ind w:right="340"/>
              <w:jc w:val="right"/>
              <w:rPr>
                <w:rFonts w:cs="Arial"/>
                <w:sz w:val="16"/>
                <w:szCs w:val="16"/>
              </w:rPr>
            </w:pPr>
            <w:r>
              <w:rPr>
                <w:rFonts w:cs="Arial"/>
                <w:sz w:val="16"/>
                <w:szCs w:val="16"/>
              </w:rPr>
              <w:t>4</w:t>
            </w:r>
          </w:p>
        </w:tc>
        <w:tc>
          <w:tcPr>
            <w:tcW w:w="1485" w:type="dxa"/>
            <w:tcBorders>
              <w:top w:val="nil"/>
              <w:bottom w:val="nil"/>
            </w:tcBorders>
            <w:shd w:val="clear" w:color="auto" w:fill="auto"/>
            <w:noWrap/>
            <w:vAlign w:val="center"/>
          </w:tcPr>
          <w:p w:rsidR="00BA4ACE" w:rsidRPr="006B781F" w:rsidRDefault="00F31F66" w:rsidP="00BA4ACE">
            <w:pPr>
              <w:ind w:right="340"/>
              <w:jc w:val="right"/>
              <w:rPr>
                <w:rFonts w:cs="Arial"/>
                <w:sz w:val="16"/>
                <w:szCs w:val="16"/>
              </w:rPr>
            </w:pPr>
            <w:r>
              <w:rPr>
                <w:rFonts w:cs="Arial"/>
                <w:sz w:val="16"/>
                <w:szCs w:val="16"/>
              </w:rPr>
              <w:t>4</w:t>
            </w:r>
          </w:p>
        </w:tc>
        <w:tc>
          <w:tcPr>
            <w:tcW w:w="1425" w:type="dxa"/>
            <w:tcBorders>
              <w:top w:val="nil"/>
              <w:bottom w:val="nil"/>
            </w:tcBorders>
            <w:shd w:val="clear" w:color="auto" w:fill="auto"/>
            <w:noWrap/>
            <w:vAlign w:val="center"/>
          </w:tcPr>
          <w:p w:rsidR="00BA4ACE" w:rsidRPr="006B781F" w:rsidRDefault="00F31F66" w:rsidP="00BA4ACE">
            <w:pPr>
              <w:ind w:right="340"/>
              <w:jc w:val="right"/>
              <w:rPr>
                <w:rFonts w:cs="Arial"/>
                <w:sz w:val="16"/>
                <w:szCs w:val="16"/>
              </w:rPr>
            </w:pPr>
            <w:r>
              <w:rPr>
                <w:rFonts w:cs="Arial"/>
                <w:sz w:val="16"/>
                <w:szCs w:val="16"/>
              </w:rPr>
              <w:t>0</w:t>
            </w:r>
          </w:p>
        </w:tc>
        <w:tc>
          <w:tcPr>
            <w:tcW w:w="1425" w:type="dxa"/>
            <w:tcBorders>
              <w:top w:val="nil"/>
              <w:bottom w:val="nil"/>
            </w:tcBorders>
            <w:vAlign w:val="center"/>
          </w:tcPr>
          <w:p w:rsidR="00BA4ACE" w:rsidRPr="006B781F" w:rsidRDefault="00BA4ACE" w:rsidP="00BA4ACE">
            <w:pPr>
              <w:ind w:right="340"/>
              <w:jc w:val="right"/>
              <w:rPr>
                <w:rFonts w:cs="Arial"/>
                <w:sz w:val="16"/>
                <w:szCs w:val="16"/>
              </w:rPr>
            </w:pPr>
            <w:r w:rsidRPr="006B781F">
              <w:rPr>
                <w:rFonts w:cs="Arial"/>
                <w:sz w:val="16"/>
                <w:szCs w:val="16"/>
              </w:rPr>
              <w:t>-</w:t>
            </w:r>
          </w:p>
        </w:tc>
      </w:tr>
    </w:tbl>
    <w:p w:rsidR="009B0C5C" w:rsidRDefault="009B0C5C" w:rsidP="00BA4ACE">
      <w:pPr>
        <w:spacing w:before="60"/>
        <w:ind w:left="113" w:hanging="113"/>
        <w:jc w:val="both"/>
        <w:rPr>
          <w:rFonts w:cs="Arial"/>
          <w:sz w:val="14"/>
          <w:szCs w:val="14"/>
          <w:lang w:val="ru-RU"/>
        </w:rPr>
      </w:pPr>
    </w:p>
    <w:p w:rsidR="009B0C5C" w:rsidRPr="008A2FD9" w:rsidRDefault="009B0C5C" w:rsidP="00262BA7">
      <w:pPr>
        <w:spacing w:before="120" w:after="120"/>
        <w:ind w:firstLine="397"/>
        <w:jc w:val="both"/>
        <w:rPr>
          <w:szCs w:val="20"/>
          <w:lang w:val="sr-Cyrl-CS"/>
        </w:rPr>
      </w:pPr>
      <w:r w:rsidRPr="008A2FD9">
        <w:rPr>
          <w:b/>
          <w:szCs w:val="20"/>
          <w:lang w:val="sr-Latn-CS"/>
        </w:rPr>
        <w:t>Примарни третман отпадних вода</w:t>
      </w:r>
      <w:r w:rsidRPr="008A2FD9">
        <w:rPr>
          <w:szCs w:val="20"/>
          <w:lang w:val="sr-Latn-CS"/>
        </w:rPr>
        <w:t xml:space="preserve"> физичким и/или хемијским поступком укључује прикупљање суспендованих честица и друге процесе у којима је БПК</w:t>
      </w:r>
      <w:r w:rsidR="006B781F">
        <w:rPr>
          <w:rStyle w:val="FootnoteReference"/>
          <w:szCs w:val="20"/>
          <w:lang w:val="sr-Latn-CS"/>
        </w:rPr>
        <w:footnoteReference w:id="2"/>
      </w:r>
      <w:r w:rsidRPr="008A2FD9">
        <w:rPr>
          <w:szCs w:val="20"/>
          <w:lang w:val="sr-Cyrl-CS"/>
        </w:rPr>
        <w:t xml:space="preserve"> </w:t>
      </w:r>
      <w:r w:rsidRPr="008A2FD9">
        <w:rPr>
          <w:szCs w:val="20"/>
          <w:lang w:val="sr-Latn-CS"/>
        </w:rPr>
        <w:t>редукована за најмање 20% пре испуштања и укупне суспендоване честице долазећих отпадних вода редуковане на најмање 50%.</w:t>
      </w:r>
    </w:p>
    <w:p w:rsidR="009B0C5C" w:rsidRPr="008A2FD9" w:rsidRDefault="009B0C5C" w:rsidP="00262BA7">
      <w:pPr>
        <w:spacing w:before="120" w:after="120"/>
        <w:ind w:firstLine="397"/>
        <w:jc w:val="both"/>
        <w:rPr>
          <w:szCs w:val="20"/>
          <w:lang w:val="sr-Latn-CS"/>
        </w:rPr>
      </w:pPr>
      <w:r w:rsidRPr="008A2FD9">
        <w:rPr>
          <w:b/>
          <w:szCs w:val="20"/>
          <w:lang w:val="sr-Latn-CS"/>
        </w:rPr>
        <w:t>Секундарни третман отпадних вода</w:t>
      </w:r>
      <w:r w:rsidRPr="008A2FD9">
        <w:rPr>
          <w:szCs w:val="20"/>
          <w:lang w:val="sr-Latn-CS"/>
        </w:rPr>
        <w:t xml:space="preserve"> укључује биолошки третман са секундарним сакупљањем или другим процесима</w:t>
      </w:r>
      <w:r w:rsidRPr="008A2FD9">
        <w:rPr>
          <w:szCs w:val="20"/>
          <w:lang w:val="sr-Cyrl-CS"/>
        </w:rPr>
        <w:t>,</w:t>
      </w:r>
      <w:r w:rsidRPr="008A2FD9">
        <w:rPr>
          <w:szCs w:val="20"/>
          <w:lang w:val="sr-Latn-CS"/>
        </w:rPr>
        <w:t xml:space="preserve"> имајући као резултат у БПК откл</w:t>
      </w:r>
      <w:r w:rsidRPr="008A2FD9">
        <w:rPr>
          <w:szCs w:val="20"/>
          <w:lang w:val="sr-Cyrl-CS"/>
        </w:rPr>
        <w:t>ањање</w:t>
      </w:r>
      <w:r w:rsidRPr="008A2FD9">
        <w:rPr>
          <w:szCs w:val="20"/>
          <w:lang w:val="sr-Latn-CS"/>
        </w:rPr>
        <w:t xml:space="preserve"> за најмање 70% и ХПК</w:t>
      </w:r>
      <w:r w:rsidR="006B781F">
        <w:rPr>
          <w:rStyle w:val="FootnoteReference"/>
          <w:szCs w:val="20"/>
          <w:lang w:val="sr-Latn-CS"/>
        </w:rPr>
        <w:footnoteReference w:id="3"/>
      </w:r>
      <w:r w:rsidRPr="008A2FD9">
        <w:rPr>
          <w:szCs w:val="20"/>
          <w:lang w:val="sr-Cyrl-CS"/>
        </w:rPr>
        <w:t xml:space="preserve"> </w:t>
      </w:r>
      <w:r w:rsidRPr="008A2FD9">
        <w:rPr>
          <w:szCs w:val="20"/>
          <w:lang w:val="sr-Latn-CS"/>
        </w:rPr>
        <w:t>најмање до 75%</w:t>
      </w:r>
      <w:r w:rsidRPr="008A2FD9">
        <w:rPr>
          <w:szCs w:val="20"/>
          <w:lang w:val="sr-Cyrl-CS"/>
        </w:rPr>
        <w:t>.</w:t>
      </w:r>
    </w:p>
    <w:p w:rsidR="009B0C5C" w:rsidRPr="008A2FD9" w:rsidRDefault="009B0C5C" w:rsidP="00262BA7">
      <w:pPr>
        <w:spacing w:before="120" w:after="120"/>
        <w:ind w:firstLine="397"/>
        <w:jc w:val="both"/>
        <w:rPr>
          <w:szCs w:val="20"/>
          <w:lang w:val="sr-Cyrl-CS"/>
        </w:rPr>
      </w:pPr>
      <w:r w:rsidRPr="008A2FD9">
        <w:rPr>
          <w:b/>
          <w:szCs w:val="20"/>
          <w:lang w:val="sr-Latn-CS"/>
        </w:rPr>
        <w:t>Терцијарни третман</w:t>
      </w:r>
      <w:r w:rsidRPr="008A2FD9">
        <w:rPr>
          <w:szCs w:val="20"/>
          <w:lang w:val="sr-Latn-CS"/>
        </w:rPr>
        <w:t xml:space="preserve"> </w:t>
      </w:r>
      <w:r w:rsidRPr="008A2FD9">
        <w:rPr>
          <w:szCs w:val="20"/>
          <w:lang w:val="sr-Cyrl-CS"/>
        </w:rPr>
        <w:t xml:space="preserve">је </w:t>
      </w:r>
      <w:r w:rsidRPr="008A2FD9">
        <w:rPr>
          <w:szCs w:val="20"/>
          <w:lang w:val="sr-Latn-CS"/>
        </w:rPr>
        <w:t>наставак секундарног третмана азота и/или фосфора и/или било ко</w:t>
      </w:r>
      <w:r w:rsidRPr="008A2FD9">
        <w:rPr>
          <w:szCs w:val="20"/>
          <w:lang w:val="sr-Cyrl-CS"/>
        </w:rPr>
        <w:t>г</w:t>
      </w:r>
      <w:r w:rsidRPr="008A2FD9">
        <w:rPr>
          <w:szCs w:val="20"/>
          <w:lang w:val="sr-Latn-CS"/>
        </w:rPr>
        <w:t xml:space="preserve"> дру</w:t>
      </w:r>
      <w:r w:rsidRPr="008A2FD9">
        <w:rPr>
          <w:szCs w:val="20"/>
          <w:lang w:val="sr-Cyrl-CS"/>
        </w:rPr>
        <w:t>гог загађивача</w:t>
      </w:r>
      <w:r w:rsidRPr="008A2FD9">
        <w:rPr>
          <w:szCs w:val="20"/>
          <w:lang w:val="sr-Latn-CS"/>
        </w:rPr>
        <w:t xml:space="preserve"> </w:t>
      </w:r>
      <w:r w:rsidRPr="008A2FD9">
        <w:rPr>
          <w:szCs w:val="20"/>
          <w:lang w:val="sr-Cyrl-CS"/>
        </w:rPr>
        <w:t xml:space="preserve">који има </w:t>
      </w:r>
      <w:r w:rsidRPr="008A2FD9">
        <w:rPr>
          <w:szCs w:val="20"/>
          <w:lang w:val="sr-Latn-CS"/>
        </w:rPr>
        <w:t xml:space="preserve">утицај на квалитет и специфично коришћење воде: микробиолошка загађеност, боја итд. </w:t>
      </w:r>
      <w:r w:rsidRPr="008A2FD9">
        <w:rPr>
          <w:szCs w:val="20"/>
          <w:lang w:val="sr-Cyrl-CS"/>
        </w:rPr>
        <w:t>М</w:t>
      </w:r>
      <w:r w:rsidRPr="008A2FD9">
        <w:rPr>
          <w:szCs w:val="20"/>
          <w:lang w:val="sr-Latn-CS"/>
        </w:rPr>
        <w:t>инимални степен</w:t>
      </w:r>
      <w:r w:rsidRPr="008A2FD9">
        <w:rPr>
          <w:szCs w:val="20"/>
          <w:lang w:val="sr-Cyrl-CS"/>
        </w:rPr>
        <w:t>и</w:t>
      </w:r>
      <w:r w:rsidRPr="008A2FD9">
        <w:rPr>
          <w:szCs w:val="20"/>
          <w:lang w:val="sr-Latn-CS"/>
        </w:rPr>
        <w:t xml:space="preserve"> ефикасности </w:t>
      </w:r>
      <w:r w:rsidRPr="008A2FD9">
        <w:rPr>
          <w:szCs w:val="20"/>
          <w:lang w:val="sr-Cyrl-CS"/>
        </w:rPr>
        <w:t xml:space="preserve">који </w:t>
      </w:r>
      <w:r w:rsidRPr="008A2FD9">
        <w:rPr>
          <w:szCs w:val="20"/>
          <w:lang w:val="sr-Latn-CS"/>
        </w:rPr>
        <w:t>дефиниш</w:t>
      </w:r>
      <w:r w:rsidRPr="008A2FD9">
        <w:rPr>
          <w:szCs w:val="20"/>
          <w:lang w:val="sr-Cyrl-CS"/>
        </w:rPr>
        <w:t>у</w:t>
      </w:r>
      <w:r w:rsidRPr="008A2FD9">
        <w:rPr>
          <w:szCs w:val="20"/>
          <w:lang w:val="sr-Latn-CS"/>
        </w:rPr>
        <w:t xml:space="preserve"> терцијарни третман</w:t>
      </w:r>
      <w:r w:rsidRPr="008A2FD9">
        <w:rPr>
          <w:szCs w:val="20"/>
          <w:lang w:val="sr-Cyrl-CS"/>
        </w:rPr>
        <w:t xml:space="preserve"> су</w:t>
      </w:r>
      <w:r w:rsidRPr="008A2FD9">
        <w:rPr>
          <w:szCs w:val="20"/>
          <w:lang w:val="sr-Latn-CS"/>
        </w:rPr>
        <w:t>: органско загађење смањено до најмање 95% за БПК и 85% за ХПК</w:t>
      </w:r>
      <w:r w:rsidRPr="008A2FD9">
        <w:rPr>
          <w:szCs w:val="20"/>
          <w:lang w:val="sr-Cyrl-CS"/>
        </w:rPr>
        <w:t>,</w:t>
      </w:r>
      <w:r w:rsidRPr="008A2FD9">
        <w:rPr>
          <w:szCs w:val="20"/>
          <w:lang w:val="sr-Latn-CS"/>
        </w:rPr>
        <w:t xml:space="preserve"> и то: одстрањивање азота од најмање 70%, одстрањивање фосфора од најмање 80% и микробиолошко уклањање до постизања густине колиформа мање од 100</w:t>
      </w:r>
      <w:r w:rsidRPr="008A2FD9">
        <w:rPr>
          <w:szCs w:val="20"/>
          <w:lang w:val="sr-Cyrl-CS"/>
        </w:rPr>
        <w:t>0</w:t>
      </w:r>
      <w:r w:rsidRPr="008A2FD9">
        <w:rPr>
          <w:szCs w:val="20"/>
          <w:lang w:val="sr-Latn-CS"/>
        </w:rPr>
        <w:t xml:space="preserve"> у 100 ml.</w:t>
      </w:r>
    </w:p>
    <w:p w:rsidR="009C02C9" w:rsidRDefault="009C02C9" w:rsidP="00BA4ACE">
      <w:pPr>
        <w:spacing w:before="60"/>
        <w:jc w:val="both"/>
        <w:rPr>
          <w:sz w:val="16"/>
          <w:szCs w:val="16"/>
          <w:lang w:val="sr-Latn-CS"/>
        </w:rPr>
      </w:pPr>
    </w:p>
    <w:p w:rsidR="006B781F" w:rsidRDefault="006B781F" w:rsidP="00BA4ACE">
      <w:pPr>
        <w:spacing w:before="120" w:after="120"/>
        <w:ind w:firstLine="397"/>
        <w:jc w:val="left"/>
      </w:pPr>
      <w:r w:rsidRPr="006175D7">
        <w:rPr>
          <w:rFonts w:cs="Arial"/>
          <w:bCs/>
        </w:rPr>
        <w:t>М</w:t>
      </w:r>
      <w:r w:rsidRPr="006175D7">
        <w:rPr>
          <w:rFonts w:cs="Arial"/>
          <w:bCs/>
          <w:lang w:val="sr-Cyrl-CS"/>
        </w:rPr>
        <w:t>етодоло</w:t>
      </w:r>
      <w:r w:rsidRPr="006175D7">
        <w:rPr>
          <w:rFonts w:cs="Arial"/>
          <w:bCs/>
        </w:rPr>
        <w:t>шка објашњења</w:t>
      </w:r>
      <w:r w:rsidRPr="006175D7">
        <w:rPr>
          <w:rFonts w:cs="Arial"/>
          <w:bCs/>
          <w:lang w:val="ru-RU"/>
        </w:rPr>
        <w:t xml:space="preserve"> </w:t>
      </w:r>
      <w:r w:rsidRPr="006175D7">
        <w:rPr>
          <w:rFonts w:cs="Arial"/>
          <w:bCs/>
        </w:rPr>
        <w:t xml:space="preserve">о </w:t>
      </w:r>
      <w:r w:rsidRPr="006175D7">
        <w:rPr>
          <w:rFonts w:cs="Arial"/>
          <w:bCs/>
          <w:lang w:val="sr-Cyrl-CS"/>
        </w:rPr>
        <w:t xml:space="preserve">коришћењу и заштити вода од загађивања </w:t>
      </w:r>
      <w:r w:rsidRPr="006175D7">
        <w:rPr>
          <w:rFonts w:cs="Arial"/>
          <w:bCs/>
        </w:rPr>
        <w:t xml:space="preserve">налазе се </w:t>
      </w:r>
      <w:r w:rsidRPr="006175D7">
        <w:rPr>
          <w:rFonts w:cs="Arial"/>
          <w:bCs/>
          <w:lang w:val="sr-Cyrl-CS"/>
        </w:rPr>
        <w:t>на веб-страни Републичког завода за статистику:</w:t>
      </w:r>
      <w:r w:rsidR="00BA4ACE">
        <w:rPr>
          <w:rFonts w:cs="Arial"/>
          <w:bCs/>
          <w:lang w:val="sr-Cyrl-CS"/>
        </w:rPr>
        <w:t xml:space="preserve"> </w:t>
      </w:r>
      <w:hyperlink r:id="rId9" w:history="1">
        <w:r>
          <w:rPr>
            <w:rStyle w:val="Hyperlink"/>
          </w:rPr>
          <w:t>http://www.stat.gov.rs/sr-Cyrl/istrazivanja/methodology-and-documents/?a=25&amp;s=2501.</w:t>
        </w:r>
      </w:hyperlink>
    </w:p>
    <w:p w:rsidR="006B781F" w:rsidRDefault="006B781F" w:rsidP="00BA4ACE">
      <w:pPr>
        <w:spacing w:before="120" w:after="120"/>
        <w:ind w:firstLine="397"/>
        <w:jc w:val="both"/>
        <w:rPr>
          <w:rFonts w:cs="Arial"/>
          <w:bCs/>
          <w:lang w:val="sr-Cyrl-CS"/>
        </w:rPr>
      </w:pPr>
      <w:r w:rsidRPr="007D034D">
        <w:rPr>
          <w:rFonts w:cs="Arial"/>
          <w:bCs/>
          <w:lang w:val="sr-Latn-RS"/>
        </w:rPr>
        <w:t xml:space="preserve">Серије података </w:t>
      </w:r>
      <w:r>
        <w:rPr>
          <w:rFonts w:cs="Arial"/>
          <w:bCs/>
        </w:rPr>
        <w:t>о</w:t>
      </w:r>
      <w:r w:rsidRPr="006175D7">
        <w:rPr>
          <w:rFonts w:cs="Arial"/>
          <w:bCs/>
        </w:rPr>
        <w:t xml:space="preserve"> </w:t>
      </w:r>
      <w:r w:rsidRPr="006175D7">
        <w:rPr>
          <w:rFonts w:cs="Arial"/>
          <w:bCs/>
          <w:lang w:val="sr-Cyrl-CS"/>
        </w:rPr>
        <w:t>коришће</w:t>
      </w:r>
      <w:r>
        <w:rPr>
          <w:rFonts w:cs="Arial"/>
          <w:bCs/>
          <w:lang w:val="sr-Cyrl-CS"/>
        </w:rPr>
        <w:t>њу и заштити вода од загађивања</w:t>
      </w:r>
      <w:r w:rsidRPr="007D034D">
        <w:rPr>
          <w:rFonts w:cs="Arial"/>
          <w:bCs/>
        </w:rPr>
        <w:t xml:space="preserve"> доступне су у оквиру базе података </w:t>
      </w:r>
      <w:r w:rsidRPr="007D034D">
        <w:rPr>
          <w:rFonts w:cs="Arial"/>
          <w:bCs/>
          <w:lang w:val="sr-Cyrl-CS"/>
        </w:rPr>
        <w:t>Завода</w:t>
      </w:r>
      <w:r w:rsidRPr="007D034D">
        <w:rPr>
          <w:rFonts w:cs="Arial"/>
          <w:bCs/>
        </w:rPr>
        <w:t>:</w:t>
      </w:r>
      <w:r w:rsidRPr="00CE434C">
        <w:rPr>
          <w:rFonts w:eastAsia="Calibri" w:cs="Arial"/>
          <w:sz w:val="22"/>
          <w:szCs w:val="22"/>
          <w:lang w:val="sr-Latn-RS"/>
        </w:rPr>
        <w:t xml:space="preserve"> </w:t>
      </w:r>
      <w:hyperlink r:id="rId10" w:history="1">
        <w:r w:rsidRPr="007D034D">
          <w:rPr>
            <w:rStyle w:val="Hyperlink"/>
            <w:rFonts w:cs="Arial"/>
            <w:bCs/>
          </w:rPr>
          <w:t>http://data.stat.gov.rs/?caller=2501&amp;languageCode=sr-Latn</w:t>
        </w:r>
      </w:hyperlink>
      <w:r w:rsidRPr="007D034D">
        <w:rPr>
          <w:rFonts w:cs="Arial"/>
          <w:bCs/>
        </w:rPr>
        <w:t>, као и у саставу публикација</w:t>
      </w:r>
      <w:r w:rsidRPr="007D034D">
        <w:rPr>
          <w:rFonts w:cs="Arial"/>
          <w:bCs/>
          <w:lang w:val="sr-Cyrl-CS"/>
        </w:rPr>
        <w:t xml:space="preserve"> Завода</w:t>
      </w:r>
      <w:r w:rsidRPr="007D034D">
        <w:rPr>
          <w:rFonts w:cs="Arial"/>
          <w:bCs/>
        </w:rPr>
        <w:t>:</w:t>
      </w:r>
      <w:r w:rsidRPr="00CE434C">
        <w:rPr>
          <w:rFonts w:eastAsia="Calibri" w:cs="Arial"/>
          <w:sz w:val="22"/>
          <w:szCs w:val="22"/>
          <w:lang w:val="sr-Latn-RS"/>
        </w:rPr>
        <w:t xml:space="preserve"> </w:t>
      </w:r>
      <w:hyperlink r:id="rId11" w:history="1">
        <w:r>
          <w:rPr>
            <w:rStyle w:val="Hyperlink"/>
          </w:rPr>
          <w:t>http://www.stat.gov.rs/sr-Cyrl/oblasti/zivotna-sredina</w:t>
        </w:r>
      </w:hyperlink>
      <w:r w:rsidRPr="007D034D">
        <w:rPr>
          <w:rFonts w:cs="Arial"/>
          <w:bCs/>
        </w:rPr>
        <w:t>.</w:t>
      </w:r>
    </w:p>
    <w:p w:rsidR="006B781F" w:rsidRPr="006175D7" w:rsidRDefault="006B781F" w:rsidP="00BA4ACE">
      <w:pPr>
        <w:spacing w:before="120" w:after="120"/>
        <w:ind w:firstLine="397"/>
        <w:jc w:val="both"/>
        <w:rPr>
          <w:rFonts w:cs="Arial"/>
          <w:szCs w:val="20"/>
          <w:lang w:val="sr-Latn-CS"/>
        </w:rPr>
      </w:pPr>
      <w:r w:rsidRPr="006175D7">
        <w:rPr>
          <w:rFonts w:cs="Arial"/>
          <w:szCs w:val="20"/>
          <w:lang w:val="sr-Latn-CS"/>
        </w:rPr>
        <w:t>Републички завод за статистику од 1999. године не располаже појединим подацима за АП Косово и Метохиј</w:t>
      </w:r>
      <w:r w:rsidRPr="006175D7">
        <w:rPr>
          <w:rFonts w:cs="Arial"/>
          <w:szCs w:val="20"/>
          <w:lang w:val="sr-Cyrl-CS"/>
        </w:rPr>
        <w:t>а</w:t>
      </w:r>
      <w:r w:rsidRPr="006175D7">
        <w:rPr>
          <w:rFonts w:cs="Arial"/>
          <w:szCs w:val="20"/>
          <w:lang w:val="sr-Latn-CS"/>
        </w:rPr>
        <w:t>, тако да они нису садржани у обухвату података за Републику Србију (укупно).</w:t>
      </w:r>
    </w:p>
    <w:p w:rsidR="00DD40A5" w:rsidRDefault="00BA4ACE" w:rsidP="00BA4ACE">
      <w:pPr>
        <w:rPr>
          <w:rFonts w:cs="Arial"/>
          <w:b/>
          <w:bCs/>
          <w:sz w:val="18"/>
          <w:szCs w:val="18"/>
          <w:lang w:val="sr-Latn-CS"/>
        </w:rPr>
      </w:pPr>
      <w:r>
        <w:rPr>
          <w:rFonts w:cs="Arial"/>
          <w:bCs/>
          <w:noProof/>
          <w:szCs w:val="20"/>
          <w:lang w:val="en-US"/>
        </w:rPr>
        <mc:AlternateContent>
          <mc:Choice Requires="wps">
            <w:drawing>
              <wp:anchor distT="0" distB="0" distL="114300" distR="114300" simplePos="0" relativeHeight="251663360" behindDoc="0" locked="0" layoutInCell="1" allowOverlap="1" wp14:anchorId="4773978B" wp14:editId="38897C00">
                <wp:simplePos x="0" y="0"/>
                <wp:positionH relativeFrom="column">
                  <wp:posOffset>488315</wp:posOffset>
                </wp:positionH>
                <wp:positionV relativeFrom="paragraph">
                  <wp:posOffset>130175</wp:posOffset>
                </wp:positionV>
                <wp:extent cx="53911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1150" cy="0"/>
                        </a:xfrm>
                        <a:prstGeom prst="line">
                          <a:avLst/>
                        </a:prstGeom>
                        <a:noFill/>
                        <a:ln w="3175">
                          <a:solidFill>
                            <a:schemeClr val="bg1">
                              <a:lumMod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AE00C" id="Straight Connector 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45pt,10.25pt" to="462.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" strokecolor="#7f7f7f [1612]" strokeweight=".25pt"/>
            </w:pict>
          </mc:Fallback>
        </mc:AlternateContent>
      </w:r>
    </w:p>
    <w:p w:rsidR="00BA4ACE" w:rsidRPr="00700D27" w:rsidRDefault="00BA4ACE" w:rsidP="00BA4ACE">
      <w:pPr>
        <w:spacing w:before="120"/>
        <w:rPr>
          <w:rFonts w:cs="Arial"/>
          <w:iCs/>
          <w:color w:val="000000"/>
          <w:sz w:val="18"/>
          <w:szCs w:val="18"/>
        </w:rPr>
      </w:pPr>
      <w:r w:rsidRPr="007C5B26">
        <w:rPr>
          <w:rFonts w:cs="Arial"/>
          <w:iCs/>
          <w:color w:val="000000"/>
          <w:sz w:val="18"/>
          <w:szCs w:val="18"/>
          <w:lang w:val="ru-RU"/>
        </w:rPr>
        <w:t>Контакт:</w:t>
      </w:r>
      <w:r>
        <w:rPr>
          <w:rFonts w:cs="Arial"/>
          <w:iCs/>
          <w:color w:val="000000"/>
          <w:sz w:val="18"/>
          <w:szCs w:val="18"/>
          <w:lang w:val="ru-RU"/>
        </w:rPr>
        <w:t xml:space="preserve"> </w:t>
      </w:r>
      <w:r w:rsidRPr="00AA6AE2">
        <w:rPr>
          <w:rStyle w:val="Hyperlink"/>
          <w:bCs/>
          <w:sz w:val="18"/>
          <w:szCs w:val="18"/>
        </w:rPr>
        <w:t>dusanka.dostanic@stat.gov.rs</w:t>
      </w:r>
      <w:r>
        <w:rPr>
          <w:rFonts w:cs="Arial"/>
          <w:iCs/>
          <w:color w:val="000000"/>
          <w:sz w:val="18"/>
          <w:szCs w:val="18"/>
          <w:lang w:val="sr-Latn-RS"/>
        </w:rPr>
        <w:t xml:space="preserve">; </w:t>
      </w:r>
      <w:hyperlink r:id="rId12" w:history="1">
        <w:r w:rsidRPr="00C74AD4">
          <w:rPr>
            <w:rStyle w:val="Hyperlink"/>
            <w:rFonts w:cs="Arial"/>
            <w:iCs/>
            <w:sz w:val="18"/>
            <w:szCs w:val="18"/>
            <w:lang w:val="sr-Latn-ME"/>
          </w:rPr>
          <w:t>neda.cukavac@stat.gov.rs</w:t>
        </w:r>
      </w:hyperlink>
      <w:r>
        <w:rPr>
          <w:rFonts w:cs="Arial"/>
          <w:iCs/>
          <w:color w:val="000000"/>
          <w:sz w:val="18"/>
          <w:szCs w:val="18"/>
          <w:lang w:val="sr-Latn-ME"/>
        </w:rPr>
        <w:t xml:space="preserve">; </w:t>
      </w:r>
      <w:r>
        <w:rPr>
          <w:rFonts w:cs="Arial"/>
          <w:iCs/>
          <w:color w:val="000000"/>
          <w:sz w:val="18"/>
          <w:szCs w:val="18"/>
          <w:lang w:val="ru-RU"/>
        </w:rPr>
        <w:t>тел.</w:t>
      </w:r>
      <w:r w:rsidRPr="007C5B26">
        <w:rPr>
          <w:rFonts w:cs="Arial"/>
          <w:iCs/>
          <w:color w:val="000000"/>
          <w:sz w:val="18"/>
          <w:szCs w:val="18"/>
          <w:lang w:val="ru-RU"/>
        </w:rPr>
        <w:t xml:space="preserve">: </w:t>
      </w:r>
      <w:r>
        <w:rPr>
          <w:rFonts w:cs="Arial"/>
          <w:iCs/>
          <w:color w:val="000000"/>
          <w:sz w:val="18"/>
          <w:szCs w:val="18"/>
          <w:lang w:val="sr-Latn-RS"/>
        </w:rPr>
        <w:t>011 2142-922</w:t>
      </w:r>
      <w:r>
        <w:rPr>
          <w:rFonts w:cs="Arial"/>
          <w:iCs/>
          <w:color w:val="000000"/>
          <w:sz w:val="18"/>
          <w:szCs w:val="18"/>
        </w:rPr>
        <w:t>,</w:t>
      </w:r>
      <w:r>
        <w:rPr>
          <w:rFonts w:cs="Arial"/>
          <w:iCs/>
          <w:color w:val="000000"/>
          <w:sz w:val="18"/>
          <w:szCs w:val="18"/>
          <w:lang w:val="sr-Latn-RS"/>
        </w:rPr>
        <w:t xml:space="preserve"> </w:t>
      </w:r>
      <w:r>
        <w:rPr>
          <w:rFonts w:cs="Arial"/>
          <w:iCs/>
          <w:color w:val="000000"/>
          <w:sz w:val="18"/>
          <w:szCs w:val="18"/>
        </w:rPr>
        <w:t>лок. 399</w:t>
      </w:r>
    </w:p>
    <w:p w:rsidR="00BA4ACE" w:rsidRPr="00FC63C3" w:rsidRDefault="00BA4ACE" w:rsidP="00BA4ACE">
      <w:pPr>
        <w:rPr>
          <w:rFonts w:cs="Arial"/>
          <w:iCs/>
          <w:sz w:val="18"/>
          <w:szCs w:val="18"/>
          <w:lang w:val="ru-RU"/>
        </w:rPr>
      </w:pPr>
      <w:r w:rsidRPr="00FC63C3">
        <w:rPr>
          <w:rFonts w:cs="Arial"/>
          <w:iCs/>
          <w:sz w:val="18"/>
          <w:szCs w:val="18"/>
          <w:lang w:val="ru-RU"/>
        </w:rPr>
        <w:t>Група за информисање и дисеминацију, тел</w:t>
      </w:r>
      <w:r>
        <w:rPr>
          <w:rFonts w:cs="Arial"/>
          <w:iCs/>
          <w:sz w:val="18"/>
          <w:szCs w:val="18"/>
          <w:lang w:val="ru-RU"/>
        </w:rPr>
        <w:t>ефон: 011 24</w:t>
      </w:r>
      <w:r w:rsidRPr="00FC63C3">
        <w:rPr>
          <w:rFonts w:cs="Arial"/>
          <w:iCs/>
          <w:sz w:val="18"/>
          <w:szCs w:val="18"/>
          <w:lang w:val="ru-RU"/>
        </w:rPr>
        <w:t>01-284</w:t>
      </w:r>
    </w:p>
    <w:p w:rsidR="00490C0A" w:rsidRDefault="00BA4ACE">
      <w:r w:rsidRPr="007C5B26">
        <w:rPr>
          <w:rFonts w:cs="Arial"/>
          <w:iCs/>
          <w:sz w:val="18"/>
          <w:szCs w:val="18"/>
          <w:lang w:val="ru-RU"/>
        </w:rPr>
        <w:t xml:space="preserve">Издаје и штампа: Републички завод за статистику, </w:t>
      </w:r>
      <w:r>
        <w:rPr>
          <w:rFonts w:cs="Arial"/>
          <w:iCs/>
          <w:sz w:val="18"/>
          <w:szCs w:val="18"/>
          <w:lang w:val="sr-Latn-RS"/>
        </w:rPr>
        <w:t xml:space="preserve">11 050 </w:t>
      </w:r>
      <w:r w:rsidRPr="007C5B26">
        <w:rPr>
          <w:rFonts w:cs="Arial"/>
          <w:iCs/>
          <w:sz w:val="18"/>
          <w:szCs w:val="18"/>
          <w:lang w:val="ru-RU"/>
        </w:rPr>
        <w:t>Б</w:t>
      </w:r>
      <w:r>
        <w:rPr>
          <w:rFonts w:cs="Arial"/>
          <w:iCs/>
          <w:sz w:val="18"/>
          <w:szCs w:val="18"/>
          <w:lang w:val="ru-RU"/>
        </w:rPr>
        <w:t xml:space="preserve">еоград, Милана Ракића 5 </w:t>
      </w:r>
      <w:r>
        <w:rPr>
          <w:rFonts w:cs="Arial"/>
          <w:iCs/>
          <w:sz w:val="18"/>
          <w:szCs w:val="18"/>
          <w:lang w:val="ru-RU"/>
        </w:rPr>
        <w:br/>
        <w:t>Tел.</w:t>
      </w:r>
      <w:r w:rsidRPr="007C5B26">
        <w:rPr>
          <w:rFonts w:cs="Arial"/>
          <w:iCs/>
          <w:sz w:val="18"/>
          <w:szCs w:val="18"/>
          <w:lang w:val="ru-RU"/>
        </w:rPr>
        <w:t xml:space="preserve">: 011 2412-922 (централа) • Tелефакс: 011 2411-260 </w:t>
      </w:r>
      <w:r>
        <w:rPr>
          <w:rFonts w:cs="Arial"/>
          <w:iCs/>
          <w:sz w:val="18"/>
          <w:szCs w:val="18"/>
          <w:lang w:val="ru-RU"/>
        </w:rPr>
        <w:t>• www.stat.gov.rs</w:t>
      </w:r>
      <w:r>
        <w:rPr>
          <w:rFonts w:cs="Arial"/>
          <w:iCs/>
          <w:sz w:val="18"/>
          <w:szCs w:val="18"/>
          <w:lang w:val="ru-RU"/>
        </w:rPr>
        <w:br/>
        <w:t xml:space="preserve">Одговара: др </w:t>
      </w:r>
      <w:r>
        <w:rPr>
          <w:rFonts w:cs="Arial"/>
          <w:iCs/>
          <w:sz w:val="18"/>
          <w:szCs w:val="18"/>
        </w:rPr>
        <w:t>Миладин Ковачевић</w:t>
      </w:r>
      <w:r>
        <w:rPr>
          <w:rFonts w:cs="Arial"/>
          <w:iCs/>
          <w:sz w:val="18"/>
          <w:szCs w:val="18"/>
          <w:lang w:val="ru-RU"/>
        </w:rPr>
        <w:t xml:space="preserve">, </w:t>
      </w:r>
      <w:r w:rsidRPr="007C5B26">
        <w:rPr>
          <w:rFonts w:cs="Arial"/>
          <w:iCs/>
          <w:sz w:val="18"/>
          <w:szCs w:val="18"/>
          <w:lang w:val="ru-RU"/>
        </w:rPr>
        <w:t xml:space="preserve">директор </w:t>
      </w:r>
      <w:r w:rsidRPr="007C5B26">
        <w:rPr>
          <w:rFonts w:cs="Arial"/>
          <w:iCs/>
          <w:sz w:val="18"/>
          <w:szCs w:val="18"/>
          <w:lang w:val="ru-RU"/>
        </w:rPr>
        <w:br/>
        <w:t>Tираж: 20 ● Периодика излажења: годишња</w:t>
      </w:r>
    </w:p>
    <w:sectPr w:rsidR="00490C0A"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2B57" w:rsidRDefault="00AC2B57">
      <w:r>
        <w:separator/>
      </w:r>
    </w:p>
  </w:endnote>
  <w:endnote w:type="continuationSeparator" w:id="0">
    <w:p w:rsidR="00AC2B57" w:rsidRDefault="00AC2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C14C71">
      <w:tc>
        <w:tcPr>
          <w:tcW w:w="5210" w:type="dxa"/>
          <w:tcBorders>
            <w:left w:val="nil"/>
            <w:bottom w:val="nil"/>
            <w:right w:val="nil"/>
          </w:tcBorders>
          <w:shd w:val="clear" w:color="auto" w:fill="auto"/>
        </w:tcPr>
        <w:p w:rsidR="00C14C71" w:rsidRPr="007C5B26" w:rsidRDefault="00DD40A5" w:rsidP="00D54932">
          <w:pPr>
            <w:spacing w:before="120"/>
            <w:jc w:val="left"/>
            <w:rPr>
              <w:iCs/>
              <w:sz w:val="16"/>
              <w:szCs w:val="16"/>
            </w:rPr>
          </w:pPr>
          <w:r w:rsidRPr="007C5B26">
            <w:rPr>
              <w:iCs/>
              <w:sz w:val="16"/>
              <w:szCs w:val="16"/>
            </w:rPr>
            <w:fldChar w:fldCharType="begin"/>
          </w:r>
          <w:r w:rsidRPr="007C5B26">
            <w:rPr>
              <w:iCs/>
              <w:sz w:val="16"/>
              <w:szCs w:val="16"/>
            </w:rPr>
            <w:instrText xml:space="preserve"> PAGE </w:instrText>
          </w:r>
          <w:r w:rsidRPr="007C5B26">
            <w:rPr>
              <w:iCs/>
              <w:sz w:val="16"/>
              <w:szCs w:val="16"/>
            </w:rPr>
            <w:fldChar w:fldCharType="separate"/>
          </w:r>
          <w:r>
            <w:rPr>
              <w:iCs/>
              <w:noProof/>
              <w:sz w:val="16"/>
              <w:szCs w:val="16"/>
            </w:rPr>
            <w:t>2</w:t>
          </w:r>
          <w:r w:rsidRPr="007C5B26">
            <w:rPr>
              <w:iCs/>
              <w:sz w:val="16"/>
              <w:szCs w:val="16"/>
            </w:rPr>
            <w:fldChar w:fldCharType="end"/>
          </w:r>
        </w:p>
      </w:tc>
      <w:tc>
        <w:tcPr>
          <w:tcW w:w="5211" w:type="dxa"/>
          <w:tcBorders>
            <w:left w:val="nil"/>
            <w:bottom w:val="nil"/>
          </w:tcBorders>
          <w:shd w:val="clear" w:color="auto" w:fill="auto"/>
        </w:tcPr>
        <w:p w:rsidR="00C14C71" w:rsidRPr="00892FC3" w:rsidRDefault="00DD40A5" w:rsidP="001F696E">
          <w:pPr>
            <w:spacing w:before="120"/>
            <w:jc w:val="right"/>
            <w:rPr>
              <w:bCs/>
              <w:sz w:val="16"/>
              <w:szCs w:val="16"/>
              <w:lang w:val="sr-Latn-RS"/>
            </w:rPr>
          </w:pPr>
          <w:r w:rsidRPr="007C5B26">
            <w:rPr>
              <w:bCs/>
              <w:sz w:val="16"/>
              <w:szCs w:val="16"/>
              <w:lang w:val="sr-Cyrl-CS"/>
            </w:rPr>
            <w:t>СРБ</w:t>
          </w:r>
          <w:r w:rsidRPr="007C5B26">
            <w:rPr>
              <w:bCs/>
              <w:sz w:val="16"/>
              <w:szCs w:val="16"/>
              <w:lang w:val="sr-Latn-CS"/>
            </w:rPr>
            <w:t>1</w:t>
          </w:r>
          <w:r>
            <w:rPr>
              <w:bCs/>
              <w:sz w:val="16"/>
              <w:szCs w:val="16"/>
              <w:lang w:val="sr-Latn-CS"/>
            </w:rPr>
            <w:t>58</w:t>
          </w:r>
          <w:r w:rsidRPr="007C5B26">
            <w:rPr>
              <w:bCs/>
              <w:sz w:val="16"/>
              <w:szCs w:val="16"/>
            </w:rPr>
            <w:t xml:space="preserve"> </w:t>
          </w:r>
          <w:r w:rsidRPr="007C5B26">
            <w:rPr>
              <w:bCs/>
              <w:sz w:val="16"/>
              <w:szCs w:val="16"/>
              <w:lang w:val="sr-Cyrl-CS"/>
            </w:rPr>
            <w:t>ЗС50</w:t>
          </w:r>
          <w:r w:rsidRPr="007C5B26">
            <w:rPr>
              <w:bCs/>
              <w:sz w:val="16"/>
              <w:szCs w:val="16"/>
            </w:rPr>
            <w:t xml:space="preserve"> </w:t>
          </w:r>
          <w:r>
            <w:rPr>
              <w:bCs/>
              <w:sz w:val="16"/>
              <w:szCs w:val="16"/>
              <w:lang w:val="sr-Latn-RS"/>
            </w:rPr>
            <w:t>2</w:t>
          </w:r>
          <w:r>
            <w:rPr>
              <w:bCs/>
              <w:sz w:val="16"/>
              <w:szCs w:val="16"/>
            </w:rPr>
            <w:t>4</w:t>
          </w:r>
          <w:r w:rsidRPr="007C5B26">
            <w:rPr>
              <w:bCs/>
              <w:sz w:val="16"/>
              <w:szCs w:val="16"/>
              <w:lang w:val="sr-Cyrl-CS"/>
            </w:rPr>
            <w:t>061</w:t>
          </w:r>
          <w:r>
            <w:rPr>
              <w:bCs/>
              <w:sz w:val="16"/>
              <w:szCs w:val="16"/>
              <w:lang w:val="sr-Latn-RS"/>
            </w:rPr>
            <w:t>6</w:t>
          </w:r>
        </w:p>
      </w:tc>
    </w:tr>
  </w:tbl>
  <w:p w:rsidR="00C14C71" w:rsidRPr="005C58EB" w:rsidRDefault="00AC2B57"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insideH w:val="single" w:sz="4" w:space="0" w:color="auto"/>
      </w:tblBorders>
      <w:tblLook w:val="01E0" w:firstRow="1" w:lastRow="1" w:firstColumn="1" w:lastColumn="1" w:noHBand="0" w:noVBand="0"/>
    </w:tblPr>
    <w:tblGrid>
      <w:gridCol w:w="5210"/>
      <w:gridCol w:w="5211"/>
    </w:tblGrid>
    <w:tr w:rsidR="00C14C71" w:rsidRPr="007C5B26">
      <w:tc>
        <w:tcPr>
          <w:tcW w:w="5210" w:type="dxa"/>
          <w:tcBorders>
            <w:bottom w:val="nil"/>
            <w:right w:val="nil"/>
          </w:tcBorders>
          <w:shd w:val="clear" w:color="auto" w:fill="auto"/>
        </w:tcPr>
        <w:p w:rsidR="00C14C71" w:rsidRPr="00F64A64" w:rsidRDefault="00DD40A5" w:rsidP="00F64A64">
          <w:pPr>
            <w:spacing w:before="120"/>
            <w:jc w:val="left"/>
            <w:rPr>
              <w:iCs/>
              <w:sz w:val="16"/>
              <w:szCs w:val="16"/>
              <w:lang w:val="en-US"/>
            </w:rPr>
          </w:pPr>
          <w:r w:rsidRPr="007C5B26">
            <w:rPr>
              <w:iCs/>
              <w:sz w:val="16"/>
              <w:szCs w:val="16"/>
              <w:lang w:val="sr-Cyrl-CS"/>
            </w:rPr>
            <w:t>СРБ1</w:t>
          </w:r>
          <w:r w:rsidR="00700D27">
            <w:rPr>
              <w:iCs/>
              <w:sz w:val="16"/>
              <w:szCs w:val="16"/>
              <w:lang w:val="sr-Latn-RS"/>
            </w:rPr>
            <w:t>5</w:t>
          </w:r>
          <w:r w:rsidR="00F64A64">
            <w:rPr>
              <w:iCs/>
              <w:sz w:val="16"/>
              <w:szCs w:val="16"/>
              <w:lang w:val="sr-Latn-RS"/>
            </w:rPr>
            <w:t>8</w:t>
          </w:r>
          <w:r w:rsidRPr="007C5B26">
            <w:rPr>
              <w:iCs/>
              <w:sz w:val="16"/>
              <w:szCs w:val="16"/>
            </w:rPr>
            <w:t xml:space="preserve"> </w:t>
          </w:r>
          <w:r w:rsidRPr="007C5B26">
            <w:rPr>
              <w:iCs/>
              <w:sz w:val="16"/>
              <w:szCs w:val="16"/>
              <w:lang w:val="sr-Cyrl-CS"/>
            </w:rPr>
            <w:t>ЗС50</w:t>
          </w:r>
          <w:r w:rsidRPr="007C5B26">
            <w:rPr>
              <w:iCs/>
              <w:sz w:val="16"/>
              <w:szCs w:val="16"/>
            </w:rPr>
            <w:t xml:space="preserve"> </w:t>
          </w:r>
          <w:r w:rsidR="00700D27">
            <w:rPr>
              <w:iCs/>
              <w:sz w:val="16"/>
              <w:szCs w:val="16"/>
              <w:lang w:val="sr-Latn-RS"/>
            </w:rPr>
            <w:t>1</w:t>
          </w:r>
          <w:r w:rsidR="00F64A64">
            <w:rPr>
              <w:iCs/>
              <w:sz w:val="16"/>
              <w:szCs w:val="16"/>
              <w:lang w:val="sr-Latn-RS"/>
            </w:rPr>
            <w:t>0</w:t>
          </w:r>
          <w:r w:rsidRPr="007C5B26">
            <w:rPr>
              <w:iCs/>
              <w:sz w:val="16"/>
              <w:szCs w:val="16"/>
              <w:lang w:val="sr-Cyrl-CS"/>
            </w:rPr>
            <w:t>06</w:t>
          </w:r>
          <w:r w:rsidR="00F64A64">
            <w:rPr>
              <w:iCs/>
              <w:sz w:val="16"/>
              <w:szCs w:val="16"/>
              <w:lang w:val="en-US"/>
            </w:rPr>
            <w:t>20</w:t>
          </w:r>
        </w:p>
      </w:tc>
      <w:tc>
        <w:tcPr>
          <w:tcW w:w="5211" w:type="dxa"/>
          <w:tcBorders>
            <w:left w:val="nil"/>
            <w:bottom w:val="nil"/>
          </w:tcBorders>
          <w:shd w:val="clear" w:color="auto" w:fill="auto"/>
        </w:tcPr>
        <w:p w:rsidR="00C14C71" w:rsidRPr="007C5B26" w:rsidRDefault="00DD40A5" w:rsidP="00185DE2">
          <w:pPr>
            <w:spacing w:before="120"/>
            <w:jc w:val="right"/>
            <w:rPr>
              <w:bCs/>
              <w:sz w:val="16"/>
              <w:szCs w:val="16"/>
            </w:rPr>
          </w:pPr>
          <w:r w:rsidRPr="007C5B26">
            <w:rPr>
              <w:bCs/>
              <w:sz w:val="16"/>
              <w:szCs w:val="16"/>
            </w:rPr>
            <w:fldChar w:fldCharType="begin"/>
          </w:r>
          <w:r w:rsidRPr="007C5B26">
            <w:rPr>
              <w:bCs/>
              <w:sz w:val="16"/>
              <w:szCs w:val="16"/>
            </w:rPr>
            <w:instrText xml:space="preserve"> PAGE </w:instrText>
          </w:r>
          <w:r w:rsidRPr="007C5B26">
            <w:rPr>
              <w:bCs/>
              <w:sz w:val="16"/>
              <w:szCs w:val="16"/>
            </w:rPr>
            <w:fldChar w:fldCharType="separate"/>
          </w:r>
          <w:r w:rsidR="00C973F4">
            <w:rPr>
              <w:bCs/>
              <w:noProof/>
              <w:sz w:val="16"/>
              <w:szCs w:val="16"/>
            </w:rPr>
            <w:t>2</w:t>
          </w:r>
          <w:r w:rsidRPr="007C5B26">
            <w:rPr>
              <w:bCs/>
              <w:sz w:val="16"/>
              <w:szCs w:val="16"/>
            </w:rPr>
            <w:fldChar w:fldCharType="end"/>
          </w:r>
        </w:p>
      </w:tc>
    </w:tr>
  </w:tbl>
  <w:p w:rsidR="00C14C71" w:rsidRPr="005C58EB" w:rsidRDefault="00AC2B57">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2B57" w:rsidRPr="006B781F" w:rsidRDefault="00AC2B57" w:rsidP="006B781F">
      <w:pPr>
        <w:spacing w:before="240"/>
        <w:jc w:val="left"/>
        <w:rPr>
          <w:color w:val="808080" w:themeColor="background1" w:themeShade="80"/>
        </w:rPr>
      </w:pPr>
      <w:r w:rsidRPr="006B781F">
        <w:rPr>
          <w:color w:val="808080" w:themeColor="background1" w:themeShade="80"/>
        </w:rPr>
        <w:separator/>
      </w:r>
    </w:p>
  </w:footnote>
  <w:footnote w:type="continuationSeparator" w:id="0">
    <w:p w:rsidR="00AC2B57" w:rsidRDefault="00AC2B57">
      <w:r>
        <w:continuationSeparator/>
      </w:r>
    </w:p>
  </w:footnote>
  <w:footnote w:id="1">
    <w:p w:rsidR="006B781F" w:rsidRPr="0045137B" w:rsidRDefault="006B781F" w:rsidP="006B781F">
      <w:pPr>
        <w:pStyle w:val="FootnoteText"/>
        <w:spacing w:before="120" w:after="120"/>
        <w:jc w:val="left"/>
        <w:rPr>
          <w:sz w:val="16"/>
          <w:szCs w:val="16"/>
          <w:lang w:val="sr-Latn-RS"/>
        </w:rPr>
      </w:pPr>
      <w:r w:rsidRPr="0045137B">
        <w:rPr>
          <w:rStyle w:val="FootnoteReference"/>
          <w:sz w:val="16"/>
          <w:szCs w:val="16"/>
        </w:rPr>
        <w:footnoteRef/>
      </w:r>
      <w:r w:rsidRPr="0045137B">
        <w:rPr>
          <w:sz w:val="16"/>
          <w:szCs w:val="16"/>
        </w:rPr>
        <w:t xml:space="preserve"> </w:t>
      </w:r>
      <w:r w:rsidRPr="0045137B">
        <w:rPr>
          <w:rFonts w:cs="Arial"/>
          <w:sz w:val="16"/>
          <w:szCs w:val="16"/>
        </w:rPr>
        <w:t>Воде за хлађење не улазе у обрачун  отпадних вода према новој методологији Евростата за извештавање о копненим водама.</w:t>
      </w:r>
    </w:p>
  </w:footnote>
  <w:footnote w:id="2">
    <w:p w:rsidR="006B781F" w:rsidRPr="0045137B" w:rsidRDefault="006B781F" w:rsidP="006B781F">
      <w:pPr>
        <w:pStyle w:val="FootnoteText"/>
        <w:spacing w:before="120" w:after="120"/>
        <w:ind w:left="142" w:hanging="142"/>
        <w:jc w:val="both"/>
        <w:rPr>
          <w:sz w:val="16"/>
          <w:szCs w:val="16"/>
          <w:lang w:val="sr-Latn-RS"/>
        </w:rPr>
      </w:pPr>
      <w:r w:rsidRPr="0045137B">
        <w:rPr>
          <w:rStyle w:val="FootnoteReference"/>
          <w:sz w:val="16"/>
          <w:szCs w:val="16"/>
        </w:rPr>
        <w:footnoteRef/>
      </w:r>
      <w:r w:rsidRPr="0045137B">
        <w:rPr>
          <w:sz w:val="16"/>
          <w:szCs w:val="16"/>
        </w:rPr>
        <w:t xml:space="preserve"> </w:t>
      </w:r>
      <w:r w:rsidRPr="0045137B">
        <w:rPr>
          <w:sz w:val="16"/>
          <w:szCs w:val="16"/>
          <w:lang w:val="sr-Latn-CS"/>
        </w:rPr>
        <w:t>БПК карактерише биолошку активност отпадних вода и представља главни показатељ загађености отпадних вода.</w:t>
      </w:r>
      <w:r w:rsidR="00AA7BB6" w:rsidRPr="0045137B">
        <w:rPr>
          <w:sz w:val="16"/>
          <w:szCs w:val="16"/>
          <w:lang w:val="sr-Latn-CS"/>
        </w:rPr>
        <w:t xml:space="preserve"> </w:t>
      </w:r>
      <w:r w:rsidRPr="0045137B">
        <w:rPr>
          <w:sz w:val="16"/>
          <w:szCs w:val="16"/>
          <w:lang w:val="sr-Latn-CS"/>
        </w:rPr>
        <w:t>Степен зага</w:t>
      </w:r>
      <w:r w:rsidRPr="0045137B">
        <w:rPr>
          <w:sz w:val="16"/>
          <w:szCs w:val="16"/>
        </w:rPr>
        <w:t>ђ</w:t>
      </w:r>
      <w:r w:rsidRPr="0045137B">
        <w:rPr>
          <w:sz w:val="16"/>
          <w:szCs w:val="16"/>
          <w:lang w:val="sr-Latn-CS"/>
        </w:rPr>
        <w:t>ености воде органским једињењима дефинисан је количином кисеоника који је потребан за оксидацију коју врше аеробни микроорганизми. Та количина кисеоника назива се биохемијска потрошња кисеоника (БПК). Потребна количина кисеоника пропорционална је присутној количини органских материја.</w:t>
      </w:r>
    </w:p>
  </w:footnote>
  <w:footnote w:id="3">
    <w:p w:rsidR="006B781F" w:rsidRPr="0045137B" w:rsidRDefault="006B781F" w:rsidP="006B781F">
      <w:pPr>
        <w:pStyle w:val="FootnoteText"/>
        <w:spacing w:before="120" w:after="120"/>
        <w:ind w:left="142" w:hanging="142"/>
        <w:jc w:val="both"/>
        <w:rPr>
          <w:sz w:val="16"/>
          <w:szCs w:val="16"/>
          <w:lang w:val="sr-Latn-RS"/>
        </w:rPr>
      </w:pPr>
      <w:r w:rsidRPr="0045137B">
        <w:rPr>
          <w:rStyle w:val="FootnoteReference"/>
          <w:sz w:val="16"/>
          <w:szCs w:val="16"/>
        </w:rPr>
        <w:footnoteRef/>
      </w:r>
      <w:r w:rsidRPr="0045137B">
        <w:rPr>
          <w:sz w:val="16"/>
          <w:szCs w:val="16"/>
        </w:rPr>
        <w:t xml:space="preserve"> ХПК је хемијски потребна количина кисеоника за оксидацију органских компонената и неорганских соли, и представља показатељ загађености отпа</w:t>
      </w:r>
      <w:r w:rsidR="008A0F60" w:rsidRPr="0045137B">
        <w:rPr>
          <w:sz w:val="16"/>
          <w:szCs w:val="16"/>
        </w:rPr>
        <w:t xml:space="preserve">дних вода.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A92E2F"/>
    <w:multiLevelType w:val="hybridMultilevel"/>
    <w:tmpl w:val="B658C0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0A5"/>
    <w:rsid w:val="00026B18"/>
    <w:rsid w:val="000479EC"/>
    <w:rsid w:val="00066B4B"/>
    <w:rsid w:val="000929CE"/>
    <w:rsid w:val="000B1D78"/>
    <w:rsid w:val="000B541D"/>
    <w:rsid w:val="000C486B"/>
    <w:rsid w:val="000D2B14"/>
    <w:rsid w:val="00111D4D"/>
    <w:rsid w:val="00117839"/>
    <w:rsid w:val="0014436C"/>
    <w:rsid w:val="0016192F"/>
    <w:rsid w:val="001760EB"/>
    <w:rsid w:val="001A3CD2"/>
    <w:rsid w:val="001A7116"/>
    <w:rsid w:val="001C0C52"/>
    <w:rsid w:val="00206967"/>
    <w:rsid w:val="00214214"/>
    <w:rsid w:val="0026020B"/>
    <w:rsid w:val="00262BA7"/>
    <w:rsid w:val="00273DDA"/>
    <w:rsid w:val="00276617"/>
    <w:rsid w:val="00281614"/>
    <w:rsid w:val="002C5B87"/>
    <w:rsid w:val="002E24CF"/>
    <w:rsid w:val="002F5DC4"/>
    <w:rsid w:val="002F6D56"/>
    <w:rsid w:val="00302411"/>
    <w:rsid w:val="00303E2A"/>
    <w:rsid w:val="0034647C"/>
    <w:rsid w:val="003B1622"/>
    <w:rsid w:val="003C5840"/>
    <w:rsid w:val="00412132"/>
    <w:rsid w:val="00425734"/>
    <w:rsid w:val="00437706"/>
    <w:rsid w:val="004478CB"/>
    <w:rsid w:val="0045137B"/>
    <w:rsid w:val="00452404"/>
    <w:rsid w:val="004552F5"/>
    <w:rsid w:val="00464AF9"/>
    <w:rsid w:val="00490C0A"/>
    <w:rsid w:val="00520A85"/>
    <w:rsid w:val="0053307C"/>
    <w:rsid w:val="005431C1"/>
    <w:rsid w:val="005456AF"/>
    <w:rsid w:val="005525BF"/>
    <w:rsid w:val="0055333B"/>
    <w:rsid w:val="005D3064"/>
    <w:rsid w:val="005D7025"/>
    <w:rsid w:val="005E4514"/>
    <w:rsid w:val="00604FC7"/>
    <w:rsid w:val="006177E1"/>
    <w:rsid w:val="006271B0"/>
    <w:rsid w:val="00645E3C"/>
    <w:rsid w:val="0067350D"/>
    <w:rsid w:val="00693433"/>
    <w:rsid w:val="006B4182"/>
    <w:rsid w:val="006B781F"/>
    <w:rsid w:val="006D6A0C"/>
    <w:rsid w:val="00700D27"/>
    <w:rsid w:val="007054FB"/>
    <w:rsid w:val="0071026F"/>
    <w:rsid w:val="00713CC7"/>
    <w:rsid w:val="007160B4"/>
    <w:rsid w:val="0072520D"/>
    <w:rsid w:val="00735573"/>
    <w:rsid w:val="00737DE9"/>
    <w:rsid w:val="007433A4"/>
    <w:rsid w:val="00750CB7"/>
    <w:rsid w:val="0078649B"/>
    <w:rsid w:val="007B13BF"/>
    <w:rsid w:val="0081716F"/>
    <w:rsid w:val="00817485"/>
    <w:rsid w:val="00847AB4"/>
    <w:rsid w:val="008608AF"/>
    <w:rsid w:val="00873905"/>
    <w:rsid w:val="00896663"/>
    <w:rsid w:val="008A0F60"/>
    <w:rsid w:val="008A2FD9"/>
    <w:rsid w:val="008A52EE"/>
    <w:rsid w:val="008C1739"/>
    <w:rsid w:val="008C7A6A"/>
    <w:rsid w:val="00915BFD"/>
    <w:rsid w:val="00927685"/>
    <w:rsid w:val="00927BC7"/>
    <w:rsid w:val="00932EBA"/>
    <w:rsid w:val="009409A2"/>
    <w:rsid w:val="00954C99"/>
    <w:rsid w:val="00963E8C"/>
    <w:rsid w:val="00982FE9"/>
    <w:rsid w:val="009B0C5C"/>
    <w:rsid w:val="009C02C9"/>
    <w:rsid w:val="009D3BA7"/>
    <w:rsid w:val="009E3C24"/>
    <w:rsid w:val="00A16B08"/>
    <w:rsid w:val="00A730F8"/>
    <w:rsid w:val="00A85AD6"/>
    <w:rsid w:val="00AA6AE2"/>
    <w:rsid w:val="00AA7BB6"/>
    <w:rsid w:val="00AC23B3"/>
    <w:rsid w:val="00AC2B57"/>
    <w:rsid w:val="00AD2A56"/>
    <w:rsid w:val="00AD3B69"/>
    <w:rsid w:val="00AD4511"/>
    <w:rsid w:val="00B340B8"/>
    <w:rsid w:val="00B600DC"/>
    <w:rsid w:val="00B802BE"/>
    <w:rsid w:val="00B840C3"/>
    <w:rsid w:val="00B86952"/>
    <w:rsid w:val="00B92F9F"/>
    <w:rsid w:val="00B95A7F"/>
    <w:rsid w:val="00BA4ACE"/>
    <w:rsid w:val="00BD32C1"/>
    <w:rsid w:val="00BF2C0A"/>
    <w:rsid w:val="00C13704"/>
    <w:rsid w:val="00C44BFC"/>
    <w:rsid w:val="00C64A4E"/>
    <w:rsid w:val="00C90D50"/>
    <w:rsid w:val="00C95A41"/>
    <w:rsid w:val="00C973F4"/>
    <w:rsid w:val="00CB166B"/>
    <w:rsid w:val="00CC02D2"/>
    <w:rsid w:val="00CC64E2"/>
    <w:rsid w:val="00CF07DF"/>
    <w:rsid w:val="00CF5576"/>
    <w:rsid w:val="00D102D0"/>
    <w:rsid w:val="00D165A7"/>
    <w:rsid w:val="00DA32B1"/>
    <w:rsid w:val="00DD40A5"/>
    <w:rsid w:val="00DE2FC5"/>
    <w:rsid w:val="00E01A5B"/>
    <w:rsid w:val="00E10138"/>
    <w:rsid w:val="00E11A12"/>
    <w:rsid w:val="00E24C53"/>
    <w:rsid w:val="00E600BB"/>
    <w:rsid w:val="00E73B8D"/>
    <w:rsid w:val="00E83F84"/>
    <w:rsid w:val="00E85A8E"/>
    <w:rsid w:val="00EA43E9"/>
    <w:rsid w:val="00EC0EFA"/>
    <w:rsid w:val="00EC22D3"/>
    <w:rsid w:val="00EC7636"/>
    <w:rsid w:val="00EF1CE0"/>
    <w:rsid w:val="00F023D5"/>
    <w:rsid w:val="00F11A75"/>
    <w:rsid w:val="00F31F66"/>
    <w:rsid w:val="00F537E2"/>
    <w:rsid w:val="00F60CCB"/>
    <w:rsid w:val="00F64A64"/>
    <w:rsid w:val="00F67EBA"/>
    <w:rsid w:val="00F93ECF"/>
    <w:rsid w:val="00FB35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7EA3081-D1BF-4C7A-8ACB-6A3F60B70A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40A5"/>
    <w:pPr>
      <w:spacing w:after="0" w:line="240" w:lineRule="auto"/>
      <w:jc w:val="center"/>
    </w:pPr>
    <w:rPr>
      <w:rFonts w:ascii="Arial" w:eastAsia="Times New Roman" w:hAnsi="Arial" w:cs="Times New Roman"/>
      <w:sz w:val="20"/>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D40A5"/>
    <w:rPr>
      <w:color w:val="0000FF"/>
      <w:u w:val="single"/>
    </w:rPr>
  </w:style>
  <w:style w:type="paragraph" w:styleId="BalloonText">
    <w:name w:val="Balloon Text"/>
    <w:basedOn w:val="Normal"/>
    <w:link w:val="BalloonTextChar"/>
    <w:uiPriority w:val="99"/>
    <w:semiHidden/>
    <w:unhideWhenUsed/>
    <w:rsid w:val="00DD40A5"/>
    <w:rPr>
      <w:rFonts w:ascii="Tahoma" w:hAnsi="Tahoma" w:cs="Tahoma"/>
      <w:sz w:val="16"/>
      <w:szCs w:val="16"/>
    </w:rPr>
  </w:style>
  <w:style w:type="character" w:customStyle="1" w:styleId="BalloonTextChar">
    <w:name w:val="Balloon Text Char"/>
    <w:basedOn w:val="DefaultParagraphFont"/>
    <w:link w:val="BalloonText"/>
    <w:uiPriority w:val="99"/>
    <w:semiHidden/>
    <w:rsid w:val="00DD40A5"/>
    <w:rPr>
      <w:rFonts w:ascii="Tahoma" w:eastAsia="Times New Roman" w:hAnsi="Tahoma" w:cs="Tahoma"/>
      <w:sz w:val="16"/>
      <w:szCs w:val="16"/>
      <w:lang w:val="sr-Cyrl-RS"/>
    </w:rPr>
  </w:style>
  <w:style w:type="paragraph" w:styleId="Header">
    <w:name w:val="header"/>
    <w:basedOn w:val="Normal"/>
    <w:link w:val="HeaderChar"/>
    <w:uiPriority w:val="99"/>
    <w:unhideWhenUsed/>
    <w:rsid w:val="00FB35FF"/>
    <w:pPr>
      <w:tabs>
        <w:tab w:val="center" w:pos="4513"/>
        <w:tab w:val="right" w:pos="9026"/>
      </w:tabs>
    </w:pPr>
  </w:style>
  <w:style w:type="character" w:customStyle="1" w:styleId="HeaderChar">
    <w:name w:val="Header Char"/>
    <w:basedOn w:val="DefaultParagraphFont"/>
    <w:link w:val="Header"/>
    <w:uiPriority w:val="99"/>
    <w:rsid w:val="00FB35FF"/>
    <w:rPr>
      <w:rFonts w:ascii="Arial" w:eastAsia="Times New Roman" w:hAnsi="Arial" w:cs="Times New Roman"/>
      <w:sz w:val="20"/>
      <w:szCs w:val="24"/>
      <w:lang w:val="sr-Cyrl-RS"/>
    </w:rPr>
  </w:style>
  <w:style w:type="paragraph" w:styleId="Footer">
    <w:name w:val="footer"/>
    <w:basedOn w:val="Normal"/>
    <w:link w:val="FooterChar"/>
    <w:uiPriority w:val="99"/>
    <w:unhideWhenUsed/>
    <w:rsid w:val="00FB35FF"/>
    <w:pPr>
      <w:tabs>
        <w:tab w:val="center" w:pos="4513"/>
        <w:tab w:val="right" w:pos="9026"/>
      </w:tabs>
    </w:pPr>
  </w:style>
  <w:style w:type="character" w:customStyle="1" w:styleId="FooterChar">
    <w:name w:val="Footer Char"/>
    <w:basedOn w:val="DefaultParagraphFont"/>
    <w:link w:val="Footer"/>
    <w:uiPriority w:val="99"/>
    <w:rsid w:val="00FB35FF"/>
    <w:rPr>
      <w:rFonts w:ascii="Arial" w:eastAsia="Times New Roman" w:hAnsi="Arial" w:cs="Times New Roman"/>
      <w:sz w:val="20"/>
      <w:szCs w:val="24"/>
      <w:lang w:val="sr-Cyrl-RS"/>
    </w:rPr>
  </w:style>
  <w:style w:type="character" w:styleId="FollowedHyperlink">
    <w:name w:val="FollowedHyperlink"/>
    <w:basedOn w:val="DefaultParagraphFont"/>
    <w:uiPriority w:val="99"/>
    <w:semiHidden/>
    <w:unhideWhenUsed/>
    <w:rsid w:val="00E73B8D"/>
    <w:rPr>
      <w:color w:val="800080" w:themeColor="followedHyperlink"/>
      <w:u w:val="single"/>
    </w:rPr>
  </w:style>
  <w:style w:type="paragraph" w:styleId="ListParagraph">
    <w:name w:val="List Paragraph"/>
    <w:basedOn w:val="Normal"/>
    <w:uiPriority w:val="34"/>
    <w:qFormat/>
    <w:rsid w:val="00520A85"/>
    <w:pPr>
      <w:ind w:left="720"/>
      <w:contextualSpacing/>
    </w:pPr>
  </w:style>
  <w:style w:type="table" w:styleId="TableGrid">
    <w:name w:val="Table Grid"/>
    <w:basedOn w:val="TableNormal"/>
    <w:uiPriority w:val="59"/>
    <w:rsid w:val="008A2F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B781F"/>
    <w:rPr>
      <w:szCs w:val="20"/>
    </w:rPr>
  </w:style>
  <w:style w:type="character" w:customStyle="1" w:styleId="FootnoteTextChar">
    <w:name w:val="Footnote Text Char"/>
    <w:basedOn w:val="DefaultParagraphFont"/>
    <w:link w:val="FootnoteText"/>
    <w:uiPriority w:val="99"/>
    <w:semiHidden/>
    <w:rsid w:val="006B781F"/>
    <w:rPr>
      <w:rFonts w:ascii="Arial" w:eastAsia="Times New Roman" w:hAnsi="Arial" w:cs="Times New Roman"/>
      <w:sz w:val="20"/>
      <w:szCs w:val="20"/>
      <w:lang w:val="sr-Cyrl-RS"/>
    </w:rPr>
  </w:style>
  <w:style w:type="character" w:styleId="FootnoteReference">
    <w:name w:val="footnote reference"/>
    <w:basedOn w:val="DefaultParagraphFont"/>
    <w:uiPriority w:val="99"/>
    <w:semiHidden/>
    <w:unhideWhenUsed/>
    <w:rsid w:val="006B781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8818969">
      <w:bodyDiv w:val="1"/>
      <w:marLeft w:val="0"/>
      <w:marRight w:val="0"/>
      <w:marTop w:val="0"/>
      <w:marBottom w:val="0"/>
      <w:divBdr>
        <w:top w:val="none" w:sz="0" w:space="0" w:color="auto"/>
        <w:left w:val="none" w:sz="0" w:space="0" w:color="auto"/>
        <w:bottom w:val="none" w:sz="0" w:space="0" w:color="auto"/>
        <w:right w:val="none" w:sz="0" w:space="0" w:color="auto"/>
      </w:divBdr>
    </w:div>
    <w:div w:id="1215121922">
      <w:bodyDiv w:val="1"/>
      <w:marLeft w:val="0"/>
      <w:marRight w:val="0"/>
      <w:marTop w:val="0"/>
      <w:marBottom w:val="0"/>
      <w:divBdr>
        <w:top w:val="none" w:sz="0" w:space="0" w:color="auto"/>
        <w:left w:val="none" w:sz="0" w:space="0" w:color="auto"/>
        <w:bottom w:val="none" w:sz="0" w:space="0" w:color="auto"/>
        <w:right w:val="none" w:sz="0" w:space="0" w:color="auto"/>
      </w:divBdr>
    </w:div>
    <w:div w:id="152509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eda.cukava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sr-Cyrl/oblasti/zivotna-sredina"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data.stat.gov.rs/?caller=2501&amp;languageCode=sr-Latn" TargetMode="External"/><Relationship Id="rId4" Type="http://schemas.openxmlformats.org/officeDocument/2006/relationships/settings" Target="settings.xml"/><Relationship Id="rId9" Type="http://schemas.openxmlformats.org/officeDocument/2006/relationships/hyperlink" Target="http://www.stat.gov.rs/sr-Cyrl/istrazivanja/methodology-and-documents/?a=25&amp;s=2501."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7C77CB-A048-40E1-A1E0-8DAA2ACD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851</Words>
  <Characters>4852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ana.vignjevic</dc:creator>
  <cp:lastModifiedBy>Irena Dimic</cp:lastModifiedBy>
  <cp:revision>6</cp:revision>
  <cp:lastPrinted>2020-06-10T05:29:00Z</cp:lastPrinted>
  <dcterms:created xsi:type="dcterms:W3CDTF">2020-06-09T07:44:00Z</dcterms:created>
  <dcterms:modified xsi:type="dcterms:W3CDTF">2020-06-10T05:29:00Z</dcterms:modified>
</cp:coreProperties>
</file>