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435C3439" Type="http://schemas.openxmlformats.org/officeDocument/2006/relationships/officeDocument" Target="/word/document.xml" /><Relationship Id="coreR435C3439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tbl>
      <w:tblPr>
        <w:tblStyle w:val="T2"/>
        <w:tblW w:w="0" w:type="auto"/>
        <w:tblBorders>
          <w:top w:val="none" w:sz="0" w:space="0" w:shadow="0" w:frame="0"/>
          <w:left w:val="none" w:sz="0" w:space="0" w:shadow="0" w:frame="0"/>
          <w:bottom w:val="none" w:sz="0" w:space="0" w:shadow="0" w:frame="0"/>
          <w:right w:val="none" w:sz="0" w:space="0" w:shadow="0" w:frame="0"/>
          <w:insideH w:val="single" w:sz="4" w:space="0" w:shadow="0" w:frame="0"/>
          <w:insideV w:val="single" w:sz="4" w:space="0" w:shadow="0" w:frame="0"/>
        </w:tblBorders>
        <w:tblLayout w:type="autofit"/>
      </w:tblPr>
      <w:tblGrid/>
      <w:tr>
        <w:trPr>
          <w:wAfter w:w="0" w:type="dxa"/>
        </w:trPr>
        <w:tc>
          <w:tcPr>
            <w:tcW w:w="9962" w:type="dxa"/>
          </w:tcPr>
          <w:p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31.01.2019.</w:t>
            </w:r>
          </w:p>
          <w:tbl>
            <w:tblPr>
              <w:tblStyle w:val="T2"/>
              <w:tblW w:w="0" w:type="auto"/>
              <w:tblBorders>
                <w:top w:val="single" w:sz="4" w:space="0" w:shadow="0" w:frame="0"/>
                <w:left w:val="single" w:sz="4" w:space="0" w:shadow="0" w:frame="0"/>
                <w:bottom w:val="single" w:sz="4" w:space="0" w:shadow="0" w:frame="0"/>
                <w:right w:val="single" w:sz="4" w:space="0" w:shadow="0" w:frame="0"/>
                <w:insideH w:val="single" w:sz="4" w:space="0" w:shadow="0" w:frame="0"/>
                <w:insideV w:val="single" w:sz="4" w:space="0" w:shadow="0" w:frame="0"/>
              </w:tblBorders>
              <w:tblLayout w:type="autofit"/>
            </w:tblPr>
            <w:tblGrid/>
            <w:tr>
              <w:tc>
                <w:tcPr>
                  <w:tcW w:w="10065" w:type="dxa"/>
                  <w:tcBorders>
                    <w:top w:val="none" w:sz="0" w:space="0" w:shadow="0" w:frame="0"/>
                    <w:left w:val="none" w:sz="0" w:space="0" w:shadow="0" w:frame="0"/>
                    <w:bottom w:val="none" w:sz="0" w:space="0" w:shadow="0" w:frame="0"/>
                    <w:right w:val="none" w:sz="0" w:space="0" w:shadow="0" w:frame="0"/>
                  </w:tcBorders>
                </w:tcPr>
                <w:p>
                  <w:pPr>
                    <w:jc w:val="center"/>
                    <w:rPr>
                      <w:rFonts w:ascii="Arial" w:hAnsi="Arial"/>
                      <w:color w:val="333333"/>
                    </w:rPr>
                  </w:pPr>
                </w:p>
              </w:tc>
            </w:tr>
          </w:tbl>
          <w:p>
            <w:pPr>
              <w:jc w:val="center"/>
              <w:rPr>
                <w:rFonts w:ascii="Tahoma" w:hAnsi="Tahoma"/>
                <w:b w:val="1"/>
                <w:sz w:val="20"/>
              </w:rPr>
            </w:pPr>
            <w:r>
              <w:rPr>
                <w:rFonts w:ascii="Tahoma" w:hAnsi="Tahoma"/>
                <w:b w:val="1"/>
                <w:sz w:val="20"/>
              </w:rPr>
              <w:t>Спољнотрговинска робна размена</w:t>
            </w:r>
            <w:r>
              <w:rPr>
                <w:rFonts w:ascii="Tahoma" w:hAnsi="Tahoma"/>
                <w:b w:val="1"/>
                <w:sz w:val="20"/>
              </w:rPr>
              <w:t xml:space="preserve">, </w:t>
            </w:r>
            <w:r>
              <w:rPr>
                <w:rFonts w:ascii="Tahoma" w:hAnsi="Tahoma"/>
                <w:b w:val="1"/>
                <w:sz w:val="20"/>
              </w:rPr>
              <w:t>дец</w:t>
            </w:r>
            <w:r>
              <w:rPr>
                <w:rFonts w:ascii="Tahoma" w:hAnsi="Tahoma"/>
                <w:b w:val="1"/>
                <w:sz w:val="20"/>
              </w:rPr>
              <w:t>ем</w:t>
            </w:r>
            <w:r>
              <w:rPr>
                <w:rFonts w:ascii="Tahoma" w:hAnsi="Tahoma"/>
                <w:b w:val="1"/>
                <w:sz w:val="20"/>
              </w:rPr>
              <w:t>бар</w:t>
            </w:r>
            <w:r>
              <w:rPr>
                <w:rFonts w:ascii="Tahoma" w:hAnsi="Tahoma"/>
                <w:b w:val="1"/>
                <w:sz w:val="20"/>
              </w:rPr>
              <w:t xml:space="preserve"> </w:t>
            </w:r>
            <w:r>
              <w:rPr>
                <w:rFonts w:ascii="Tahoma" w:hAnsi="Tahoma"/>
                <w:b w:val="1"/>
                <w:sz w:val="20"/>
              </w:rPr>
              <w:t>201</w:t>
            </w:r>
            <w:r>
              <w:rPr>
                <w:rFonts w:ascii="Tahoma" w:hAnsi="Tahoma"/>
                <w:b w:val="1"/>
                <w:sz w:val="20"/>
              </w:rPr>
              <w:t>8</w:t>
            </w:r>
            <w:r>
              <w:rPr>
                <w:rFonts w:ascii="Tahoma" w:hAnsi="Tahoma"/>
                <w:b w:val="1"/>
                <w:sz w:val="20"/>
              </w:rPr>
              <w:t>.</w:t>
            </w:r>
          </w:p>
          <w:p>
            <w:pPr>
              <w:pStyle w:val="P7"/>
              <w:spacing w:lineRule="auto" w:line="240"/>
              <w:jc w:val="both"/>
              <w:rPr>
                <w:rFonts w:ascii="Arial" w:hAnsi="Arial"/>
                <w:b w:val="1"/>
                <w:color w:val="000000"/>
                <w:sz w:val="18"/>
              </w:rPr>
            </w:pPr>
          </w:p>
          <w:p>
            <w:pPr>
              <w:pStyle w:val="P7"/>
              <w:spacing w:lineRule="auto" w:line="240"/>
              <w:jc w:val="both"/>
              <w:rPr>
                <w:rFonts w:ascii="Arial" w:hAnsi="Arial"/>
                <w:b w:val="1"/>
                <w:color w:val="000000"/>
                <w:sz w:val="18"/>
              </w:rPr>
            </w:pPr>
            <w:r>
              <w:rPr>
                <w:rFonts w:ascii="Arial" w:hAnsi="Arial"/>
                <w:b w:val="1"/>
                <w:color w:val="000000"/>
                <w:sz w:val="18"/>
              </w:rPr>
              <w:t xml:space="preserve">Укупна спољнотрговинска </w:t>
            </w:r>
            <w:r>
              <w:rPr>
                <w:rFonts w:ascii="Arial" w:hAnsi="Arial"/>
                <w:b w:val="1"/>
                <w:color w:val="000000"/>
                <w:sz w:val="18"/>
              </w:rPr>
              <w:t xml:space="preserve">робна размена Србије </w:t>
            </w:r>
            <w:r>
              <w:rPr>
                <w:rFonts w:ascii="Arial" w:hAnsi="Arial"/>
                <w:b w:val="1"/>
                <w:color w:val="000000"/>
                <w:sz w:val="18"/>
              </w:rPr>
              <w:t xml:space="preserve">за </w:t>
            </w:r>
            <w:r>
              <w:rPr>
                <w:rFonts w:ascii="Arial" w:hAnsi="Arial"/>
                <w:b w:val="1"/>
                <w:color w:val="000000"/>
                <w:sz w:val="18"/>
              </w:rPr>
              <w:t xml:space="preserve"> </w:t>
            </w:r>
            <w:r>
              <w:rPr>
                <w:rFonts w:ascii="Arial" w:hAnsi="Arial"/>
                <w:b w:val="1"/>
                <w:color w:val="000000"/>
                <w:sz w:val="18"/>
              </w:rPr>
              <w:t xml:space="preserve">период </w:t>
            </w:r>
            <w:r>
              <w:rPr>
                <w:rFonts w:ascii="Arial" w:hAnsi="Arial"/>
                <w:b w:val="1"/>
                <w:color w:val="000000"/>
                <w:sz w:val="18"/>
              </w:rPr>
              <w:t xml:space="preserve"> </w:t>
            </w:r>
            <w:r>
              <w:rPr>
                <w:rFonts w:ascii="Arial" w:hAnsi="Arial"/>
                <w:b w:val="1"/>
                <w:color w:val="000000"/>
                <w:sz w:val="18"/>
              </w:rPr>
              <w:t>јануар</w:t>
            </w:r>
            <w:r>
              <w:rPr>
                <w:rFonts w:ascii="Arial" w:hAnsi="Arial"/>
                <w:b w:val="1"/>
                <w:color w:val="000000"/>
                <w:sz w:val="18"/>
              </w:rPr>
              <w:t>-</w:t>
            </w:r>
            <w:r>
              <w:rPr>
                <w:rFonts w:ascii="Arial" w:hAnsi="Arial"/>
                <w:b w:val="1"/>
                <w:color w:val="000000"/>
                <w:sz w:val="18"/>
              </w:rPr>
              <w:t>дец</w:t>
            </w:r>
            <w:r>
              <w:rPr>
                <w:rFonts w:ascii="Arial" w:hAnsi="Arial"/>
                <w:b w:val="1"/>
                <w:color w:val="000000"/>
                <w:sz w:val="18"/>
              </w:rPr>
              <w:t>ем</w:t>
            </w:r>
            <w:r>
              <w:rPr>
                <w:rFonts w:ascii="Arial" w:hAnsi="Arial"/>
                <w:b w:val="1"/>
                <w:color w:val="000000"/>
                <w:sz w:val="18"/>
              </w:rPr>
              <w:t>бар</w:t>
            </w:r>
            <w:r>
              <w:rPr>
                <w:rFonts w:ascii="Arial" w:hAnsi="Arial"/>
                <w:b w:val="1"/>
                <w:color w:val="000000"/>
                <w:sz w:val="18"/>
              </w:rPr>
              <w:t xml:space="preserve"> </w:t>
            </w:r>
            <w:r>
              <w:rPr>
                <w:rFonts w:ascii="Arial" w:hAnsi="Arial"/>
                <w:b w:val="1"/>
                <w:color w:val="000000"/>
                <w:sz w:val="18"/>
              </w:rPr>
              <w:t>201</w:t>
            </w:r>
            <w:r>
              <w:rPr>
                <w:rFonts w:ascii="Arial" w:hAnsi="Arial"/>
                <w:b w:val="1"/>
                <w:color w:val="000000"/>
                <w:sz w:val="18"/>
              </w:rPr>
              <w:t>8</w:t>
            </w:r>
            <w:r>
              <w:rPr>
                <w:rFonts w:ascii="Arial" w:hAnsi="Arial"/>
                <w:b w:val="1"/>
                <w:color w:val="000000"/>
                <w:sz w:val="18"/>
              </w:rPr>
              <w:t>.</w:t>
            </w:r>
            <w:r>
              <w:rPr>
                <w:rFonts w:ascii="Arial" w:hAnsi="Arial"/>
                <w:b w:val="1"/>
                <w:color w:val="000000"/>
                <w:sz w:val="18"/>
              </w:rPr>
              <w:t xml:space="preserve"> године износи:</w:t>
            </w:r>
          </w:p>
          <w:p>
            <w:pPr>
              <w:ind w:firstLine="360"/>
              <w:jc w:val="both"/>
              <w:rPr>
                <w:rFonts w:ascii="Arial" w:hAnsi="Arial"/>
                <w:b w:val="1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– </w:t>
            </w:r>
            <w:r>
              <w:rPr>
                <w:rFonts w:ascii="Arial" w:hAnsi="Arial"/>
                <w:b w:val="1"/>
                <w:color w:val="000000"/>
                <w:sz w:val="18"/>
              </w:rPr>
              <w:t>4</w:t>
            </w:r>
            <w:r>
              <w:rPr>
                <w:rFonts w:ascii="Arial" w:hAnsi="Arial"/>
                <w:b w:val="1"/>
                <w:color w:val="000000"/>
                <w:sz w:val="18"/>
              </w:rPr>
              <w:t>5109</w:t>
            </w:r>
            <w:r>
              <w:rPr>
                <w:rFonts w:ascii="Arial" w:hAnsi="Arial"/>
                <w:b w:val="1"/>
                <w:color w:val="000000"/>
                <w:sz w:val="18"/>
              </w:rPr>
              <w:t>,</w:t>
            </w:r>
            <w:r>
              <w:rPr>
                <w:rFonts w:ascii="Arial" w:hAnsi="Arial"/>
                <w:b w:val="1"/>
                <w:color w:val="000000"/>
                <w:sz w:val="18"/>
              </w:rPr>
              <w:t>0</w:t>
            </w:r>
            <w:r>
              <w:rPr>
                <w:rFonts w:ascii="Arial" w:hAnsi="Arial"/>
                <w:b w:val="1"/>
                <w:color w:val="000000"/>
                <w:sz w:val="18"/>
              </w:rPr>
              <w:t xml:space="preserve"> </w:t>
            </w:r>
            <w:r>
              <w:rPr>
                <w:rFonts w:ascii="Arial" w:hAnsi="Arial"/>
                <w:b w:val="1"/>
                <w:color w:val="000000"/>
                <w:sz w:val="18"/>
              </w:rPr>
              <w:t>милион</w:t>
            </w:r>
            <w:r>
              <w:rPr>
                <w:rFonts w:ascii="Arial" w:hAnsi="Arial"/>
                <w:b w:val="1"/>
                <w:color w:val="000000"/>
                <w:sz w:val="18"/>
              </w:rPr>
              <w:t>a</w:t>
            </w:r>
            <w:r>
              <w:rPr>
                <w:rFonts w:ascii="Arial" w:hAnsi="Arial"/>
                <w:b w:val="1"/>
                <w:color w:val="000000"/>
                <w:sz w:val="18"/>
              </w:rPr>
              <w:t xml:space="preserve"> долара –</w:t>
            </w:r>
            <w:r>
              <w:rPr>
                <w:rFonts w:ascii="Arial" w:hAnsi="Arial"/>
                <w:b w:val="1"/>
                <w:color w:val="000000"/>
                <w:sz w:val="18"/>
              </w:rPr>
              <w:t xml:space="preserve"> п</w:t>
            </w:r>
            <w:r>
              <w:rPr>
                <w:rFonts w:ascii="Arial" w:hAnsi="Arial"/>
                <w:b w:val="1"/>
                <w:color w:val="000000"/>
                <w:sz w:val="18"/>
              </w:rPr>
              <w:t>ораст</w:t>
            </w:r>
            <w:r>
              <w:rPr>
                <w:rFonts w:ascii="Arial" w:hAnsi="Arial"/>
                <w:b w:val="1"/>
                <w:color w:val="000000"/>
                <w:sz w:val="18"/>
              </w:rPr>
              <w:t xml:space="preserve"> од </w:t>
            </w:r>
            <w:r>
              <w:rPr>
                <w:rFonts w:ascii="Arial" w:hAnsi="Arial"/>
                <w:b w:val="1"/>
                <w:color w:val="000000"/>
                <w:sz w:val="18"/>
              </w:rPr>
              <w:t xml:space="preserve"> </w:t>
            </w:r>
            <w:r>
              <w:rPr>
                <w:rFonts w:ascii="Arial" w:hAnsi="Arial"/>
                <w:b w:val="1"/>
                <w:color w:val="000000"/>
                <w:sz w:val="18"/>
              </w:rPr>
              <w:t>1</w:t>
            </w:r>
            <w:r>
              <w:rPr>
                <w:rFonts w:ascii="Arial" w:hAnsi="Arial"/>
                <w:b w:val="1"/>
                <w:color w:val="000000"/>
                <w:sz w:val="18"/>
              </w:rPr>
              <w:t>5</w:t>
            </w:r>
            <w:r>
              <w:rPr>
                <w:rFonts w:ascii="Arial" w:hAnsi="Arial"/>
                <w:b w:val="1"/>
                <w:color w:val="000000"/>
                <w:sz w:val="18"/>
              </w:rPr>
              <w:t>,</w:t>
            </w:r>
            <w:r>
              <w:rPr>
                <w:rFonts w:ascii="Arial" w:hAnsi="Arial"/>
                <w:b w:val="1"/>
                <w:color w:val="000000"/>
                <w:sz w:val="18"/>
              </w:rPr>
              <w:t>9</w:t>
            </w:r>
            <w:r>
              <w:rPr>
                <w:rFonts w:ascii="Arial" w:hAnsi="Arial"/>
                <w:b w:val="1"/>
                <w:color w:val="000000"/>
                <w:sz w:val="18"/>
              </w:rPr>
              <w:t>% у односу на исти период претходне године;</w:t>
            </w:r>
          </w:p>
          <w:p>
            <w:pPr>
              <w:ind w:firstLine="360"/>
              <w:jc w:val="both"/>
              <w:rPr>
                <w:rFonts w:ascii="Arial" w:hAnsi="Arial"/>
                <w:b w:val="1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– </w:t>
            </w:r>
            <w:r>
              <w:rPr>
                <w:rFonts w:ascii="Arial" w:hAnsi="Arial"/>
                <w:b w:val="1"/>
                <w:color w:val="000000"/>
                <w:sz w:val="18"/>
              </w:rPr>
              <w:t>3</w:t>
            </w:r>
            <w:r>
              <w:rPr>
                <w:rFonts w:ascii="Arial" w:hAnsi="Arial"/>
                <w:b w:val="1"/>
                <w:color w:val="000000"/>
                <w:sz w:val="18"/>
              </w:rPr>
              <w:t>8189</w:t>
            </w:r>
            <w:r>
              <w:rPr>
                <w:rFonts w:ascii="Arial" w:hAnsi="Arial"/>
                <w:b w:val="1"/>
                <w:color w:val="000000"/>
                <w:sz w:val="18"/>
              </w:rPr>
              <w:t>,</w:t>
            </w:r>
            <w:r>
              <w:rPr>
                <w:rFonts w:ascii="Arial" w:hAnsi="Arial"/>
                <w:b w:val="1"/>
                <w:color w:val="000000"/>
                <w:sz w:val="18"/>
              </w:rPr>
              <w:t>8</w:t>
            </w:r>
            <w:r>
              <w:rPr>
                <w:rFonts w:ascii="Arial" w:hAnsi="Arial"/>
                <w:b w:val="1"/>
                <w:color w:val="000000"/>
                <w:sz w:val="18"/>
              </w:rPr>
              <w:t xml:space="preserve"> </w:t>
            </w:r>
            <w:r>
              <w:rPr>
                <w:rFonts w:ascii="Arial" w:hAnsi="Arial"/>
                <w:b w:val="1"/>
                <w:color w:val="000000"/>
                <w:sz w:val="18"/>
              </w:rPr>
              <w:t>милиона евра –</w:t>
            </w:r>
            <w:r>
              <w:rPr>
                <w:rFonts w:ascii="Arial" w:hAnsi="Arial"/>
                <w:b w:val="1"/>
                <w:color w:val="000000"/>
                <w:sz w:val="18"/>
              </w:rPr>
              <w:t xml:space="preserve"> п</w:t>
            </w:r>
            <w:r>
              <w:rPr>
                <w:rFonts w:ascii="Arial" w:hAnsi="Arial"/>
                <w:b w:val="1"/>
                <w:color w:val="000000"/>
                <w:sz w:val="18"/>
              </w:rPr>
              <w:t>ораст</w:t>
            </w:r>
            <w:r>
              <w:rPr>
                <w:rFonts w:ascii="Arial" w:hAnsi="Arial"/>
                <w:b w:val="1"/>
                <w:color w:val="000000"/>
                <w:sz w:val="18"/>
              </w:rPr>
              <w:t xml:space="preserve"> од </w:t>
            </w:r>
            <w:r>
              <w:rPr>
                <w:rFonts w:ascii="Arial" w:hAnsi="Arial"/>
                <w:b w:val="1"/>
                <w:color w:val="000000"/>
                <w:sz w:val="18"/>
              </w:rPr>
              <w:t xml:space="preserve"> </w:t>
            </w:r>
            <w:r>
              <w:rPr>
                <w:rFonts w:ascii="Arial" w:hAnsi="Arial"/>
                <w:b w:val="1"/>
                <w:color w:val="000000"/>
                <w:sz w:val="18"/>
              </w:rPr>
              <w:t>1</w:t>
            </w:r>
            <w:r>
              <w:rPr>
                <w:rFonts w:ascii="Arial" w:hAnsi="Arial"/>
                <w:b w:val="1"/>
                <w:color w:val="000000"/>
                <w:sz w:val="18"/>
              </w:rPr>
              <w:t>0</w:t>
            </w:r>
            <w:r>
              <w:rPr>
                <w:rFonts w:ascii="Arial" w:hAnsi="Arial"/>
                <w:b w:val="1"/>
                <w:color w:val="000000"/>
                <w:sz w:val="18"/>
              </w:rPr>
              <w:t>,</w:t>
            </w:r>
            <w:r>
              <w:rPr>
                <w:rFonts w:ascii="Arial" w:hAnsi="Arial"/>
                <w:b w:val="1"/>
                <w:color w:val="000000"/>
                <w:sz w:val="18"/>
              </w:rPr>
              <w:t>9</w:t>
            </w:r>
            <w:r>
              <w:rPr>
                <w:rFonts w:ascii="Arial" w:hAnsi="Arial"/>
                <w:b w:val="1"/>
                <w:color w:val="000000"/>
                <w:sz w:val="18"/>
              </w:rPr>
              <w:t>% у односу на исти период претходне године.</w:t>
            </w:r>
          </w:p>
          <w:p>
            <w:pPr>
              <w:jc w:val="both"/>
              <w:rPr>
                <w:rFonts w:ascii="Arial" w:hAnsi="Arial"/>
                <w:b w:val="1"/>
                <w:color w:val="000000"/>
                <w:sz w:val="18"/>
              </w:rPr>
            </w:pPr>
          </w:p>
          <w:p>
            <w:pPr>
              <w:jc w:val="both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b w:val="1"/>
                <w:color w:val="000000"/>
                <w:sz w:val="18"/>
              </w:rPr>
              <w:t>Извезено</w:t>
            </w:r>
            <w:r>
              <w:rPr>
                <w:rFonts w:ascii="Arial" w:hAnsi="Arial"/>
                <w:color w:val="000000"/>
                <w:sz w:val="18"/>
              </w:rPr>
              <w:t xml:space="preserve"> је робе у вредности од </w:t>
            </w:r>
            <w:r>
              <w:rPr>
                <w:rFonts w:ascii="Arial" w:hAnsi="Arial"/>
                <w:b w:val="1"/>
                <w:color w:val="000000"/>
                <w:sz w:val="18"/>
              </w:rPr>
              <w:t>1</w:t>
            </w:r>
            <w:r>
              <w:rPr>
                <w:rFonts w:ascii="Arial" w:hAnsi="Arial"/>
                <w:b w:val="1"/>
                <w:color w:val="000000"/>
                <w:sz w:val="18"/>
              </w:rPr>
              <w:t>9226</w:t>
            </w:r>
            <w:r>
              <w:rPr>
                <w:rFonts w:ascii="Arial" w:hAnsi="Arial"/>
                <w:b w:val="1"/>
                <w:color w:val="000000"/>
                <w:sz w:val="18"/>
              </w:rPr>
              <w:t>,</w:t>
            </w:r>
            <w:r>
              <w:rPr>
                <w:rFonts w:ascii="Arial" w:hAnsi="Arial"/>
                <w:b w:val="1"/>
                <w:color w:val="000000"/>
                <w:sz w:val="18"/>
              </w:rPr>
              <w:t>5</w:t>
            </w:r>
            <w:r>
              <w:rPr>
                <w:rFonts w:ascii="Arial" w:hAnsi="Arial"/>
                <w:color w:val="000000"/>
                <w:sz w:val="18"/>
              </w:rPr>
              <w:t xml:space="preserve"> </w:t>
            </w:r>
            <w:r>
              <w:rPr>
                <w:rFonts w:ascii="Arial" w:hAnsi="Arial"/>
                <w:b w:val="1"/>
                <w:color w:val="000000"/>
                <w:sz w:val="18"/>
              </w:rPr>
              <w:t>мил</w:t>
            </w:r>
            <w:r>
              <w:rPr>
                <w:rFonts w:ascii="Arial" w:hAnsi="Arial"/>
                <w:b w:val="1"/>
                <w:color w:val="000000"/>
                <w:sz w:val="18"/>
              </w:rPr>
              <w:t>.</w:t>
            </w:r>
            <w:r>
              <w:rPr>
                <w:rFonts w:ascii="Arial" w:hAnsi="Arial"/>
                <w:b w:val="1"/>
                <w:color w:val="000000"/>
                <w:sz w:val="18"/>
              </w:rPr>
              <w:t xml:space="preserve"> долара</w:t>
            </w:r>
            <w:r>
              <w:rPr>
                <w:rFonts w:ascii="Arial" w:hAnsi="Arial"/>
                <w:color w:val="000000"/>
                <w:sz w:val="18"/>
              </w:rPr>
              <w:t xml:space="preserve">, што чини раст од 13,1% у односу на исти период претходне године, а </w:t>
            </w:r>
            <w:r>
              <w:rPr>
                <w:rFonts w:ascii="Arial" w:hAnsi="Arial"/>
                <w:b w:val="1"/>
                <w:color w:val="000000"/>
                <w:sz w:val="18"/>
              </w:rPr>
              <w:t xml:space="preserve">увезено </w:t>
            </w:r>
            <w:r>
              <w:rPr>
                <w:rFonts w:ascii="Arial" w:hAnsi="Arial"/>
                <w:b w:val="1"/>
                <w:color w:val="000000"/>
                <w:sz w:val="18"/>
              </w:rPr>
              <w:t>је робе</w:t>
            </w:r>
            <w:r>
              <w:rPr>
                <w:rFonts w:ascii="Arial" w:hAnsi="Arial"/>
                <w:color w:val="000000"/>
                <w:sz w:val="18"/>
              </w:rPr>
              <w:t xml:space="preserve"> у вредности од </w:t>
            </w:r>
            <w:r>
              <w:rPr>
                <w:rFonts w:ascii="Arial" w:hAnsi="Arial"/>
                <w:b w:val="1"/>
                <w:color w:val="000000"/>
                <w:sz w:val="18"/>
              </w:rPr>
              <w:t>2</w:t>
            </w:r>
            <w:r>
              <w:rPr>
                <w:rFonts w:ascii="Arial" w:hAnsi="Arial"/>
                <w:b w:val="1"/>
                <w:color w:val="000000"/>
                <w:sz w:val="18"/>
              </w:rPr>
              <w:t>5882</w:t>
            </w:r>
            <w:r>
              <w:rPr>
                <w:rFonts w:ascii="Arial" w:hAnsi="Arial"/>
                <w:b w:val="1"/>
                <w:color w:val="000000"/>
                <w:sz w:val="18"/>
              </w:rPr>
              <w:t>,</w:t>
            </w:r>
            <w:r>
              <w:rPr>
                <w:rFonts w:ascii="Arial" w:hAnsi="Arial"/>
                <w:b w:val="1"/>
                <w:color w:val="000000"/>
                <w:sz w:val="18"/>
              </w:rPr>
              <w:t>5</w:t>
            </w:r>
            <w:r>
              <w:rPr>
                <w:rFonts w:ascii="Arial" w:hAnsi="Arial"/>
                <w:b w:val="1"/>
                <w:color w:val="000000"/>
                <w:sz w:val="18"/>
              </w:rPr>
              <w:t xml:space="preserve"> мил.</w:t>
            </w:r>
            <w:r>
              <w:rPr>
                <w:rFonts w:ascii="Arial" w:hAnsi="Arial"/>
                <w:b w:val="1"/>
                <w:color w:val="000000"/>
                <w:sz w:val="18"/>
              </w:rPr>
              <w:t xml:space="preserve"> долара</w:t>
            </w:r>
            <w:r>
              <w:rPr>
                <w:rFonts w:ascii="Arial" w:hAnsi="Arial"/>
                <w:color w:val="000000"/>
                <w:sz w:val="18"/>
              </w:rPr>
              <w:t xml:space="preserve">, што је за 18,1% више него у истом периоду претходне године. </w:t>
            </w:r>
          </w:p>
          <w:p>
            <w:pPr>
              <w:jc w:val="both"/>
              <w:rPr>
                <w:rFonts w:ascii="Arial" w:hAnsi="Arial"/>
                <w:color w:val="000000"/>
                <w:sz w:val="18"/>
              </w:rPr>
            </w:pPr>
          </w:p>
          <w:p>
            <w:pPr>
              <w:pStyle w:val="P7"/>
              <w:spacing w:lineRule="auto" w:line="240"/>
              <w:jc w:val="both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b w:val="1"/>
                <w:color w:val="000000"/>
                <w:sz w:val="18"/>
              </w:rPr>
              <w:t>Извоз робе</w:t>
            </w:r>
            <w:r>
              <w:rPr>
                <w:rFonts w:ascii="Arial" w:hAnsi="Arial"/>
                <w:color w:val="000000"/>
                <w:sz w:val="18"/>
              </w:rPr>
              <w:t xml:space="preserve">, изражен у </w:t>
            </w:r>
            <w:r>
              <w:rPr>
                <w:rFonts w:ascii="Arial" w:hAnsi="Arial"/>
                <w:b w:val="1"/>
                <w:color w:val="000000"/>
                <w:sz w:val="18"/>
              </w:rPr>
              <w:t>еврима</w:t>
            </w:r>
            <w:r>
              <w:rPr>
                <w:rFonts w:ascii="Arial" w:hAnsi="Arial"/>
                <w:color w:val="000000"/>
                <w:sz w:val="18"/>
              </w:rPr>
              <w:t xml:space="preserve">, имао је вредност од </w:t>
            </w:r>
            <w:r>
              <w:rPr>
                <w:rFonts w:ascii="Arial" w:hAnsi="Arial"/>
                <w:b w:val="1"/>
                <w:color w:val="000000"/>
                <w:sz w:val="18"/>
              </w:rPr>
              <w:t>1</w:t>
            </w:r>
            <w:r>
              <w:rPr>
                <w:rFonts w:ascii="Arial" w:hAnsi="Arial"/>
                <w:b w:val="1"/>
                <w:color w:val="000000"/>
                <w:sz w:val="18"/>
              </w:rPr>
              <w:t>6271</w:t>
            </w:r>
            <w:r>
              <w:rPr>
                <w:rFonts w:ascii="Arial" w:hAnsi="Arial"/>
                <w:b w:val="1"/>
                <w:color w:val="000000"/>
                <w:sz w:val="18"/>
              </w:rPr>
              <w:t>,</w:t>
            </w:r>
            <w:r>
              <w:rPr>
                <w:rFonts w:ascii="Arial" w:hAnsi="Arial"/>
                <w:b w:val="1"/>
                <w:color w:val="000000"/>
                <w:sz w:val="18"/>
              </w:rPr>
              <w:t>4</w:t>
            </w:r>
            <w:r>
              <w:rPr>
                <w:rFonts w:ascii="Arial" w:hAnsi="Arial"/>
                <w:b w:val="1"/>
                <w:color w:val="000000"/>
                <w:sz w:val="18"/>
              </w:rPr>
              <w:t xml:space="preserve"> милион</w:t>
            </w:r>
            <w:r>
              <w:rPr>
                <w:rFonts w:ascii="Arial" w:hAnsi="Arial"/>
                <w:b w:val="1"/>
                <w:color w:val="000000"/>
                <w:sz w:val="18"/>
              </w:rPr>
              <w:t>а</w:t>
            </w:r>
            <w:r>
              <w:rPr>
                <w:rFonts w:ascii="Arial" w:hAnsi="Arial"/>
                <w:color w:val="000000"/>
                <w:sz w:val="18"/>
              </w:rPr>
              <w:t xml:space="preserve">, и то је повећање од 8,1% у поређењу са истим периодом претходне године. </w:t>
            </w:r>
            <w:r>
              <w:rPr>
                <w:rFonts w:ascii="Arial" w:hAnsi="Arial"/>
                <w:b w:val="1"/>
                <w:color w:val="000000"/>
                <w:sz w:val="18"/>
              </w:rPr>
              <w:t>Увоз робе</w:t>
            </w:r>
            <w:r>
              <w:rPr>
                <w:rFonts w:ascii="Arial" w:hAnsi="Arial"/>
                <w:color w:val="000000"/>
                <w:sz w:val="18"/>
              </w:rPr>
              <w:t xml:space="preserve"> имао је вредност од </w:t>
            </w:r>
            <w:r>
              <w:rPr>
                <w:rFonts w:ascii="Arial" w:hAnsi="Arial"/>
                <w:b w:val="1"/>
                <w:color w:val="000000"/>
                <w:sz w:val="18"/>
              </w:rPr>
              <w:t>2</w:t>
            </w:r>
            <w:r>
              <w:rPr>
                <w:rFonts w:ascii="Arial" w:hAnsi="Arial"/>
                <w:b w:val="1"/>
                <w:color w:val="000000"/>
                <w:sz w:val="18"/>
              </w:rPr>
              <w:t>1918</w:t>
            </w:r>
            <w:r>
              <w:rPr>
                <w:rFonts w:ascii="Arial" w:hAnsi="Arial"/>
                <w:b w:val="1"/>
                <w:color w:val="000000"/>
                <w:sz w:val="18"/>
              </w:rPr>
              <w:t>,</w:t>
            </w:r>
            <w:r>
              <w:rPr>
                <w:rFonts w:ascii="Arial" w:hAnsi="Arial"/>
                <w:b w:val="1"/>
                <w:color w:val="000000"/>
                <w:sz w:val="18"/>
              </w:rPr>
              <w:t>4</w:t>
            </w:r>
            <w:r>
              <w:rPr>
                <w:rFonts w:ascii="Arial" w:hAnsi="Arial"/>
                <w:b w:val="1"/>
                <w:color w:val="000000"/>
                <w:sz w:val="18"/>
              </w:rPr>
              <w:t xml:space="preserve"> милиона</w:t>
            </w:r>
            <w:r>
              <w:rPr>
                <w:rFonts w:ascii="Arial" w:hAnsi="Arial"/>
                <w:color w:val="000000"/>
                <w:sz w:val="18"/>
              </w:rPr>
              <w:t xml:space="preserve">, што представља повећање од 13,0% у односу на исти период прошле године. </w:t>
            </w:r>
          </w:p>
          <w:p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 xml:space="preserve">Дефицит </w:t>
            </w:r>
            <w:r>
              <w:rPr>
                <w:rFonts w:ascii="Arial" w:hAnsi="Arial"/>
                <w:sz w:val="18"/>
              </w:rPr>
              <w:t xml:space="preserve">износи </w:t>
            </w:r>
            <w:r>
              <w:rPr>
                <w:rFonts w:ascii="Arial" w:hAnsi="Arial"/>
                <w:b w:val="1"/>
                <w:sz w:val="18"/>
              </w:rPr>
              <w:t>6655</w:t>
            </w:r>
            <w:r>
              <w:rPr>
                <w:rFonts w:ascii="Arial" w:hAnsi="Arial"/>
                <w:b w:val="1"/>
                <w:sz w:val="18"/>
              </w:rPr>
              <w:t>,</w:t>
            </w:r>
            <w:r>
              <w:rPr>
                <w:rFonts w:ascii="Arial" w:hAnsi="Arial"/>
                <w:b w:val="1"/>
                <w:sz w:val="18"/>
              </w:rPr>
              <w:t>9</w:t>
            </w:r>
            <w:r>
              <w:rPr>
                <w:rFonts w:ascii="Arial" w:hAnsi="Arial"/>
                <w:b w:val="1"/>
                <w:sz w:val="18"/>
              </w:rPr>
              <w:t xml:space="preserve"> мил.</w:t>
            </w:r>
            <w:r>
              <w:rPr>
                <w:rFonts w:ascii="Arial" w:hAnsi="Arial"/>
                <w:b w:val="1"/>
                <w:sz w:val="18"/>
              </w:rPr>
              <w:t xml:space="preserve"> долара</w:t>
            </w:r>
            <w:r>
              <w:rPr>
                <w:rFonts w:ascii="Arial" w:hAnsi="Arial"/>
                <w:sz w:val="18"/>
              </w:rPr>
              <w:t xml:space="preserve">, што чини </w:t>
            </w:r>
            <w:r>
              <w:rPr>
                <w:rFonts w:ascii="Arial" w:hAnsi="Arial"/>
                <w:b w:val="1"/>
                <w:sz w:val="18"/>
              </w:rPr>
              <w:t>повећа</w:t>
            </w:r>
            <w:r>
              <w:rPr>
                <w:rFonts w:ascii="Arial" w:hAnsi="Arial"/>
                <w:b w:val="1"/>
                <w:sz w:val="18"/>
              </w:rPr>
              <w:t xml:space="preserve">ње од </w:t>
            </w:r>
            <w:r>
              <w:rPr>
                <w:rFonts w:ascii="Arial" w:hAnsi="Arial"/>
                <w:b w:val="1"/>
                <w:sz w:val="18"/>
              </w:rPr>
              <w:t>3</w:t>
            </w:r>
            <w:r>
              <w:rPr>
                <w:rFonts w:ascii="Arial" w:hAnsi="Arial"/>
                <w:b w:val="1"/>
                <w:sz w:val="18"/>
              </w:rPr>
              <w:t>5</w:t>
            </w:r>
            <w:r>
              <w:rPr>
                <w:rFonts w:ascii="Arial" w:hAnsi="Arial"/>
                <w:b w:val="1"/>
                <w:sz w:val="18"/>
              </w:rPr>
              <w:t>,</w:t>
            </w:r>
            <w:r>
              <w:rPr>
                <w:rFonts w:ascii="Arial" w:hAnsi="Arial"/>
                <w:b w:val="1"/>
                <w:sz w:val="18"/>
              </w:rPr>
              <w:t>2</w:t>
            </w:r>
            <w:r>
              <w:rPr>
                <w:rFonts w:ascii="Arial" w:hAnsi="Arial"/>
                <w:b w:val="1"/>
                <w:sz w:val="18"/>
              </w:rPr>
              <w:t>%</w:t>
            </w:r>
            <w:r>
              <w:rPr>
                <w:rFonts w:ascii="Arial" w:hAnsi="Arial"/>
                <w:sz w:val="18"/>
              </w:rPr>
              <w:t xml:space="preserve"> у односу на исти период претходне године. Изражен у еврима, дефицит износи 5647,0 милиона, што је повећање од 30,0% у поређењу са истим периодом претходне године.</w:t>
            </w:r>
          </w:p>
          <w:p>
            <w:pPr>
              <w:jc w:val="both"/>
              <w:rPr>
                <w:rFonts w:ascii="Arial" w:hAnsi="Arial"/>
                <w:b w:val="1"/>
                <w:color w:val="000000"/>
                <w:sz w:val="18"/>
              </w:rPr>
            </w:pPr>
          </w:p>
          <w:p>
            <w:pPr>
              <w:jc w:val="both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b w:val="1"/>
                <w:color w:val="000000"/>
                <w:sz w:val="18"/>
              </w:rPr>
              <w:t xml:space="preserve">Покривеност увоза извозом </w:t>
            </w:r>
            <w:r>
              <w:rPr>
                <w:rFonts w:ascii="Arial" w:hAnsi="Arial"/>
                <w:color w:val="000000"/>
                <w:sz w:val="18"/>
              </w:rPr>
              <w:t xml:space="preserve">је </w:t>
            </w:r>
            <w:r>
              <w:rPr>
                <w:rFonts w:ascii="Arial" w:hAnsi="Arial"/>
                <w:b w:val="1"/>
                <w:color w:val="000000"/>
                <w:sz w:val="18"/>
              </w:rPr>
              <w:t>7</w:t>
            </w:r>
            <w:r>
              <w:rPr>
                <w:rFonts w:ascii="Arial" w:hAnsi="Arial"/>
                <w:b w:val="1"/>
                <w:color w:val="000000"/>
                <w:sz w:val="18"/>
              </w:rPr>
              <w:t>4</w:t>
            </w:r>
            <w:r>
              <w:rPr>
                <w:rFonts w:ascii="Arial" w:hAnsi="Arial"/>
                <w:b w:val="1"/>
                <w:color w:val="000000"/>
                <w:sz w:val="18"/>
              </w:rPr>
              <w:t>,</w:t>
            </w:r>
            <w:r>
              <w:rPr>
                <w:rFonts w:ascii="Arial" w:hAnsi="Arial"/>
                <w:b w:val="1"/>
                <w:color w:val="000000"/>
                <w:sz w:val="18"/>
              </w:rPr>
              <w:t>3</w:t>
            </w:r>
            <w:r>
              <w:rPr>
                <w:rFonts w:ascii="Arial" w:hAnsi="Arial"/>
                <w:b w:val="1"/>
                <w:color w:val="000000"/>
                <w:sz w:val="18"/>
              </w:rPr>
              <w:t>%</w:t>
            </w:r>
            <w:r>
              <w:rPr>
                <w:rFonts w:ascii="Arial" w:hAnsi="Arial"/>
                <w:color w:val="000000"/>
                <w:sz w:val="18"/>
              </w:rPr>
              <w:t xml:space="preserve"> и мања је од покривености у истом периоду претходне године, када је износила 77,5%.</w:t>
            </w:r>
          </w:p>
          <w:p>
            <w:pPr>
              <w:jc w:val="both"/>
              <w:rPr>
                <w:rFonts w:ascii="Arial" w:hAnsi="Arial"/>
                <w:color w:val="0070C0"/>
                <w:sz w:val="18"/>
              </w:rPr>
            </w:pPr>
          </w:p>
          <w:p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Посматрано регионално, највеће учешће у извозу Србије имао је Регион Војводине (34,7%); следи Београдски регион (26,7%), Регион Шумадије и Западне Србије (22,6%), Регион Јужне и Источне Србије (15,9%), а око 0,1% извоза је неразврстано по територијама. </w:t>
            </w:r>
          </w:p>
          <w:p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Највеће учешће у увозу Србије имао је Београдски регион (46,1%); следе Регион Војводине (29,4%), Регион Шумадије и Западне Србије (14,7%), Регион Јужне и Источне Србије (9,2%), а око 0,5% увоза није разврстано по територијама. Не располаже се  подацима за Регион Косово и Метохија. </w:t>
            </w:r>
          </w:p>
          <w:p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Извоз и увоз по регионима дат је </w:t>
            </w:r>
            <w:r>
              <w:rPr>
                <w:rFonts w:ascii="Arial" w:hAnsi="Arial"/>
                <w:b w:val="1"/>
                <w:sz w:val="18"/>
              </w:rPr>
              <w:t>према седишту власника робе у моменту прихватања царинске декларације</w:t>
            </w:r>
            <w:r>
              <w:rPr>
                <w:rFonts w:ascii="Arial" w:hAnsi="Arial"/>
                <w:sz w:val="18"/>
              </w:rPr>
              <w:t xml:space="preserve">. То значи да власници робе, по царинском закону, могу бити произвођачи, корисници, извозници или увозници робе. Ову чињеницу треба имати у виду приликом тумачења података по регионима. На пример, увоз нафте и гаса највећим делом се обухвата у Региону Војводине и Београдском региону, а то су енергенти за укупну територију Србије. </w:t>
            </w:r>
          </w:p>
          <w:p>
            <w:pPr>
              <w:jc w:val="both"/>
              <w:rPr>
                <w:rFonts w:ascii="Arial" w:hAnsi="Arial"/>
                <w:color w:val="0070C0"/>
                <w:sz w:val="18"/>
              </w:rPr>
            </w:pPr>
          </w:p>
          <w:p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У </w:t>
            </w:r>
            <w:r>
              <w:rPr>
                <w:rFonts w:ascii="Arial" w:hAnsi="Arial"/>
                <w:b w:val="1"/>
                <w:sz w:val="18"/>
              </w:rPr>
              <w:t>структури извоза по намени производа</w:t>
            </w:r>
            <w:r>
              <w:rPr>
                <w:rFonts w:ascii="Arial" w:hAnsi="Arial"/>
                <w:sz w:val="18"/>
              </w:rPr>
              <w:t xml:space="preserve"> (принцип претежности) највише су заступљени производи за репродукцију, 58,4%</w:t>
            </w:r>
            <w:r>
              <w:rPr>
                <w:rFonts w:ascii="Arial" w:hAnsi="Arial"/>
                <w:i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(11221,3 мил. долара), следе роба за широку потрошњу, 30,4% (5839,5) и опрема, 11,3% (2164,7). Некласификована роба по намени износи 0,0% (1,0 мил. долара). </w:t>
            </w:r>
          </w:p>
          <w:p>
            <w:pPr>
              <w:jc w:val="both"/>
              <w:rPr>
                <w:rFonts w:ascii="Arial" w:hAnsi="Arial"/>
                <w:sz w:val="18"/>
              </w:rPr>
            </w:pPr>
          </w:p>
          <w:p>
            <w:pPr>
              <w:pStyle w:val="P6"/>
              <w:ind w:left="0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У </w:t>
            </w:r>
            <w:r>
              <w:rPr>
                <w:rFonts w:ascii="Arial" w:hAnsi="Arial"/>
                <w:b w:val="1"/>
                <w:sz w:val="18"/>
              </w:rPr>
              <w:t>структури увоза по намени производа</w:t>
            </w:r>
            <w:r>
              <w:rPr>
                <w:rFonts w:ascii="Arial" w:hAnsi="Arial"/>
                <w:sz w:val="18"/>
              </w:rPr>
              <w:t xml:space="preserve"> највише су заступљени производи за репродукцију, 56,9% (14726,1 мил. долара), следе роба за широку потрошњу, 18,6% (4815,6), и опрема, 12,7% (3295,9). Некласификована роба по намени износи 11,8% (3045,0 мил. долара).</w:t>
            </w:r>
          </w:p>
          <w:p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Спољнотрговинска робна размена била је највећа са земљама са којима Србија има потписане споразуме о слободној трговини. Земље чланице Европске уније чине 63,2% укупне размене. </w:t>
            </w:r>
          </w:p>
          <w:p>
            <w:pPr>
              <w:jc w:val="both"/>
              <w:rPr>
                <w:rFonts w:ascii="Arial" w:hAnsi="Arial"/>
                <w:b w:val="1"/>
                <w:color w:val="0070C0"/>
                <w:sz w:val="18"/>
              </w:rPr>
            </w:pPr>
          </w:p>
          <w:p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Г</w:t>
            </w:r>
            <w:r>
              <w:rPr>
                <w:rFonts w:ascii="Arial" w:hAnsi="Arial"/>
                <w:b w:val="1"/>
                <w:sz w:val="18"/>
              </w:rPr>
              <w:t>лавни спољнотрговински партнери</w:t>
            </w:r>
            <w:r>
              <w:rPr>
                <w:rFonts w:ascii="Arial" w:hAnsi="Arial"/>
                <w:sz w:val="18"/>
              </w:rPr>
              <w:t>,</w:t>
            </w:r>
            <w:r>
              <w:rPr>
                <w:rFonts w:ascii="Arial" w:hAnsi="Arial"/>
                <w:b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појединачно, били су: </w:t>
            </w:r>
          </w:p>
          <w:p>
            <w:pPr>
              <w:jc w:val="both"/>
              <w:rPr>
                <w:rFonts w:ascii="Arial" w:hAnsi="Arial"/>
                <w:sz w:val="18"/>
                <w:highlight w:val="yellow"/>
              </w:rPr>
            </w:pPr>
          </w:p>
          <w:tbl>
            <w:tblPr>
              <w:tblStyle w:val="T2"/>
              <w:tblW w:w="9736" w:type="dxa"/>
              <w:tblLayout w:type="autofit"/>
            </w:tblPr>
            <w:tblGrid/>
            <w:tr>
              <w:trPr>
                <w:wAfter w:w="0" w:type="dxa"/>
                <w:trHeight w:hRule="atLeast" w:val="322"/>
              </w:trPr>
              <w:tc>
                <w:tcPr>
                  <w:tcW w:w="2635" w:type="dxa"/>
                  <w:tcBorders>
                    <w:top w:val="single" w:sz="4" w:space="0" w:shadow="0" w:frame="0"/>
                    <w:left w:val="single" w:sz="4" w:space="0" w:shadow="0" w:frame="0"/>
                    <w:bottom w:val="single" w:sz="4" w:space="0" w:shadow="0" w:frame="0"/>
                    <w:right w:val="single" w:sz="4" w:space="0" w:shadow="0" w:frame="0"/>
                  </w:tcBorders>
                  <w:vAlign w:val="center"/>
                </w:tcPr>
                <w:p>
                  <w:pPr>
                    <w:jc w:val="center"/>
                    <w:rPr>
                      <w:rFonts w:ascii="Arial" w:hAnsi="Arial"/>
                      <w:b w:val="1"/>
                    </w:rPr>
                  </w:pPr>
                  <w:r>
                    <w:rPr>
                      <w:rFonts w:ascii="Arial" w:hAnsi="Arial"/>
                      <w:b w:val="1"/>
                    </w:rPr>
                    <w:t>Извоз</w:t>
                  </w:r>
                </w:p>
              </w:tc>
              <w:tc>
                <w:tcPr>
                  <w:tcW w:w="1217" w:type="dxa"/>
                  <w:tcBorders>
                    <w:top w:val="single" w:sz="4" w:space="0" w:shadow="0" w:frame="0"/>
                    <w:left w:val="none" w:sz="0" w:space="0" w:shadow="0" w:frame="0"/>
                    <w:bottom w:val="single" w:sz="4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мил. USD</w:t>
                  </w:r>
                </w:p>
              </w:tc>
              <w:tc>
                <w:tcPr>
                  <w:tcW w:w="1216" w:type="dxa"/>
                  <w:tcBorders>
                    <w:top w:val="single" w:sz="4" w:space="0" w:shadow="0" w:frame="0"/>
                    <w:left w:val="none" w:sz="0" w:space="0" w:shadow="0" w:frame="0"/>
                    <w:bottom w:val="single" w:sz="4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мил. EUR</w:t>
                  </w:r>
                </w:p>
              </w:tc>
              <w:tc>
                <w:tcPr>
                  <w:tcW w:w="2236" w:type="dxa"/>
                  <w:tcBorders>
                    <w:top w:val="single" w:sz="4" w:space="0" w:shadow="0" w:frame="0"/>
                    <w:left w:val="none" w:sz="0" w:space="0" w:shadow="0" w:frame="0"/>
                    <w:bottom w:val="single" w:sz="4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jc w:val="center"/>
                    <w:rPr>
                      <w:rFonts w:ascii="Arial" w:hAnsi="Arial"/>
                      <w:b w:val="1"/>
                    </w:rPr>
                  </w:pPr>
                  <w:r>
                    <w:rPr>
                      <w:rFonts w:ascii="Arial" w:hAnsi="Arial"/>
                      <w:b w:val="1"/>
                    </w:rPr>
                    <w:t>Увоз</w:t>
                  </w:r>
                </w:p>
              </w:tc>
              <w:tc>
                <w:tcPr>
                  <w:tcW w:w="1216" w:type="dxa"/>
                  <w:tcBorders>
                    <w:top w:val="single" w:sz="4" w:space="0" w:shadow="0" w:frame="0"/>
                    <w:left w:val="none" w:sz="0" w:space="0" w:shadow="0" w:frame="0"/>
                    <w:bottom w:val="single" w:sz="4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мил. USD</w:t>
                  </w:r>
                </w:p>
              </w:tc>
              <w:tc>
                <w:tcPr>
                  <w:tcW w:w="1216" w:type="dxa"/>
                  <w:tcBorders>
                    <w:top w:val="single" w:sz="4" w:space="0" w:shadow="0" w:frame="0"/>
                    <w:left w:val="none" w:sz="0" w:space="0" w:shadow="0" w:frame="0"/>
                    <w:bottom w:val="single" w:sz="4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мил. EUR</w:t>
                  </w:r>
                </w:p>
              </w:tc>
            </w:tr>
            <w:tr>
              <w:trPr>
                <w:wAfter w:w="0" w:type="dxa"/>
                <w:trHeight w:hRule="atLeast" w:val="261"/>
              </w:trPr>
              <w:tc>
                <w:tcPr>
                  <w:tcW w:w="2635" w:type="dxa"/>
                  <w:tcBorders>
                    <w:top w:val="none" w:sz="0" w:space="0" w:shadow="0" w:frame="0"/>
                    <w:left w:val="none" w:sz="0" w:space="0" w:shadow="0" w:frame="0"/>
                    <w:bottom w:val="none" w:sz="0" w:space="0" w:shadow="0" w:frame="0"/>
                    <w:right w:val="none" w:sz="0" w:space="0" w:shadow="0" w:frame="0"/>
                  </w:tcBorders>
                  <w:vAlign w:val="bottom"/>
                </w:tcPr>
                <w:p>
                  <w:pPr>
                    <w:rPr>
                      <w:rFonts w:ascii="Arial" w:hAnsi="Arial"/>
                      <w:sz w:val="16"/>
                    </w:rPr>
                  </w:pPr>
                </w:p>
              </w:tc>
              <w:tc>
                <w:tcPr>
                  <w:tcW w:w="1217" w:type="dxa"/>
                  <w:tcBorders>
                    <w:top w:val="none" w:sz="0" w:space="0" w:shadow="0" w:frame="0"/>
                    <w:left w:val="none" w:sz="0" w:space="0" w:shadow="0" w:frame="0"/>
                    <w:bottom w:val="none" w:sz="0" w:space="0" w:shadow="0" w:frame="0"/>
                    <w:right w:val="none" w:sz="0" w:space="0" w:shadow="0" w:frame="0"/>
                  </w:tcBorders>
                  <w:vAlign w:val="bottom"/>
                </w:tcPr>
                <w:p>
                  <w:pPr>
                    <w:rPr>
                      <w:sz w:val="20"/>
                    </w:rPr>
                  </w:pPr>
                </w:p>
              </w:tc>
              <w:tc>
                <w:tcPr>
                  <w:tcW w:w="1216" w:type="dxa"/>
                  <w:tcBorders>
                    <w:top w:val="none" w:sz="0" w:space="0" w:shadow="0" w:frame="0"/>
                    <w:left w:val="none" w:sz="0" w:space="0" w:shadow="0" w:frame="0"/>
                    <w:bottom w:val="none" w:sz="0" w:space="0" w:shadow="0" w:frame="0"/>
                    <w:right w:val="none" w:sz="0" w:space="0" w:shadow="0" w:frame="0"/>
                  </w:tcBorders>
                  <w:vAlign w:val="bottom"/>
                </w:tcPr>
                <w:p>
                  <w:pPr>
                    <w:jc w:val="right"/>
                    <w:rPr>
                      <w:sz w:val="20"/>
                    </w:rPr>
                  </w:pPr>
                </w:p>
              </w:tc>
              <w:tc>
                <w:tcPr>
                  <w:tcW w:w="2236" w:type="dxa"/>
                  <w:tcBorders>
                    <w:top w:val="none" w:sz="0" w:space="0" w:shadow="0" w:frame="0"/>
                    <w:left w:val="none" w:sz="0" w:space="0" w:shadow="0" w:frame="0"/>
                    <w:bottom w:val="none" w:sz="0" w:space="0" w:shadow="0" w:frame="0"/>
                    <w:right w:val="none" w:sz="0" w:space="0" w:shadow="0" w:frame="0"/>
                  </w:tcBorders>
                  <w:vAlign w:val="bottom"/>
                </w:tcPr>
                <w:p>
                  <w:pPr>
                    <w:jc w:val="right"/>
                    <w:rPr>
                      <w:sz w:val="20"/>
                    </w:rPr>
                  </w:pPr>
                </w:p>
              </w:tc>
              <w:tc>
                <w:tcPr>
                  <w:tcW w:w="1216" w:type="dxa"/>
                  <w:tcBorders>
                    <w:top w:val="none" w:sz="0" w:space="0" w:shadow="0" w:frame="0"/>
                    <w:left w:val="none" w:sz="0" w:space="0" w:shadow="0" w:frame="0"/>
                    <w:bottom w:val="none" w:sz="0" w:space="0" w:shadow="0" w:frame="0"/>
                    <w:right w:val="none" w:sz="0" w:space="0" w:shadow="0" w:frame="0"/>
                  </w:tcBorders>
                  <w:vAlign w:val="bottom"/>
                </w:tcPr>
                <w:p>
                  <w:pPr>
                    <w:rPr>
                      <w:sz w:val="20"/>
                    </w:rPr>
                  </w:pPr>
                </w:p>
              </w:tc>
              <w:tc>
                <w:tcPr>
                  <w:tcW w:w="1216" w:type="dxa"/>
                  <w:tcBorders>
                    <w:top w:val="none" w:sz="0" w:space="0" w:shadow="0" w:frame="0"/>
                    <w:left w:val="none" w:sz="0" w:space="0" w:shadow="0" w:frame="0"/>
                    <w:bottom w:val="none" w:sz="0" w:space="0" w:shadow="0" w:frame="0"/>
                    <w:right w:val="none" w:sz="0" w:space="0" w:shadow="0" w:frame="0"/>
                  </w:tcBorders>
                  <w:vAlign w:val="bottom"/>
                </w:tcPr>
                <w:p>
                  <w:pPr>
                    <w:jc w:val="right"/>
                    <w:rPr>
                      <w:sz w:val="20"/>
                    </w:rPr>
                  </w:pPr>
                </w:p>
              </w:tc>
            </w:tr>
            <w:tr>
              <w:trPr>
                <w:wAfter w:w="0" w:type="dxa"/>
                <w:trHeight w:hRule="atLeast" w:val="261"/>
              </w:trPr>
              <w:tc>
                <w:tcPr>
                  <w:tcW w:w="2635" w:type="dxa"/>
                  <w:tcBorders>
                    <w:top w:val="none" w:sz="0" w:space="0" w:shadow="0" w:frame="0"/>
                    <w:left w:val="single" w:sz="4" w:space="0" w:shadow="0" w:frame="0"/>
                    <w:bottom w:val="none" w:sz="0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 xml:space="preserve">Италија                    </w:t>
                  </w:r>
                </w:p>
              </w:tc>
              <w:tc>
                <w:tcPr>
                  <w:tcW w:w="1217" w:type="dxa"/>
                  <w:tcBorders>
                    <w:top w:val="none" w:sz="0" w:space="0" w:shadow="0" w:frame="0"/>
                    <w:left w:val="none" w:sz="0" w:space="0" w:shadow="0" w:frame="0"/>
                    <w:bottom w:val="none" w:sz="0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jc w:val="right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2356.4</w:t>
                  </w:r>
                </w:p>
              </w:tc>
              <w:tc>
                <w:tcPr>
                  <w:tcW w:w="1216" w:type="dxa"/>
                  <w:tcBorders>
                    <w:top w:val="none" w:sz="0" w:space="0" w:shadow="0" w:frame="0"/>
                    <w:left w:val="none" w:sz="0" w:space="0" w:shadow="0" w:frame="0"/>
                    <w:bottom w:val="none" w:sz="0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jc w:val="right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1986.5</w:t>
                  </w:r>
                </w:p>
              </w:tc>
              <w:tc>
                <w:tcPr>
                  <w:tcW w:w="2236" w:type="dxa"/>
                  <w:tcBorders>
                    <w:top w:val="none" w:sz="0" w:space="0" w:shadow="0" w:frame="0"/>
                    <w:left w:val="none" w:sz="0" w:space="0" w:shadow="0" w:frame="0"/>
                    <w:bottom w:val="none" w:sz="0" w:space="0" w:shadow="0" w:frame="0"/>
                    <w:right w:val="none" w:sz="0" w:space="0" w:shadow="0" w:frame="0"/>
                  </w:tcBorders>
                  <w:vAlign w:val="bottom"/>
                </w:tcPr>
                <w:p>
                  <w:pPr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 xml:space="preserve">Немачка                    </w:t>
                  </w:r>
                </w:p>
              </w:tc>
              <w:tc>
                <w:tcPr>
                  <w:tcW w:w="1216" w:type="dxa"/>
                  <w:tcBorders>
                    <w:top w:val="none" w:sz="0" w:space="0" w:shadow="0" w:frame="0"/>
                    <w:left w:val="single" w:sz="4" w:space="0" w:shadow="0" w:frame="0"/>
                    <w:bottom w:val="none" w:sz="0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jc w:val="right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3474.4</w:t>
                  </w:r>
                </w:p>
              </w:tc>
              <w:tc>
                <w:tcPr>
                  <w:tcW w:w="1216" w:type="dxa"/>
                  <w:tcBorders>
                    <w:top w:val="none" w:sz="0" w:space="0" w:shadow="0" w:frame="0"/>
                    <w:left w:val="none" w:sz="0" w:space="0" w:shadow="0" w:frame="0"/>
                    <w:bottom w:val="none" w:sz="0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jc w:val="right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2942.2</w:t>
                  </w:r>
                </w:p>
              </w:tc>
            </w:tr>
            <w:tr>
              <w:trPr>
                <w:wAfter w:w="0" w:type="dxa"/>
                <w:trHeight w:hRule="atLeast" w:val="261"/>
              </w:trPr>
              <w:tc>
                <w:tcPr>
                  <w:tcW w:w="2635" w:type="dxa"/>
                  <w:tcBorders>
                    <w:top w:val="none" w:sz="0" w:space="0" w:shadow="0" w:frame="0"/>
                    <w:left w:val="single" w:sz="4" w:space="0" w:shadow="0" w:frame="0"/>
                    <w:bottom w:val="none" w:sz="0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 xml:space="preserve">Немачка                    </w:t>
                  </w:r>
                </w:p>
              </w:tc>
              <w:tc>
                <w:tcPr>
                  <w:tcW w:w="1217" w:type="dxa"/>
                  <w:tcBorders>
                    <w:top w:val="none" w:sz="0" w:space="0" w:shadow="0" w:frame="0"/>
                    <w:left w:val="none" w:sz="0" w:space="0" w:shadow="0" w:frame="0"/>
                    <w:bottom w:val="none" w:sz="0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jc w:val="right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2296.9</w:t>
                  </w:r>
                </w:p>
              </w:tc>
              <w:tc>
                <w:tcPr>
                  <w:tcW w:w="1216" w:type="dxa"/>
                  <w:tcBorders>
                    <w:top w:val="none" w:sz="0" w:space="0" w:shadow="0" w:frame="0"/>
                    <w:left w:val="none" w:sz="0" w:space="0" w:shadow="0" w:frame="0"/>
                    <w:bottom w:val="none" w:sz="0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jc w:val="right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1942.2</w:t>
                  </w:r>
                </w:p>
              </w:tc>
              <w:tc>
                <w:tcPr>
                  <w:tcW w:w="2236" w:type="dxa"/>
                  <w:tcBorders>
                    <w:top w:val="none" w:sz="0" w:space="0" w:shadow="0" w:frame="0"/>
                    <w:left w:val="none" w:sz="0" w:space="0" w:shadow="0" w:frame="0"/>
                    <w:bottom w:val="none" w:sz="0" w:space="0" w:shadow="0" w:frame="0"/>
                    <w:right w:val="none" w:sz="0" w:space="0" w:shadow="0" w:frame="0"/>
                  </w:tcBorders>
                  <w:vAlign w:val="bottom"/>
                </w:tcPr>
                <w:p>
                  <w:pPr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 xml:space="preserve">Италија                    </w:t>
                  </w:r>
                </w:p>
              </w:tc>
              <w:tc>
                <w:tcPr>
                  <w:tcW w:w="1216" w:type="dxa"/>
                  <w:tcBorders>
                    <w:top w:val="none" w:sz="0" w:space="0" w:shadow="0" w:frame="0"/>
                    <w:left w:val="single" w:sz="4" w:space="0" w:shadow="0" w:frame="0"/>
                    <w:bottom w:val="none" w:sz="0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jc w:val="right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2422.6</w:t>
                  </w:r>
                </w:p>
              </w:tc>
              <w:tc>
                <w:tcPr>
                  <w:tcW w:w="1216" w:type="dxa"/>
                  <w:tcBorders>
                    <w:top w:val="none" w:sz="0" w:space="0" w:shadow="0" w:frame="0"/>
                    <w:left w:val="none" w:sz="0" w:space="0" w:shadow="0" w:frame="0"/>
                    <w:bottom w:val="none" w:sz="0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jc w:val="right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2047.9</w:t>
                  </w:r>
                </w:p>
              </w:tc>
            </w:tr>
            <w:tr>
              <w:trPr>
                <w:wAfter w:w="0" w:type="dxa"/>
                <w:trHeight w:hRule="atLeast" w:val="261"/>
              </w:trPr>
              <w:tc>
                <w:tcPr>
                  <w:tcW w:w="2635" w:type="dxa"/>
                  <w:tcBorders>
                    <w:top w:val="none" w:sz="0" w:space="0" w:shadow="0" w:frame="0"/>
                    <w:left w:val="single" w:sz="4" w:space="0" w:shadow="0" w:frame="0"/>
                    <w:bottom w:val="none" w:sz="0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 xml:space="preserve">Босна и Херцеговина        </w:t>
                  </w:r>
                </w:p>
              </w:tc>
              <w:tc>
                <w:tcPr>
                  <w:tcW w:w="1217" w:type="dxa"/>
                  <w:tcBorders>
                    <w:top w:val="none" w:sz="0" w:space="0" w:shadow="0" w:frame="0"/>
                    <w:left w:val="none" w:sz="0" w:space="0" w:shadow="0" w:frame="0"/>
                    <w:bottom w:val="none" w:sz="0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jc w:val="right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1527.9</w:t>
                  </w:r>
                </w:p>
              </w:tc>
              <w:tc>
                <w:tcPr>
                  <w:tcW w:w="1216" w:type="dxa"/>
                  <w:tcBorders>
                    <w:top w:val="none" w:sz="0" w:space="0" w:shadow="0" w:frame="0"/>
                    <w:left w:val="none" w:sz="0" w:space="0" w:shadow="0" w:frame="0"/>
                    <w:bottom w:val="none" w:sz="0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jc w:val="right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1293.5</w:t>
                  </w:r>
                </w:p>
              </w:tc>
              <w:tc>
                <w:tcPr>
                  <w:tcW w:w="2236" w:type="dxa"/>
                  <w:tcBorders>
                    <w:top w:val="none" w:sz="0" w:space="0" w:shadow="0" w:frame="0"/>
                    <w:left w:val="none" w:sz="0" w:space="0" w:shadow="0" w:frame="0"/>
                    <w:bottom w:val="none" w:sz="0" w:space="0" w:shadow="0" w:frame="0"/>
                    <w:right w:val="none" w:sz="0" w:space="0" w:shadow="0" w:frame="0"/>
                  </w:tcBorders>
                  <w:vAlign w:val="bottom"/>
                </w:tcPr>
                <w:p>
                  <w:pPr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 xml:space="preserve">Кина                       </w:t>
                  </w:r>
                </w:p>
              </w:tc>
              <w:tc>
                <w:tcPr>
                  <w:tcW w:w="1216" w:type="dxa"/>
                  <w:tcBorders>
                    <w:top w:val="none" w:sz="0" w:space="0" w:shadow="0" w:frame="0"/>
                    <w:left w:val="single" w:sz="4" w:space="0" w:shadow="0" w:frame="0"/>
                    <w:bottom w:val="none" w:sz="0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jc w:val="right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2167.5</w:t>
                  </w:r>
                </w:p>
              </w:tc>
              <w:tc>
                <w:tcPr>
                  <w:tcW w:w="1216" w:type="dxa"/>
                  <w:tcBorders>
                    <w:top w:val="none" w:sz="0" w:space="0" w:shadow="0" w:frame="0"/>
                    <w:left w:val="none" w:sz="0" w:space="0" w:shadow="0" w:frame="0"/>
                    <w:bottom w:val="none" w:sz="0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jc w:val="right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1836.5</w:t>
                  </w:r>
                </w:p>
              </w:tc>
            </w:tr>
            <w:tr>
              <w:trPr>
                <w:wAfter w:w="0" w:type="dxa"/>
                <w:trHeight w:hRule="atLeast" w:val="261"/>
              </w:trPr>
              <w:tc>
                <w:tcPr>
                  <w:tcW w:w="2635" w:type="dxa"/>
                  <w:tcBorders>
                    <w:top w:val="none" w:sz="0" w:space="0" w:shadow="0" w:frame="0"/>
                    <w:left w:val="single" w:sz="4" w:space="0" w:shadow="0" w:frame="0"/>
                    <w:bottom w:val="none" w:sz="0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 xml:space="preserve">Румунија                   </w:t>
                  </w:r>
                </w:p>
              </w:tc>
              <w:tc>
                <w:tcPr>
                  <w:tcW w:w="1217" w:type="dxa"/>
                  <w:tcBorders>
                    <w:top w:val="none" w:sz="0" w:space="0" w:shadow="0" w:frame="0"/>
                    <w:left w:val="none" w:sz="0" w:space="0" w:shadow="0" w:frame="0"/>
                    <w:bottom w:val="none" w:sz="0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jc w:val="right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1140.6</w:t>
                  </w:r>
                </w:p>
              </w:tc>
              <w:tc>
                <w:tcPr>
                  <w:tcW w:w="1216" w:type="dxa"/>
                  <w:tcBorders>
                    <w:top w:val="none" w:sz="0" w:space="0" w:shadow="0" w:frame="0"/>
                    <w:left w:val="none" w:sz="0" w:space="0" w:shadow="0" w:frame="0"/>
                    <w:bottom w:val="none" w:sz="0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jc w:val="right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968.9</w:t>
                  </w:r>
                </w:p>
              </w:tc>
              <w:tc>
                <w:tcPr>
                  <w:tcW w:w="2236" w:type="dxa"/>
                  <w:tcBorders>
                    <w:top w:val="none" w:sz="0" w:space="0" w:shadow="0" w:frame="0"/>
                    <w:left w:val="none" w:sz="0" w:space="0" w:shadow="0" w:frame="0"/>
                    <w:bottom w:val="none" w:sz="0" w:space="0" w:shadow="0" w:frame="0"/>
                    <w:right w:val="none" w:sz="0" w:space="0" w:shadow="0" w:frame="0"/>
                  </w:tcBorders>
                  <w:vAlign w:val="bottom"/>
                </w:tcPr>
                <w:p>
                  <w:pPr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 xml:space="preserve">Руска федерација           </w:t>
                  </w:r>
                </w:p>
              </w:tc>
              <w:tc>
                <w:tcPr>
                  <w:tcW w:w="1216" w:type="dxa"/>
                  <w:tcBorders>
                    <w:top w:val="none" w:sz="0" w:space="0" w:shadow="0" w:frame="0"/>
                    <w:left w:val="single" w:sz="4" w:space="0" w:shadow="0" w:frame="0"/>
                    <w:bottom w:val="none" w:sz="0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jc w:val="right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2037.1</w:t>
                  </w:r>
                </w:p>
              </w:tc>
              <w:tc>
                <w:tcPr>
                  <w:tcW w:w="1216" w:type="dxa"/>
                  <w:tcBorders>
                    <w:top w:val="none" w:sz="0" w:space="0" w:shadow="0" w:frame="0"/>
                    <w:left w:val="none" w:sz="0" w:space="0" w:shadow="0" w:frame="0"/>
                    <w:bottom w:val="none" w:sz="0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jc w:val="right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1726.0</w:t>
                  </w:r>
                </w:p>
              </w:tc>
            </w:tr>
            <w:tr>
              <w:trPr>
                <w:wAfter w:w="0" w:type="dxa"/>
                <w:trHeight w:hRule="atLeast" w:val="261"/>
              </w:trPr>
              <w:tc>
                <w:tcPr>
                  <w:tcW w:w="2635" w:type="dxa"/>
                  <w:tcBorders>
                    <w:top w:val="none" w:sz="0" w:space="0" w:shadow="0" w:frame="0"/>
                    <w:left w:val="single" w:sz="4" w:space="0" w:shadow="0" w:frame="0"/>
                    <w:bottom w:val="none" w:sz="0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 xml:space="preserve">Руска федерација           </w:t>
                  </w:r>
                </w:p>
              </w:tc>
              <w:tc>
                <w:tcPr>
                  <w:tcW w:w="1217" w:type="dxa"/>
                  <w:tcBorders>
                    <w:top w:val="none" w:sz="0" w:space="0" w:shadow="0" w:frame="0"/>
                    <w:left w:val="none" w:sz="0" w:space="0" w:shadow="0" w:frame="0"/>
                    <w:bottom w:val="none" w:sz="0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jc w:val="right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1023.6</w:t>
                  </w:r>
                </w:p>
              </w:tc>
              <w:tc>
                <w:tcPr>
                  <w:tcW w:w="1216" w:type="dxa"/>
                  <w:tcBorders>
                    <w:top w:val="none" w:sz="0" w:space="0" w:shadow="0" w:frame="0"/>
                    <w:left w:val="none" w:sz="0" w:space="0" w:shadow="0" w:frame="0"/>
                    <w:bottom w:val="none" w:sz="0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jc w:val="right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864.9</w:t>
                  </w:r>
                </w:p>
              </w:tc>
              <w:tc>
                <w:tcPr>
                  <w:tcW w:w="2236" w:type="dxa"/>
                  <w:tcBorders>
                    <w:top w:val="none" w:sz="0" w:space="0" w:shadow="0" w:frame="0"/>
                    <w:left w:val="none" w:sz="0" w:space="0" w:shadow="0" w:frame="0"/>
                    <w:bottom w:val="none" w:sz="0" w:space="0" w:shadow="0" w:frame="0"/>
                    <w:right w:val="none" w:sz="0" w:space="0" w:shadow="0" w:frame="0"/>
                  </w:tcBorders>
                  <w:vAlign w:val="bottom"/>
                </w:tcPr>
                <w:p>
                  <w:pPr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 xml:space="preserve">Мађарска                   </w:t>
                  </w:r>
                </w:p>
              </w:tc>
              <w:tc>
                <w:tcPr>
                  <w:tcW w:w="1216" w:type="dxa"/>
                  <w:tcBorders>
                    <w:top w:val="none" w:sz="0" w:space="0" w:shadow="0" w:frame="0"/>
                    <w:left w:val="single" w:sz="4" w:space="0" w:shadow="0" w:frame="0"/>
                    <w:bottom w:val="none" w:sz="0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jc w:val="right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1244.9</w:t>
                  </w:r>
                </w:p>
              </w:tc>
              <w:tc>
                <w:tcPr>
                  <w:tcW w:w="1216" w:type="dxa"/>
                  <w:tcBorders>
                    <w:top w:val="none" w:sz="0" w:space="0" w:shadow="0" w:frame="0"/>
                    <w:left w:val="none" w:sz="0" w:space="0" w:shadow="0" w:frame="0"/>
                    <w:bottom w:val="none" w:sz="0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jc w:val="right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1052.3</w:t>
                  </w:r>
                </w:p>
              </w:tc>
            </w:tr>
          </w:tbl>
          <w:p>
            <w:pPr>
              <w:jc w:val="both"/>
              <w:rPr>
                <w:rFonts w:ascii="Arial" w:hAnsi="Arial"/>
                <w:color w:val="0070C0"/>
                <w:sz w:val="18"/>
              </w:rPr>
            </w:pPr>
          </w:p>
          <w:p>
            <w:pPr>
              <w:jc w:val="both"/>
              <w:rPr>
                <w:rFonts w:ascii="Arial" w:hAnsi="Arial"/>
                <w:sz w:val="18"/>
              </w:rPr>
            </w:pPr>
          </w:p>
          <w:p>
            <w:pPr>
              <w:spacing w:lineRule="auto" w:line="259" w:after="1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Наш други по важности партнер јесу земље CEFTA, са којима имамо суфицит у размени од 2247,7 мил. долара, који је резултат углавном извоза пољопривредних производа (житарице и производи од њих и разне врсте пића), нафте и нафтних деривата, гвожђа и челика и производа од метала. Извоз Србије износи 3344,9 а увоз 1097,2 мил. долара за посматрани период. Покривеност увоза извозом је 304,9%. Изражено у </w:t>
            </w:r>
            <w:r>
              <w:rPr>
                <w:rFonts w:ascii="Arial" w:hAnsi="Arial"/>
                <w:b w:val="1"/>
                <w:sz w:val="18"/>
              </w:rPr>
              <w:t>еврима</w:t>
            </w:r>
            <w:r>
              <w:rPr>
                <w:rFonts w:ascii="Arial" w:hAnsi="Arial"/>
                <w:sz w:val="18"/>
              </w:rPr>
              <w:t>, извоз износи 2833,7</w:t>
            </w:r>
            <w:r>
              <w:rPr>
                <w:rFonts w:ascii="Arial" w:hAnsi="Arial"/>
                <w:b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а увоз 931</w:t>
            </w:r>
            <w:r>
              <w:rPr>
                <w:rFonts w:ascii="Arial" w:hAnsi="Arial"/>
                <w:b w:val="1"/>
                <w:sz w:val="18"/>
              </w:rPr>
              <w:t>,</w:t>
            </w:r>
            <w:r>
              <w:rPr>
                <w:rFonts w:ascii="Arial" w:hAnsi="Arial"/>
                <w:sz w:val="18"/>
              </w:rPr>
              <w:t>1 мил. евра (суфицит је 1902,6 мил. евра, а покривеност увоза извозом 304,3%).</w:t>
            </w:r>
          </w:p>
          <w:p>
            <w:pPr>
              <w:jc w:val="both"/>
              <w:rPr>
                <w:rFonts w:ascii="Arial" w:hAnsi="Arial"/>
                <w:color w:val="0070C0"/>
                <w:sz w:val="18"/>
              </w:rPr>
            </w:pPr>
          </w:p>
          <w:p>
            <w:pPr>
              <w:jc w:val="both"/>
              <w:rPr>
                <w:rFonts w:ascii="Arial" w:hAnsi="Arial"/>
                <w:sz w:val="18"/>
              </w:rPr>
            </w:pPr>
          </w:p>
          <w:p>
            <w:pPr>
              <w:jc w:val="both"/>
              <w:rPr>
                <w:rFonts w:ascii="Arial" w:hAnsi="Arial"/>
                <w:sz w:val="18"/>
              </w:rPr>
            </w:pPr>
          </w:p>
          <w:p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Посматрано појединачно по земљама, највећи суфицит у размени остварен је са земљама из окружења: Босном и Херцеговином (извозе се највише гасна уља и кукуруз, а увози се кокс и полукокс од каменог угља и жица од гвожђа и челика), Црном Гором (лекови и руде олова и концентрати, а увозе се највише алуминијум, сирови и  вина од свежег грожђа, шира) и Македонијом (извоз топловаљаних трака у котуровима и електрична енергија, а увозе се највише лекови за малопродају и ваљани производи, превучени пластиком). Од осталих земаља истиче се и суфицит са Румунијом, Бугарском, Словачком, Хрватском, Великом Британијом, Шведском и Словенијом. Највећи дефицит јавља се у трговини са Кином (због увоза телефона за мрежу станица и лаптопова) и Немачком. Следи дефицит са: Руском Федерацијом (због увоза енергената, пре свега, нафте и гаса),Турском, Ираком, Мађарском, Пољском (увоз делова за моторна возила), Белгијом, Украјином (увоз руде гвожђа и концентрати), Корејом, САД-ом, Аустријом, Француском, Шпанијом ... </w:t>
            </w:r>
          </w:p>
          <w:p>
            <w:pPr>
              <w:jc w:val="both"/>
              <w:rPr>
                <w:rFonts w:ascii="Arial" w:hAnsi="Arial"/>
                <w:sz w:val="18"/>
              </w:rPr>
            </w:pPr>
          </w:p>
          <w:p>
            <w:pPr>
              <w:pStyle w:val="P5"/>
              <w:spacing w:lineRule="auto" w:line="240" w:after="0"/>
              <w:ind w:left="0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Према одсецима Стандардне међународне трговинске класификације (СМТК)</w:t>
            </w:r>
            <w:r>
              <w:rPr>
                <w:rFonts w:ascii="Arial" w:hAnsi="Arial"/>
                <w:sz w:val="18"/>
              </w:rPr>
              <w:t xml:space="preserve">, извоз првих пет одсека чини 32,0% укупног извоза. Увоз првих пет одсека чини 27,5% укупног увоза. Одсек </w:t>
            </w:r>
            <w:r>
              <w:rPr>
                <w:rFonts w:ascii="Arial" w:hAnsi="Arial"/>
                <w:i w:val="1"/>
                <w:sz w:val="18"/>
              </w:rPr>
              <w:t>неразврстана роба</w:t>
            </w:r>
            <w:r>
              <w:rPr>
                <w:rFonts w:ascii="Arial" w:hAnsi="Arial"/>
                <w:sz w:val="18"/>
              </w:rPr>
              <w:t>, у који се сада укључује и роба на царинском складишту и у слободној зони, има учешће у укупном увозу 11,7%.</w:t>
            </w:r>
          </w:p>
          <w:p>
            <w:pPr>
              <w:pStyle w:val="P5"/>
              <w:spacing w:lineRule="auto" w:line="240" w:after="0"/>
              <w:ind w:left="0"/>
              <w:jc w:val="both"/>
              <w:rPr>
                <w:rFonts w:ascii="Arial" w:hAnsi="Arial"/>
                <w:b w:val="1"/>
                <w:sz w:val="18"/>
              </w:rPr>
            </w:pPr>
          </w:p>
          <w:tbl>
            <w:tblPr>
              <w:tblStyle w:val="T2"/>
              <w:tblW w:w="9736" w:type="dxa"/>
              <w:tblLayout w:type="autofit"/>
            </w:tblPr>
            <w:tblGrid/>
            <w:tr>
              <w:trPr>
                <w:wAfter w:w="0" w:type="dxa"/>
                <w:trHeight w:hRule="atLeast" w:val="315"/>
              </w:trPr>
              <w:tc>
                <w:tcPr>
                  <w:tcW w:w="2689" w:type="dxa"/>
                  <w:tcBorders>
                    <w:top w:val="single" w:sz="4" w:space="0" w:shadow="0" w:frame="0"/>
                    <w:left w:val="single" w:sz="4" w:space="0" w:shadow="0" w:frame="0"/>
                    <w:bottom w:val="single" w:sz="4" w:space="0" w:shadow="0" w:frame="0"/>
                    <w:right w:val="single" w:sz="4" w:space="0" w:shadow="0" w:frame="0"/>
                  </w:tcBorders>
                  <w:vAlign w:val="center"/>
                </w:tcPr>
                <w:p>
                  <w:pPr>
                    <w:jc w:val="center"/>
                    <w:rPr>
                      <w:rFonts w:ascii="Arial" w:hAnsi="Arial"/>
                      <w:b w:val="1"/>
                    </w:rPr>
                  </w:pPr>
                  <w:r>
                    <w:rPr>
                      <w:rFonts w:ascii="Arial" w:hAnsi="Arial"/>
                      <w:b w:val="1"/>
                    </w:rPr>
                    <w:t>Извоз</w:t>
                  </w:r>
                </w:p>
              </w:tc>
              <w:tc>
                <w:tcPr>
                  <w:tcW w:w="998" w:type="dxa"/>
                  <w:tcBorders>
                    <w:top w:val="single" w:sz="4" w:space="0" w:shadow="0" w:frame="0"/>
                    <w:left w:val="none" w:sz="0" w:space="0" w:shadow="0" w:frame="0"/>
                    <w:bottom w:val="single" w:sz="4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мил. USD</w:t>
                  </w:r>
                </w:p>
              </w:tc>
              <w:tc>
                <w:tcPr>
                  <w:tcW w:w="937" w:type="dxa"/>
                  <w:tcBorders>
                    <w:top w:val="single" w:sz="4" w:space="0" w:shadow="0" w:frame="0"/>
                    <w:left w:val="none" w:sz="0" w:space="0" w:shadow="0" w:frame="0"/>
                    <w:bottom w:val="single" w:sz="4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мил. EUR</w:t>
                  </w:r>
                </w:p>
              </w:tc>
              <w:tc>
                <w:tcPr>
                  <w:tcW w:w="3168" w:type="dxa"/>
                  <w:tcBorders>
                    <w:top w:val="single" w:sz="4" w:space="0" w:shadow="0" w:frame="0"/>
                    <w:left w:val="none" w:sz="0" w:space="0" w:shadow="0" w:frame="0"/>
                    <w:bottom w:val="single" w:sz="4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jc w:val="center"/>
                    <w:rPr>
                      <w:rFonts w:ascii="Arial" w:hAnsi="Arial"/>
                      <w:b w:val="1"/>
                    </w:rPr>
                  </w:pPr>
                  <w:r>
                    <w:rPr>
                      <w:rFonts w:ascii="Arial" w:hAnsi="Arial"/>
                      <w:b w:val="1"/>
                    </w:rPr>
                    <w:t>Увоз</w:t>
                  </w:r>
                </w:p>
              </w:tc>
              <w:tc>
                <w:tcPr>
                  <w:tcW w:w="992" w:type="dxa"/>
                  <w:tcBorders>
                    <w:top w:val="single" w:sz="4" w:space="0" w:shadow="0" w:frame="0"/>
                    <w:left w:val="none" w:sz="0" w:space="0" w:shadow="0" w:frame="0"/>
                    <w:bottom w:val="single" w:sz="4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мил. USD</w:t>
                  </w:r>
                </w:p>
              </w:tc>
              <w:tc>
                <w:tcPr>
                  <w:tcW w:w="952" w:type="dxa"/>
                  <w:tcBorders>
                    <w:top w:val="single" w:sz="4" w:space="0" w:shadow="0" w:frame="0"/>
                    <w:left w:val="none" w:sz="0" w:space="0" w:shadow="0" w:frame="0"/>
                    <w:bottom w:val="single" w:sz="4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мил. EUR</w:t>
                  </w:r>
                </w:p>
              </w:tc>
            </w:tr>
            <w:tr>
              <w:trPr>
                <w:wAfter w:w="0" w:type="dxa"/>
                <w:trHeight w:hRule="atLeast" w:val="315"/>
              </w:trPr>
              <w:tc>
                <w:tcPr>
                  <w:tcW w:w="2689" w:type="dxa"/>
                  <w:tcBorders>
                    <w:top w:val="none" w:sz="0" w:space="0" w:shadow="0" w:frame="0"/>
                    <w:left w:val="single" w:sz="4" w:space="0" w:shadow="0" w:frame="0"/>
                    <w:bottom w:val="none" w:sz="0" w:space="0" w:shadow="0" w:frame="0"/>
                    <w:right w:val="none" w:sz="0" w:space="0" w:shadow="0" w:frame="0"/>
                  </w:tcBorders>
                  <w:vAlign w:val="bottom"/>
                </w:tcPr>
                <w:p>
                  <w:pPr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 </w:t>
                  </w:r>
                </w:p>
              </w:tc>
              <w:tc>
                <w:tcPr>
                  <w:tcW w:w="998" w:type="dxa"/>
                  <w:tcBorders>
                    <w:top w:val="none" w:sz="0" w:space="0" w:shadow="0" w:frame="0"/>
                    <w:left w:val="none" w:sz="0" w:space="0" w:shadow="0" w:frame="0"/>
                    <w:bottom w:val="none" w:sz="0" w:space="0" w:shadow="0" w:frame="0"/>
                    <w:right w:val="none" w:sz="0" w:space="0" w:shadow="0" w:frame="0"/>
                  </w:tcBorders>
                  <w:vAlign w:val="bottom"/>
                </w:tcPr>
                <w:p>
                  <w:pPr>
                    <w:jc w:val="right"/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> </w:t>
                  </w:r>
                </w:p>
              </w:tc>
              <w:tc>
                <w:tcPr>
                  <w:tcW w:w="937" w:type="dxa"/>
                  <w:tcBorders>
                    <w:top w:val="none" w:sz="0" w:space="0" w:shadow="0" w:frame="0"/>
                    <w:left w:val="none" w:sz="0" w:space="0" w:shadow="0" w:frame="0"/>
                    <w:bottom w:val="none" w:sz="0" w:space="0" w:shadow="0" w:frame="0"/>
                    <w:right w:val="none" w:sz="0" w:space="0" w:shadow="0" w:frame="0"/>
                  </w:tcBorders>
                  <w:vAlign w:val="bottom"/>
                </w:tcPr>
                <w:p>
                  <w:pPr>
                    <w:jc w:val="right"/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> </w:t>
                  </w:r>
                </w:p>
              </w:tc>
              <w:tc>
                <w:tcPr>
                  <w:tcW w:w="3168" w:type="dxa"/>
                  <w:tcBorders>
                    <w:top w:val="none" w:sz="0" w:space="0" w:shadow="0" w:frame="0"/>
                    <w:left w:val="none" w:sz="0" w:space="0" w:shadow="0" w:frame="0"/>
                    <w:bottom w:val="none" w:sz="0" w:space="0" w:shadow="0" w:frame="0"/>
                    <w:right w:val="none" w:sz="0" w:space="0" w:shadow="0" w:frame="0"/>
                  </w:tcBorders>
                  <w:vAlign w:val="bottom"/>
                </w:tcPr>
                <w:p>
                  <w:pPr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one" w:sz="0" w:space="0" w:shadow="0" w:frame="0"/>
                    <w:left w:val="none" w:sz="0" w:space="0" w:shadow="0" w:frame="0"/>
                    <w:bottom w:val="none" w:sz="0" w:space="0" w:shadow="0" w:frame="0"/>
                    <w:right w:val="none" w:sz="0" w:space="0" w:shadow="0" w:frame="0"/>
                  </w:tcBorders>
                  <w:vAlign w:val="bottom"/>
                </w:tcPr>
                <w:p>
                  <w:pPr>
                    <w:jc w:val="right"/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> </w:t>
                  </w:r>
                </w:p>
              </w:tc>
              <w:tc>
                <w:tcPr>
                  <w:tcW w:w="952" w:type="dxa"/>
                  <w:tcBorders>
                    <w:top w:val="none" w:sz="0" w:space="0" w:shadow="0" w:frame="0"/>
                    <w:left w:val="none" w:sz="0" w:space="0" w:shadow="0" w:frame="0"/>
                    <w:bottom w:val="none" w:sz="0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jc w:val="right"/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> </w:t>
                  </w:r>
                </w:p>
              </w:tc>
            </w:tr>
            <w:tr>
              <w:trPr>
                <w:wAfter w:w="0" w:type="dxa"/>
                <w:trHeight w:hRule="atLeast" w:val="255"/>
              </w:trPr>
              <w:tc>
                <w:tcPr>
                  <w:tcW w:w="2689" w:type="dxa"/>
                  <w:tcBorders>
                    <w:top w:val="none" w:sz="0" w:space="0" w:shadow="0" w:frame="0"/>
                    <w:left w:val="single" w:sz="4" w:space="0" w:shadow="0" w:frame="0"/>
                    <w:bottom w:val="none" w:sz="0" w:space="0" w:shadow="0" w:frame="0"/>
                    <w:right w:val="none" w:sz="0" w:space="0" w:shadow="0" w:frame="0"/>
                  </w:tcBorders>
                  <w:vAlign w:val="bottom"/>
                </w:tcPr>
                <w:p>
                  <w:pPr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Електричне машине и апарати</w:t>
                  </w:r>
                </w:p>
              </w:tc>
              <w:tc>
                <w:tcPr>
                  <w:tcW w:w="998" w:type="dxa"/>
                  <w:tcBorders>
                    <w:top w:val="none" w:sz="0" w:space="0" w:shadow="0" w:frame="0"/>
                    <w:left w:val="single" w:sz="4" w:space="0" w:shadow="0" w:frame="0"/>
                    <w:bottom w:val="none" w:sz="0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jc w:val="right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2033.4</w:t>
                  </w:r>
                </w:p>
              </w:tc>
              <w:tc>
                <w:tcPr>
                  <w:tcW w:w="937" w:type="dxa"/>
                  <w:tcBorders>
                    <w:top w:val="none" w:sz="0" w:space="0" w:shadow="0" w:frame="0"/>
                    <w:left w:val="none" w:sz="0" w:space="0" w:shadow="0" w:frame="0"/>
                    <w:bottom w:val="none" w:sz="0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jc w:val="right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1720.9</w:t>
                  </w:r>
                </w:p>
              </w:tc>
              <w:tc>
                <w:tcPr>
                  <w:tcW w:w="3168" w:type="dxa"/>
                  <w:tcBorders>
                    <w:top w:val="none" w:sz="0" w:space="0" w:shadow="0" w:frame="0"/>
                    <w:left w:val="none" w:sz="0" w:space="0" w:shadow="0" w:frame="0"/>
                    <w:bottom w:val="none" w:sz="0" w:space="0" w:shadow="0" w:frame="0"/>
                    <w:right w:val="none" w:sz="0" w:space="0" w:shadow="0" w:frame="0"/>
                  </w:tcBorders>
                  <w:vAlign w:val="bottom"/>
                </w:tcPr>
                <w:p>
                  <w:pPr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Нафта и нафтни деривати</w:t>
                  </w:r>
                </w:p>
              </w:tc>
              <w:tc>
                <w:tcPr>
                  <w:tcW w:w="992" w:type="dxa"/>
                  <w:tcBorders>
                    <w:top w:val="none" w:sz="0" w:space="0" w:shadow="0" w:frame="0"/>
                    <w:left w:val="single" w:sz="4" w:space="0" w:shadow="0" w:frame="0"/>
                    <w:bottom w:val="none" w:sz="0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jc w:val="right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1940.4</w:t>
                  </w:r>
                </w:p>
              </w:tc>
              <w:tc>
                <w:tcPr>
                  <w:tcW w:w="952" w:type="dxa"/>
                  <w:tcBorders>
                    <w:top w:val="none" w:sz="0" w:space="0" w:shadow="0" w:frame="0"/>
                    <w:left w:val="none" w:sz="0" w:space="0" w:shadow="0" w:frame="0"/>
                    <w:bottom w:val="none" w:sz="0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jc w:val="right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1651.7</w:t>
                  </w:r>
                </w:p>
              </w:tc>
            </w:tr>
            <w:tr>
              <w:trPr>
                <w:wAfter w:w="0" w:type="dxa"/>
                <w:trHeight w:hRule="atLeast" w:val="255"/>
              </w:trPr>
              <w:tc>
                <w:tcPr>
                  <w:tcW w:w="2689" w:type="dxa"/>
                  <w:tcBorders>
                    <w:top w:val="none" w:sz="0" w:space="0" w:shadow="0" w:frame="0"/>
                    <w:left w:val="single" w:sz="4" w:space="0" w:shadow="0" w:frame="0"/>
                    <w:bottom w:val="none" w:sz="0" w:space="0" w:shadow="0" w:frame="0"/>
                    <w:right w:val="none" w:sz="0" w:space="0" w:shadow="0" w:frame="0"/>
                  </w:tcBorders>
                  <w:vAlign w:val="bottom"/>
                </w:tcPr>
                <w:p>
                  <w:pPr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Друмска возила</w:t>
                  </w:r>
                </w:p>
              </w:tc>
              <w:tc>
                <w:tcPr>
                  <w:tcW w:w="998" w:type="dxa"/>
                  <w:tcBorders>
                    <w:top w:val="none" w:sz="0" w:space="0" w:shadow="0" w:frame="0"/>
                    <w:left w:val="single" w:sz="4" w:space="0" w:shadow="0" w:frame="0"/>
                    <w:bottom w:val="none" w:sz="0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jc w:val="right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1270.3</w:t>
                  </w:r>
                </w:p>
              </w:tc>
              <w:tc>
                <w:tcPr>
                  <w:tcW w:w="937" w:type="dxa"/>
                  <w:tcBorders>
                    <w:top w:val="none" w:sz="0" w:space="0" w:shadow="0" w:frame="0"/>
                    <w:left w:val="none" w:sz="0" w:space="0" w:shadow="0" w:frame="0"/>
                    <w:bottom w:val="none" w:sz="0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jc w:val="right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1068.2</w:t>
                  </w:r>
                </w:p>
              </w:tc>
              <w:tc>
                <w:tcPr>
                  <w:tcW w:w="3168" w:type="dxa"/>
                  <w:tcBorders>
                    <w:top w:val="none" w:sz="0" w:space="0" w:shadow="0" w:frame="0"/>
                    <w:left w:val="none" w:sz="0" w:space="0" w:shadow="0" w:frame="0"/>
                    <w:bottom w:val="none" w:sz="0" w:space="0" w:shadow="0" w:frame="0"/>
                    <w:right w:val="none" w:sz="0" w:space="0" w:shadow="0" w:frame="0"/>
                  </w:tcBorders>
                  <w:vAlign w:val="bottom"/>
                </w:tcPr>
                <w:p>
                  <w:pPr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Друмска возила</w:t>
                  </w:r>
                </w:p>
              </w:tc>
              <w:tc>
                <w:tcPr>
                  <w:tcW w:w="992" w:type="dxa"/>
                  <w:tcBorders>
                    <w:top w:val="none" w:sz="0" w:space="0" w:shadow="0" w:frame="0"/>
                    <w:left w:val="single" w:sz="4" w:space="0" w:shadow="0" w:frame="0"/>
                    <w:bottom w:val="none" w:sz="0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jc w:val="right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1782.1</w:t>
                  </w:r>
                </w:p>
              </w:tc>
              <w:tc>
                <w:tcPr>
                  <w:tcW w:w="952" w:type="dxa"/>
                  <w:tcBorders>
                    <w:top w:val="none" w:sz="0" w:space="0" w:shadow="0" w:frame="0"/>
                    <w:left w:val="none" w:sz="0" w:space="0" w:shadow="0" w:frame="0"/>
                    <w:bottom w:val="none" w:sz="0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jc w:val="right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1504.4</w:t>
                  </w:r>
                </w:p>
              </w:tc>
            </w:tr>
            <w:tr>
              <w:trPr>
                <w:wAfter w:w="0" w:type="dxa"/>
                <w:trHeight w:hRule="atLeast" w:val="255"/>
              </w:trPr>
              <w:tc>
                <w:tcPr>
                  <w:tcW w:w="2689" w:type="dxa"/>
                  <w:tcBorders>
                    <w:top w:val="none" w:sz="0" w:space="0" w:shadow="0" w:frame="0"/>
                    <w:left w:val="single" w:sz="4" w:space="0" w:shadow="0" w:frame="0"/>
                    <w:bottom w:val="none" w:sz="0" w:space="0" w:shadow="0" w:frame="0"/>
                    <w:right w:val="none" w:sz="0" w:space="0" w:shadow="0" w:frame="0"/>
                  </w:tcBorders>
                  <w:vAlign w:val="bottom"/>
                </w:tcPr>
                <w:p>
                  <w:pPr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Гвожђе и челик</w:t>
                  </w:r>
                </w:p>
              </w:tc>
              <w:tc>
                <w:tcPr>
                  <w:tcW w:w="998" w:type="dxa"/>
                  <w:tcBorders>
                    <w:top w:val="none" w:sz="0" w:space="0" w:shadow="0" w:frame="0"/>
                    <w:left w:val="single" w:sz="4" w:space="0" w:shadow="0" w:frame="0"/>
                    <w:bottom w:val="none" w:sz="0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jc w:val="right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1059.8</w:t>
                  </w:r>
                </w:p>
              </w:tc>
              <w:tc>
                <w:tcPr>
                  <w:tcW w:w="937" w:type="dxa"/>
                  <w:tcBorders>
                    <w:top w:val="none" w:sz="0" w:space="0" w:shadow="0" w:frame="0"/>
                    <w:left w:val="none" w:sz="0" w:space="0" w:shadow="0" w:frame="0"/>
                    <w:bottom w:val="none" w:sz="0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jc w:val="right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894.9</w:t>
                  </w:r>
                </w:p>
              </w:tc>
              <w:tc>
                <w:tcPr>
                  <w:tcW w:w="3168" w:type="dxa"/>
                  <w:tcBorders>
                    <w:top w:val="none" w:sz="0" w:space="0" w:shadow="0" w:frame="0"/>
                    <w:left w:val="none" w:sz="0" w:space="0" w:shadow="0" w:frame="0"/>
                    <w:bottom w:val="none" w:sz="0" w:space="0" w:shadow="0" w:frame="0"/>
                    <w:right w:val="none" w:sz="0" w:space="0" w:shadow="0" w:frame="0"/>
                  </w:tcBorders>
                  <w:vAlign w:val="bottom"/>
                </w:tcPr>
                <w:p>
                  <w:pPr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Електричне машине и апарати</w:t>
                  </w:r>
                </w:p>
              </w:tc>
              <w:tc>
                <w:tcPr>
                  <w:tcW w:w="992" w:type="dxa"/>
                  <w:tcBorders>
                    <w:top w:val="none" w:sz="0" w:space="0" w:shadow="0" w:frame="0"/>
                    <w:left w:val="single" w:sz="4" w:space="0" w:shadow="0" w:frame="0"/>
                    <w:bottom w:val="none" w:sz="0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jc w:val="right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1509.7</w:t>
                  </w:r>
                </w:p>
              </w:tc>
              <w:tc>
                <w:tcPr>
                  <w:tcW w:w="952" w:type="dxa"/>
                  <w:tcBorders>
                    <w:top w:val="none" w:sz="0" w:space="0" w:shadow="0" w:frame="0"/>
                    <w:left w:val="none" w:sz="0" w:space="0" w:shadow="0" w:frame="0"/>
                    <w:bottom w:val="none" w:sz="0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jc w:val="right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1277.4</w:t>
                  </w:r>
                </w:p>
              </w:tc>
            </w:tr>
            <w:tr>
              <w:trPr>
                <w:wAfter w:w="0" w:type="dxa"/>
                <w:trHeight w:hRule="atLeast" w:val="255"/>
              </w:trPr>
              <w:tc>
                <w:tcPr>
                  <w:tcW w:w="2689" w:type="dxa"/>
                  <w:tcBorders>
                    <w:top w:val="none" w:sz="0" w:space="0" w:shadow="0" w:frame="0"/>
                    <w:left w:val="single" w:sz="4" w:space="0" w:shadow="0" w:frame="0"/>
                    <w:bottom w:val="none" w:sz="0" w:space="0" w:shadow="0" w:frame="0"/>
                    <w:right w:val="none" w:sz="0" w:space="0" w:shadow="0" w:frame="0"/>
                  </w:tcBorders>
                  <w:vAlign w:val="bottom"/>
                </w:tcPr>
                <w:p>
                  <w:pPr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Производи од каучука, нн</w:t>
                  </w:r>
                </w:p>
              </w:tc>
              <w:tc>
                <w:tcPr>
                  <w:tcW w:w="998" w:type="dxa"/>
                  <w:tcBorders>
                    <w:top w:val="none" w:sz="0" w:space="0" w:shadow="0" w:frame="0"/>
                    <w:left w:val="single" w:sz="4" w:space="0" w:shadow="0" w:frame="0"/>
                    <w:bottom w:val="none" w:sz="0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jc w:val="right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898.5</w:t>
                  </w:r>
                </w:p>
              </w:tc>
              <w:tc>
                <w:tcPr>
                  <w:tcW w:w="937" w:type="dxa"/>
                  <w:tcBorders>
                    <w:top w:val="none" w:sz="0" w:space="0" w:shadow="0" w:frame="0"/>
                    <w:left w:val="none" w:sz="0" w:space="0" w:shadow="0" w:frame="0"/>
                    <w:bottom w:val="none" w:sz="0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jc w:val="right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759.4</w:t>
                  </w:r>
                </w:p>
              </w:tc>
              <w:tc>
                <w:tcPr>
                  <w:tcW w:w="3168" w:type="dxa"/>
                  <w:tcBorders>
                    <w:top w:val="none" w:sz="0" w:space="0" w:shadow="0" w:frame="0"/>
                    <w:left w:val="none" w:sz="0" w:space="0" w:shadow="0" w:frame="0"/>
                    <w:bottom w:val="none" w:sz="0" w:space="0" w:shadow="0" w:frame="0"/>
                    <w:right w:val="none" w:sz="0" w:space="0" w:shadow="0" w:frame="0"/>
                  </w:tcBorders>
                  <w:vAlign w:val="bottom"/>
                </w:tcPr>
                <w:p>
                  <w:pPr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Индустријске машине за општу употребу</w:t>
                  </w:r>
                </w:p>
              </w:tc>
              <w:tc>
                <w:tcPr>
                  <w:tcW w:w="992" w:type="dxa"/>
                  <w:tcBorders>
                    <w:top w:val="none" w:sz="0" w:space="0" w:shadow="0" w:frame="0"/>
                    <w:left w:val="single" w:sz="4" w:space="0" w:shadow="0" w:frame="0"/>
                    <w:bottom w:val="none" w:sz="0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jc w:val="right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1019.2</w:t>
                  </w:r>
                </w:p>
              </w:tc>
              <w:tc>
                <w:tcPr>
                  <w:tcW w:w="952" w:type="dxa"/>
                  <w:tcBorders>
                    <w:top w:val="none" w:sz="0" w:space="0" w:shadow="0" w:frame="0"/>
                    <w:left w:val="none" w:sz="0" w:space="0" w:shadow="0" w:frame="0"/>
                    <w:bottom w:val="none" w:sz="0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jc w:val="right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862.7</w:t>
                  </w:r>
                </w:p>
              </w:tc>
            </w:tr>
            <w:tr>
              <w:trPr>
                <w:wAfter w:w="0" w:type="dxa"/>
                <w:trHeight w:hRule="atLeast" w:val="255"/>
              </w:trPr>
              <w:tc>
                <w:tcPr>
                  <w:tcW w:w="2689" w:type="dxa"/>
                  <w:tcBorders>
                    <w:top w:val="none" w:sz="0" w:space="0" w:shadow="0" w:frame="0"/>
                    <w:left w:val="single" w:sz="4" w:space="0" w:shadow="0" w:frame="0"/>
                    <w:bottom w:val="single" w:sz="4" w:space="0" w:shadow="0" w:frame="0"/>
                    <w:right w:val="none" w:sz="0" w:space="0" w:shadow="0" w:frame="0"/>
                  </w:tcBorders>
                  <w:vAlign w:val="bottom"/>
                </w:tcPr>
                <w:p>
                  <w:pPr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 xml:space="preserve">Обојени метали                              </w:t>
                  </w:r>
                </w:p>
              </w:tc>
              <w:tc>
                <w:tcPr>
                  <w:tcW w:w="998" w:type="dxa"/>
                  <w:tcBorders>
                    <w:top w:val="none" w:sz="0" w:space="0" w:shadow="0" w:frame="0"/>
                    <w:left w:val="single" w:sz="4" w:space="0" w:shadow="0" w:frame="0"/>
                    <w:bottom w:val="single" w:sz="4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jc w:val="right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888.1</w:t>
                  </w:r>
                </w:p>
              </w:tc>
              <w:tc>
                <w:tcPr>
                  <w:tcW w:w="937" w:type="dxa"/>
                  <w:tcBorders>
                    <w:top w:val="none" w:sz="0" w:space="0" w:shadow="0" w:frame="0"/>
                    <w:left w:val="none" w:sz="0" w:space="0" w:shadow="0" w:frame="0"/>
                    <w:bottom w:val="single" w:sz="4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jc w:val="right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751.1</w:t>
                  </w:r>
                </w:p>
              </w:tc>
              <w:tc>
                <w:tcPr>
                  <w:tcW w:w="3168" w:type="dxa"/>
                  <w:tcBorders>
                    <w:top w:val="none" w:sz="0" w:space="0" w:shadow="0" w:frame="0"/>
                    <w:left w:val="none" w:sz="0" w:space="0" w:shadow="0" w:frame="0"/>
                    <w:bottom w:val="single" w:sz="4" w:space="0" w:shadow="0" w:frame="0"/>
                    <w:right w:val="none" w:sz="0" w:space="0" w:shadow="0" w:frame="0"/>
                  </w:tcBorders>
                  <w:vAlign w:val="bottom"/>
                </w:tcPr>
                <w:p>
                  <w:pPr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Гвожђе и челик</w:t>
                  </w:r>
                </w:p>
              </w:tc>
              <w:tc>
                <w:tcPr>
                  <w:tcW w:w="992" w:type="dxa"/>
                  <w:tcBorders>
                    <w:top w:val="none" w:sz="0" w:space="0" w:shadow="0" w:frame="0"/>
                    <w:left w:val="single" w:sz="4" w:space="0" w:shadow="0" w:frame="0"/>
                    <w:bottom w:val="single" w:sz="4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jc w:val="right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872.4</w:t>
                  </w:r>
                </w:p>
              </w:tc>
              <w:tc>
                <w:tcPr>
                  <w:tcW w:w="952" w:type="dxa"/>
                  <w:tcBorders>
                    <w:top w:val="none" w:sz="0" w:space="0" w:shadow="0" w:frame="0"/>
                    <w:left w:val="none" w:sz="0" w:space="0" w:shadow="0" w:frame="0"/>
                    <w:bottom w:val="single" w:sz="4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jc w:val="right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738.8</w:t>
                  </w:r>
                </w:p>
              </w:tc>
            </w:tr>
          </w:tbl>
          <w:p>
            <w:pPr>
              <w:jc w:val="both"/>
              <w:rPr>
                <w:rFonts w:ascii="Arial" w:hAnsi="Arial"/>
                <w:sz w:val="18"/>
              </w:rPr>
            </w:pPr>
          </w:p>
          <w:p>
            <w:pPr>
              <w:jc w:val="both"/>
              <w:rPr>
                <w:rFonts w:ascii="Arial" w:hAnsi="Arial"/>
                <w:sz w:val="18"/>
              </w:rPr>
            </w:pPr>
          </w:p>
          <w:p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У </w:t>
            </w:r>
            <w:r>
              <w:rPr>
                <w:rFonts w:ascii="Arial" w:hAnsi="Arial"/>
                <w:b w:val="1"/>
                <w:sz w:val="18"/>
              </w:rPr>
              <w:t>дец</w:t>
            </w:r>
            <w:r>
              <w:rPr>
                <w:rFonts w:ascii="Arial" w:hAnsi="Arial"/>
                <w:b w:val="1"/>
                <w:sz w:val="18"/>
              </w:rPr>
              <w:t>ем</w:t>
            </w:r>
            <w:r>
              <w:rPr>
                <w:rFonts w:ascii="Arial" w:hAnsi="Arial"/>
                <w:b w:val="1"/>
                <w:sz w:val="18"/>
              </w:rPr>
              <w:t>бру</w:t>
            </w:r>
            <w:r>
              <w:rPr>
                <w:rFonts w:ascii="Arial" w:hAnsi="Arial"/>
                <w:b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2018. године</w:t>
            </w:r>
            <w:r>
              <w:rPr>
                <w:rFonts w:ascii="Arial" w:hAnsi="Arial"/>
                <w:b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је извезено је  робе у вредности од </w:t>
            </w:r>
            <w:r>
              <w:rPr>
                <w:rFonts w:ascii="Arial" w:hAnsi="Arial"/>
                <w:b w:val="1"/>
                <w:sz w:val="18"/>
              </w:rPr>
              <w:t>1</w:t>
            </w:r>
            <w:r>
              <w:rPr>
                <w:rFonts w:ascii="Arial" w:hAnsi="Arial"/>
                <w:b w:val="1"/>
                <w:sz w:val="18"/>
              </w:rPr>
              <w:t>382</w:t>
            </w:r>
            <w:r>
              <w:rPr>
                <w:rFonts w:ascii="Arial" w:hAnsi="Arial"/>
                <w:b w:val="1"/>
                <w:sz w:val="18"/>
              </w:rPr>
              <w:t>,</w:t>
            </w:r>
            <w:r>
              <w:rPr>
                <w:rFonts w:ascii="Arial" w:hAnsi="Arial"/>
                <w:b w:val="1"/>
                <w:sz w:val="18"/>
              </w:rPr>
              <w:t>6</w:t>
            </w:r>
            <w:r>
              <w:rPr>
                <w:rFonts w:ascii="Arial" w:hAnsi="Arial"/>
                <w:b w:val="1"/>
                <w:sz w:val="18"/>
              </w:rPr>
              <w:t xml:space="preserve"> милиона долара</w:t>
            </w:r>
            <w:r>
              <w:rPr>
                <w:rFonts w:ascii="Arial" w:hAnsi="Arial"/>
                <w:sz w:val="18"/>
              </w:rPr>
              <w:t xml:space="preserve">, што чини смањење од 1,4% у односу на исти месец претходне године. Увоз је износио </w:t>
            </w:r>
            <w:r>
              <w:rPr>
                <w:rFonts w:ascii="Arial" w:hAnsi="Arial"/>
                <w:b w:val="1"/>
                <w:sz w:val="18"/>
              </w:rPr>
              <w:t>2</w:t>
            </w:r>
            <w:r>
              <w:rPr>
                <w:rFonts w:ascii="Arial" w:hAnsi="Arial"/>
                <w:b w:val="1"/>
                <w:sz w:val="18"/>
              </w:rPr>
              <w:t>141</w:t>
            </w:r>
            <w:r>
              <w:rPr>
                <w:rFonts w:ascii="Arial" w:hAnsi="Arial"/>
                <w:b w:val="1"/>
                <w:sz w:val="18"/>
              </w:rPr>
              <w:t>,</w:t>
            </w:r>
            <w:r>
              <w:rPr>
                <w:rFonts w:ascii="Arial" w:hAnsi="Arial"/>
                <w:b w:val="1"/>
                <w:sz w:val="18"/>
              </w:rPr>
              <w:t>9</w:t>
            </w:r>
            <w:r>
              <w:rPr>
                <w:rFonts w:ascii="Arial" w:hAnsi="Arial"/>
                <w:b w:val="1"/>
                <w:sz w:val="18"/>
              </w:rPr>
              <w:t xml:space="preserve"> милиона долара</w:t>
            </w:r>
            <w:r>
              <w:rPr>
                <w:rFonts w:ascii="Arial" w:hAnsi="Arial"/>
                <w:sz w:val="18"/>
              </w:rPr>
              <w:t>,</w:t>
            </w:r>
            <w:r>
              <w:rPr>
                <w:rFonts w:ascii="Arial" w:hAnsi="Arial"/>
                <w:b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што је повећање од 5,1%  у односу на исти месец претходне године.</w:t>
            </w:r>
          </w:p>
          <w:p>
            <w:pPr>
              <w:jc w:val="both"/>
              <w:rPr>
                <w:rFonts w:ascii="Arial" w:hAnsi="Arial"/>
                <w:sz w:val="18"/>
              </w:rPr>
            </w:pPr>
          </w:p>
          <w:p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Изражено у еврима </w:t>
            </w:r>
            <w:r>
              <w:rPr>
                <w:rFonts w:ascii="Arial" w:hAnsi="Arial"/>
                <w:b w:val="1"/>
                <w:sz w:val="18"/>
              </w:rPr>
              <w:t>извезено</w:t>
            </w:r>
            <w:r>
              <w:rPr>
                <w:rFonts w:ascii="Arial" w:hAnsi="Arial"/>
                <w:sz w:val="18"/>
              </w:rPr>
              <w:t xml:space="preserve"> је робе у вредности од </w:t>
            </w:r>
            <w:r>
              <w:rPr>
                <w:rFonts w:ascii="Arial" w:hAnsi="Arial"/>
                <w:b w:val="1"/>
                <w:sz w:val="18"/>
              </w:rPr>
              <w:t>1</w:t>
            </w:r>
            <w:r>
              <w:rPr>
                <w:rFonts w:ascii="Arial" w:hAnsi="Arial"/>
                <w:b w:val="1"/>
                <w:sz w:val="18"/>
              </w:rPr>
              <w:t>213</w:t>
            </w:r>
            <w:r>
              <w:rPr>
                <w:rFonts w:ascii="Arial" w:hAnsi="Arial"/>
                <w:b w:val="1"/>
                <w:sz w:val="18"/>
              </w:rPr>
              <w:t>,</w:t>
            </w:r>
            <w:r>
              <w:rPr>
                <w:rFonts w:ascii="Arial" w:hAnsi="Arial"/>
                <w:b w:val="1"/>
                <w:sz w:val="18"/>
              </w:rPr>
              <w:t>8</w:t>
            </w:r>
            <w:r>
              <w:rPr>
                <w:rFonts w:ascii="Arial" w:hAnsi="Arial"/>
                <w:b w:val="1"/>
                <w:sz w:val="18"/>
              </w:rPr>
              <w:t xml:space="preserve"> милиона евра</w:t>
            </w:r>
            <w:r>
              <w:rPr>
                <w:rFonts w:ascii="Arial" w:hAnsi="Arial"/>
                <w:sz w:val="18"/>
              </w:rPr>
              <w:t xml:space="preserve">, што чини повећање од 2,4% у односу на исти месец претходне године. </w:t>
            </w:r>
            <w:r>
              <w:rPr>
                <w:rFonts w:ascii="Arial" w:hAnsi="Arial"/>
                <w:b w:val="1"/>
                <w:sz w:val="18"/>
              </w:rPr>
              <w:t>Увоз</w:t>
            </w:r>
            <w:r>
              <w:rPr>
                <w:rFonts w:ascii="Arial" w:hAnsi="Arial"/>
                <w:sz w:val="18"/>
              </w:rPr>
              <w:t xml:space="preserve"> је износио </w:t>
            </w:r>
            <w:r>
              <w:rPr>
                <w:rFonts w:ascii="Arial" w:hAnsi="Arial"/>
                <w:b w:val="1"/>
                <w:sz w:val="18"/>
              </w:rPr>
              <w:t>1</w:t>
            </w:r>
            <w:r>
              <w:rPr>
                <w:rFonts w:ascii="Arial" w:hAnsi="Arial"/>
                <w:b w:val="1"/>
                <w:sz w:val="18"/>
              </w:rPr>
              <w:t>88</w:t>
            </w:r>
            <w:r>
              <w:rPr>
                <w:rFonts w:ascii="Arial" w:hAnsi="Arial"/>
                <w:b w:val="1"/>
                <w:sz w:val="18"/>
              </w:rPr>
              <w:t>0</w:t>
            </w:r>
            <w:r>
              <w:rPr>
                <w:rFonts w:ascii="Arial" w:hAnsi="Arial"/>
                <w:b w:val="1"/>
                <w:sz w:val="18"/>
              </w:rPr>
              <w:t>,</w:t>
            </w:r>
            <w:r>
              <w:rPr>
                <w:rFonts w:ascii="Arial" w:hAnsi="Arial"/>
                <w:b w:val="1"/>
                <w:sz w:val="18"/>
              </w:rPr>
              <w:t>9</w:t>
            </w:r>
            <w:r>
              <w:rPr>
                <w:rFonts w:ascii="Arial" w:hAnsi="Arial"/>
                <w:b w:val="1"/>
                <w:sz w:val="18"/>
              </w:rPr>
              <w:t xml:space="preserve"> милиона евра</w:t>
            </w:r>
            <w:r>
              <w:rPr>
                <w:rFonts w:ascii="Arial" w:hAnsi="Arial"/>
                <w:sz w:val="18"/>
              </w:rPr>
              <w:t xml:space="preserve">, што чини повећање од 9,2% у односу на исти месец претходне године </w:t>
            </w:r>
          </w:p>
          <w:p>
            <w:pPr>
              <w:jc w:val="both"/>
              <w:rPr>
                <w:rFonts w:ascii="Arial" w:hAnsi="Arial"/>
                <w:sz w:val="18"/>
              </w:rPr>
            </w:pPr>
          </w:p>
          <w:p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Рачунато у доларима, десезонирани индекс  децембар 2018 / новембар 2018. године показује пад извоза за 3,7% и пад  увоза за 3,1%. Рачунато у еврима, десезонирани индекс децембар 2018 / новембар 2018. године показује пад  извоза за 4,0% и пад  увоза за 2,2%.</w:t>
            </w:r>
          </w:p>
          <w:p>
            <w:pPr>
              <w:tabs>
                <w:tab w:val="center" w:pos="7797" w:leader="none"/>
              </w:tabs>
              <w:ind w:right="284"/>
              <w:jc w:val="both"/>
              <w:rPr>
                <w:rFonts w:ascii="Arial" w:hAnsi="Arial"/>
                <w:b w:val="1"/>
                <w:color w:val="0070C0"/>
                <w:sz w:val="18"/>
              </w:rPr>
            </w:pPr>
          </w:p>
          <w:p>
            <w:pPr>
              <w:tabs>
                <w:tab w:val="center" w:pos="0" w:leader="none"/>
              </w:tabs>
              <w:ind w:right="284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Према Номенклатури статистике спољне трговине (</w:t>
            </w:r>
            <w:r>
              <w:rPr>
                <w:rFonts w:ascii="Arial" w:hAnsi="Arial"/>
                <w:b w:val="1"/>
                <w:sz w:val="18"/>
              </w:rPr>
              <w:t>НССТ</w:t>
            </w:r>
            <w:r>
              <w:rPr>
                <w:rFonts w:ascii="Arial" w:hAnsi="Arial"/>
                <w:sz w:val="18"/>
              </w:rPr>
              <w:t>) за</w:t>
            </w:r>
            <w:r>
              <w:rPr>
                <w:rFonts w:ascii="Arial" w:hAnsi="Arial"/>
                <w:b w:val="1"/>
                <w:i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 месец  </w:t>
            </w:r>
            <w:r>
              <w:rPr>
                <w:rFonts w:ascii="Arial" w:hAnsi="Arial"/>
                <w:b w:val="1"/>
                <w:i w:val="1"/>
                <w:sz w:val="18"/>
              </w:rPr>
              <w:t>дец</w:t>
            </w:r>
            <w:r>
              <w:rPr>
                <w:rFonts w:ascii="Arial" w:hAnsi="Arial"/>
                <w:b w:val="1"/>
                <w:i w:val="1"/>
                <w:sz w:val="18"/>
              </w:rPr>
              <w:t>ем</w:t>
            </w:r>
            <w:r>
              <w:rPr>
                <w:rFonts w:ascii="Arial" w:hAnsi="Arial"/>
                <w:b w:val="1"/>
                <w:i w:val="1"/>
                <w:sz w:val="18"/>
              </w:rPr>
              <w:t>бар</w:t>
            </w:r>
            <w:r>
              <w:rPr>
                <w:rFonts w:ascii="Arial" w:hAnsi="Arial"/>
                <w:sz w:val="18"/>
              </w:rPr>
              <w:t>:</w:t>
            </w:r>
          </w:p>
          <w:p>
            <w:pPr>
              <w:tabs>
                <w:tab w:val="center" w:pos="0" w:leader="none"/>
              </w:tabs>
              <w:ind w:right="284"/>
              <w:jc w:val="both"/>
              <w:rPr>
                <w:rFonts w:ascii="Arial" w:hAnsi="Arial"/>
                <w:sz w:val="18"/>
              </w:rPr>
            </w:pPr>
          </w:p>
          <w:p>
            <w:pPr>
              <w:tabs>
                <w:tab w:val="center" w:pos="0" w:leader="none"/>
              </w:tabs>
              <w:jc w:val="both"/>
              <w:rPr>
                <w:rFonts w:ascii="Arial" w:hAnsi="Arial"/>
                <w:i w:val="1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На листи првих 5 производа у </w:t>
            </w:r>
            <w:r>
              <w:rPr>
                <w:rFonts w:ascii="Arial" w:hAnsi="Arial"/>
                <w:b w:val="1"/>
                <w:sz w:val="18"/>
              </w:rPr>
              <w:t>извозу</w:t>
            </w:r>
            <w:r>
              <w:rPr>
                <w:rFonts w:ascii="Arial" w:hAnsi="Arial"/>
                <w:sz w:val="18"/>
              </w:rPr>
              <w:t xml:space="preserve">, прво место заузима извоз </w:t>
            </w:r>
            <w:r>
              <w:rPr>
                <w:rFonts w:ascii="Arial" w:hAnsi="Arial"/>
                <w:i w:val="1"/>
                <w:sz w:val="18"/>
              </w:rPr>
              <w:t xml:space="preserve">сетова проводника за авионе, возила и бродове </w:t>
            </w:r>
            <w:r>
              <w:rPr>
                <w:rFonts w:ascii="Arial" w:hAnsi="Arial"/>
                <w:sz w:val="18"/>
              </w:rPr>
              <w:t>(67 мил. долара)</w:t>
            </w:r>
            <w:r>
              <w:rPr>
                <w:rFonts w:ascii="Arial" w:hAnsi="Arial"/>
                <w:i w:val="1"/>
                <w:sz w:val="18"/>
              </w:rPr>
              <w:t>;</w:t>
            </w:r>
            <w:r>
              <w:rPr>
                <w:rFonts w:ascii="Arial" w:hAnsi="Arial"/>
                <w:sz w:val="18"/>
              </w:rPr>
              <w:t xml:space="preserve">  друго место припада извозу </w:t>
            </w:r>
            <w:r>
              <w:rPr>
                <w:rFonts w:ascii="Arial" w:hAnsi="Arial"/>
                <w:i w:val="1"/>
                <w:sz w:val="18"/>
              </w:rPr>
              <w:t xml:space="preserve">топло ваљаних производа (гвожђе и нелегирани челик) у котуровима </w:t>
            </w:r>
            <w:r>
              <w:rPr>
                <w:rFonts w:ascii="Arial" w:hAnsi="Arial"/>
                <w:sz w:val="18"/>
              </w:rPr>
              <w:t xml:space="preserve">(33 мил. долара); на трећем месту је извоз </w:t>
            </w:r>
            <w:r>
              <w:rPr>
                <w:rFonts w:ascii="Arial" w:hAnsi="Arial"/>
                <w:i w:val="1"/>
                <w:sz w:val="18"/>
              </w:rPr>
              <w:t>кукуруза</w:t>
            </w:r>
            <w:r>
              <w:rPr>
                <w:rFonts w:ascii="Arial" w:hAnsi="Arial"/>
                <w:i w:val="1"/>
                <w:sz w:val="18"/>
              </w:rPr>
              <w:t xml:space="preserve">, </w:t>
            </w:r>
            <w:r>
              <w:rPr>
                <w:rFonts w:ascii="Arial" w:hAnsi="Arial"/>
                <w:sz w:val="18"/>
              </w:rPr>
              <w:t>са такође, 33 мил. долара</w:t>
            </w:r>
            <w:r>
              <w:rPr>
                <w:rFonts w:ascii="Arial" w:hAnsi="Arial"/>
                <w:i w:val="1"/>
                <w:sz w:val="18"/>
              </w:rPr>
              <w:t xml:space="preserve">; </w:t>
            </w:r>
            <w:r>
              <w:rPr>
                <w:rFonts w:ascii="Arial" w:hAnsi="Arial"/>
                <w:sz w:val="18"/>
              </w:rPr>
              <w:t xml:space="preserve">извоз </w:t>
            </w:r>
            <w:r>
              <w:rPr>
                <w:rFonts w:ascii="Arial" w:hAnsi="Arial"/>
                <w:i w:val="1"/>
                <w:sz w:val="18"/>
              </w:rPr>
              <w:t>рафинисаног бакра</w:t>
            </w:r>
            <w:r>
              <w:rPr>
                <w:rFonts w:ascii="Arial" w:hAnsi="Arial"/>
                <w:sz w:val="18"/>
              </w:rPr>
              <w:t xml:space="preserve"> био је 31 мил. долара; последње место припада извозу</w:t>
            </w:r>
            <w:r>
              <w:rPr>
                <w:rFonts w:ascii="Arial" w:hAnsi="Arial"/>
                <w:i w:val="1"/>
                <w:sz w:val="18"/>
              </w:rPr>
              <w:t xml:space="preserve"> </w:t>
            </w:r>
            <w:r>
              <w:rPr>
                <w:rFonts w:ascii="Arial" w:hAnsi="Arial"/>
                <w:i w:val="1"/>
                <w:sz w:val="18"/>
              </w:rPr>
              <w:t>нових спољних гума за аутомобиле</w:t>
            </w:r>
            <w:r>
              <w:rPr>
                <w:rFonts w:ascii="Arial" w:hAnsi="Arial"/>
                <w:i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са 30 мил. долара.</w:t>
            </w:r>
          </w:p>
          <w:p>
            <w:pPr>
              <w:tabs>
                <w:tab w:val="center" w:pos="7797" w:leader="none"/>
              </w:tabs>
              <w:ind w:hanging="90" w:left="90" w:right="99"/>
              <w:jc w:val="both"/>
              <w:rPr>
                <w:rFonts w:ascii="Arial" w:hAnsi="Arial"/>
                <w:color w:val="0070C0"/>
                <w:sz w:val="18"/>
              </w:rPr>
            </w:pPr>
          </w:p>
          <w:p>
            <w:pPr>
              <w:tabs>
                <w:tab w:val="center" w:pos="0" w:leader="none"/>
              </w:tabs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Листа првих 5 производа у </w:t>
            </w:r>
            <w:r>
              <w:rPr>
                <w:rFonts w:ascii="Arial" w:hAnsi="Arial"/>
                <w:b w:val="1"/>
                <w:sz w:val="18"/>
              </w:rPr>
              <w:t>увозу</w:t>
            </w:r>
            <w:r>
              <w:rPr>
                <w:rFonts w:ascii="Arial" w:hAnsi="Arial"/>
                <w:sz w:val="18"/>
              </w:rPr>
              <w:t xml:space="preserve"> показује да је </w:t>
            </w:r>
            <w:r>
              <w:rPr>
                <w:rFonts w:ascii="Arial" w:hAnsi="Arial"/>
                <w:i w:val="1"/>
                <w:sz w:val="18"/>
              </w:rPr>
              <w:t>сиров</w:t>
            </w:r>
            <w:r>
              <w:rPr>
                <w:rFonts w:ascii="Arial" w:hAnsi="Arial"/>
                <w:i w:val="1"/>
                <w:sz w:val="18"/>
              </w:rPr>
              <w:t>а</w:t>
            </w:r>
            <w:r>
              <w:rPr>
                <w:rFonts w:ascii="Arial" w:hAnsi="Arial"/>
                <w:i w:val="1"/>
                <w:sz w:val="18"/>
              </w:rPr>
              <w:t xml:space="preserve"> </w:t>
            </w:r>
            <w:r>
              <w:rPr>
                <w:rFonts w:ascii="Arial" w:hAnsi="Arial"/>
                <w:i w:val="1"/>
                <w:sz w:val="18"/>
              </w:rPr>
              <w:t>нафт</w:t>
            </w:r>
            <w:r>
              <w:rPr>
                <w:rFonts w:ascii="Arial" w:hAnsi="Arial"/>
                <w:i w:val="1"/>
                <w:sz w:val="18"/>
              </w:rPr>
              <w:t xml:space="preserve">а </w:t>
            </w:r>
            <w:r>
              <w:rPr>
                <w:rFonts w:ascii="Arial" w:hAnsi="Arial"/>
                <w:sz w:val="18"/>
              </w:rPr>
              <w:t xml:space="preserve">(109 мил. долара) наш први увозни производ.  Други по значају је </w:t>
            </w:r>
            <w:r>
              <w:rPr>
                <w:rFonts w:ascii="Arial" w:hAnsi="Arial"/>
                <w:i w:val="1"/>
                <w:sz w:val="18"/>
              </w:rPr>
              <w:t>природни</w:t>
            </w:r>
            <w:r>
              <w:rPr>
                <w:rFonts w:ascii="Arial" w:hAnsi="Arial"/>
                <w:i w:val="1"/>
                <w:sz w:val="18"/>
              </w:rPr>
              <w:t xml:space="preserve"> </w:t>
            </w:r>
            <w:r>
              <w:rPr>
                <w:rFonts w:ascii="Arial" w:hAnsi="Arial"/>
                <w:i w:val="1"/>
                <w:sz w:val="18"/>
              </w:rPr>
              <w:t>гас</w:t>
            </w:r>
            <w:r>
              <w:rPr>
                <w:rFonts w:ascii="Arial" w:hAnsi="Arial"/>
                <w:sz w:val="18"/>
              </w:rPr>
              <w:t xml:space="preserve"> (63 мил. долара).</w:t>
            </w:r>
            <w:r>
              <w:rPr>
                <w:rFonts w:ascii="Arial" w:hAnsi="Arial"/>
                <w:i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На трећем месту увозне листе су </w:t>
            </w:r>
            <w:r>
              <w:rPr>
                <w:rFonts w:ascii="Arial" w:hAnsi="Arial"/>
                <w:i w:val="1"/>
                <w:sz w:val="18"/>
              </w:rPr>
              <w:t>л</w:t>
            </w:r>
            <w:r>
              <w:rPr>
                <w:rFonts w:ascii="Arial" w:hAnsi="Arial"/>
                <w:i w:val="1"/>
                <w:sz w:val="18"/>
              </w:rPr>
              <w:t>екови за малопродају</w:t>
            </w:r>
            <w:r>
              <w:rPr>
                <w:rFonts w:ascii="Arial" w:hAnsi="Arial"/>
                <w:sz w:val="18"/>
              </w:rPr>
              <w:t xml:space="preserve"> (51 мил. долара). </w:t>
            </w:r>
            <w:r>
              <w:rPr>
                <w:rFonts w:ascii="Arial" w:hAnsi="Arial"/>
                <w:i w:val="1"/>
                <w:sz w:val="18"/>
              </w:rPr>
              <w:t>Гасна уља</w:t>
            </w:r>
            <w:r>
              <w:rPr>
                <w:rFonts w:ascii="Arial" w:hAnsi="Arial"/>
                <w:i w:val="1"/>
                <w:sz w:val="18"/>
                <w:vertAlign w:val="superscript"/>
              </w:rPr>
              <w:t xml:space="preserve"> </w:t>
            </w:r>
            <w:r>
              <w:rPr>
                <w:rFonts w:ascii="Arial" w:hAnsi="Arial"/>
                <w:sz w:val="18"/>
              </w:rPr>
              <w:t>смо</w:t>
            </w:r>
            <w:r>
              <w:rPr>
                <w:rFonts w:ascii="Arial" w:hAnsi="Arial"/>
                <w:i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увезли за 33 мил. долара. Последње место заузима увоз </w:t>
            </w:r>
            <w:r>
              <w:rPr>
                <w:rFonts w:ascii="Arial" w:hAnsi="Arial"/>
                <w:i w:val="1"/>
                <w:sz w:val="18"/>
              </w:rPr>
              <w:t>телефона за мрежу станица</w:t>
            </w:r>
            <w:r>
              <w:rPr>
                <w:rFonts w:ascii="Arial" w:hAnsi="Arial"/>
                <w:i w:val="1"/>
                <w:sz w:val="18"/>
                <w:vertAlign w:val="superscript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са 26 мил. долара. </w:t>
            </w:r>
          </w:p>
          <w:p>
            <w:pPr>
              <w:tabs>
                <w:tab w:val="center" w:pos="0" w:leader="none"/>
              </w:tabs>
              <w:jc w:val="both"/>
              <w:rPr>
                <w:rFonts w:ascii="Arial" w:hAnsi="Arial"/>
                <w:i w:val="1"/>
                <w:sz w:val="18"/>
              </w:rPr>
            </w:pPr>
          </w:p>
          <w:p>
            <w:pPr>
              <w:jc w:val="both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sz w:val="18"/>
              </w:rPr>
              <w:t>Републички завод за статистику од 1999. године не располаже подацима за АП Косово и Метохија, тако да они нису садржани у обухвату података за Републику Србију (укупно).</w:t>
            </w:r>
          </w:p>
        </w:tc>
      </w:tr>
    </w:tbl>
    <w:p/>
    <w:sectPr>
      <w:headerReference xmlns:r="http://schemas.openxmlformats.org/officeDocument/2006/relationships" w:type="first" r:id="RelHdr1"/>
      <w:headerReference xmlns:r="http://schemas.openxmlformats.org/officeDocument/2006/relationships" w:type="default" r:id="RelHdr2"/>
      <w:footerReference xmlns:r="http://schemas.openxmlformats.org/officeDocument/2006/relationships" w:type="default" r:id="RelFtr1"/>
      <w:type w:val="nextPage"/>
      <w:pgSz w:w="11906" w:h="16838" w:code="0"/>
      <w:pgMar w:left="1080" w:right="1080" w:top="360" w:bottom="259" w:header="432" w:footer="432" w:gutter="0"/>
      <w:cols w:equalWidth="1" w:space="720"/>
      <w:vAlign w:val="both"/>
      <w:titlePg w:val="1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tbl>
    <w:tblPr>
      <w:tblStyle w:val="T2"/>
      <w:tblW w:w="0" w:type="auto"/>
      <w:tblLayout w:type="autofit"/>
    </w:tblPr>
    <w:tblGrid/>
    <w:tr>
      <w:tc>
        <w:tcPr>
          <w:tcW w:w="4788" w:type="dxa"/>
        </w:tcPr>
        <w:tbl>
          <w:tblPr>
            <w:tblStyle w:val="T2"/>
            <w:tblW w:w="11268" w:type="dxa"/>
            <w:tblLayout w:type="autofit"/>
          </w:tblPr>
          <w:tblGrid/>
          <w:tr>
            <w:tc>
              <w:tcPr>
                <w:tcW w:w="5868" w:type="dxa"/>
              </w:tcPr>
              <w:p>
                <w:pPr>
                  <w:jc w:val="both"/>
                  <w:rPr>
                    <w:rFonts w:ascii="Tahoma" w:hAnsi="Tahoma"/>
                    <w:color w:val="808080"/>
                    <w:sz w:val="20"/>
                  </w:rPr>
                </w:pPr>
                <w:r>
                  <w:rPr>
                    <w:rFonts w:ascii="Tahoma" w:hAnsi="Tahoma"/>
                    <w:color w:val="808080"/>
                    <w:sz w:val="20"/>
                  </w:rPr>
                  <w:t>Контакт:</w:t>
                </w:r>
              </w:p>
              <w:p>
                <w:pPr>
                  <w:jc w:val="both"/>
                  <w:rPr>
                    <w:rFonts w:ascii="Tahoma" w:hAnsi="Tahoma"/>
                    <w:color w:val="808080"/>
                    <w:sz w:val="20"/>
                  </w:rPr>
                </w:pPr>
                <w:r>
                  <w:rPr>
                    <w:rFonts w:ascii="Tahoma" w:hAnsi="Tahoma"/>
                    <w:color w:val="808080"/>
                    <w:sz w:val="20"/>
                  </w:rPr>
                  <w:t xml:space="preserve">Јасмина Црномарковић, </w:t>
                </w:r>
              </w:p>
              <w:p>
                <w:pPr>
                  <w:jc w:val="both"/>
                  <w:rPr>
                    <w:rFonts w:ascii="Tahoma" w:hAnsi="Tahoma"/>
                    <w:color w:val="808080"/>
                    <w:sz w:val="20"/>
                  </w:rPr>
                </w:pPr>
                <w:r>
                  <w:rPr>
                    <w:rFonts w:ascii="Tahoma" w:hAnsi="Tahoma"/>
                    <w:color w:val="808080"/>
                    <w:sz w:val="20"/>
                  </w:rPr>
                  <w:t>Одсек за статистику спољне трговине</w:t>
                </w:r>
              </w:p>
              <w:p>
                <w:pPr>
                  <w:jc w:val="both"/>
                  <w:rPr>
                    <w:rFonts w:ascii="Tahoma" w:hAnsi="Tahoma"/>
                    <w:color w:val="808080"/>
                    <w:sz w:val="20"/>
                  </w:rPr>
                </w:pPr>
                <w:r>
                  <w:rPr>
                    <w:rFonts w:ascii="Tahoma" w:hAnsi="Tahoma"/>
                    <w:color w:val="808080"/>
                    <w:sz w:val="20"/>
                  </w:rPr>
                  <w:t>тел: +381 11 2412-922/353</w:t>
                </w:r>
              </w:p>
              <w:p>
                <w:pPr>
                  <w:jc w:val="both"/>
                  <w:rPr>
                    <w:rFonts w:ascii="Tahoma" w:hAnsi="Tahoma"/>
                    <w:color w:val="808080"/>
                    <w:sz w:val="20"/>
                  </w:rPr>
                </w:pPr>
              </w:p>
              <w:p>
                <w:pPr>
                  <w:jc w:val="both"/>
                  <w:rPr>
                    <w:rFonts w:ascii="Tahoma" w:hAnsi="Tahoma"/>
                    <w:color w:val="808080"/>
                    <w:sz w:val="20"/>
                  </w:rPr>
                </w:pPr>
                <w:r>
                  <w:rPr>
                    <w:rFonts w:ascii="Tahoma" w:hAnsi="Tahoma"/>
                    <w:color w:val="808080"/>
                    <w:sz w:val="20"/>
                  </w:rPr>
                  <w:t xml:space="preserve">Група за информисање и дисеминацију </w:t>
                </w:r>
              </w:p>
              <w:p>
                <w:pPr>
                  <w:jc w:val="both"/>
                  <w:rPr>
                    <w:rFonts w:ascii="Tahoma" w:hAnsi="Tahoma"/>
                    <w:color w:val="808080"/>
                    <w:sz w:val="20"/>
                  </w:rPr>
                </w:pPr>
                <w:r>
                  <w:rPr>
                    <w:rFonts w:ascii="Tahoma" w:hAnsi="Tahoma"/>
                    <w:color w:val="808080"/>
                    <w:sz w:val="20"/>
                  </w:rPr>
                  <w:t>тел: +381 11 2401-284</w:t>
                </w:r>
              </w:p>
              <w:p>
                <w:pPr>
                  <w:jc w:val="both"/>
                  <w:rPr>
                    <w:rFonts w:ascii="Tahoma" w:hAnsi="Tahoma"/>
                    <w:sz w:val="20"/>
                  </w:rPr>
                </w:pPr>
                <w:r>
                  <w:rPr>
                    <w:rFonts w:ascii="Tahoma" w:hAnsi="Tahoma"/>
                    <w:color w:val="808080"/>
                    <w:sz w:val="20"/>
                  </w:rPr>
                  <w:t>stat@stat.gov.rs</w:t>
                </w:r>
              </w:p>
              <w:p>
                <w:pPr>
                  <w:jc w:val="both"/>
                  <w:rPr>
                    <w:rFonts w:ascii="Tahoma" w:hAnsi="Tahoma"/>
                    <w:sz w:val="22"/>
                  </w:rPr>
                </w:pPr>
              </w:p>
            </w:tc>
            <w:tc>
              <w:tcPr>
                <w:tcW w:w="5400" w:type="dxa"/>
              </w:tcPr>
              <w:p>
                <w:pPr>
                  <w:jc w:val="center"/>
                  <w:rPr>
                    <w:rFonts w:ascii="Tahoma" w:hAnsi="Tahoma"/>
                    <w:sz w:val="20"/>
                  </w:rPr>
                </w:pPr>
                <w:r>
                  <w:rPr>
                    <w:rFonts w:ascii="Tahoma" w:hAnsi="Tahoma"/>
                    <w:sz w:val="20"/>
                  </w:rPr>
                  <w:t xml:space="preserve">   Директор </w:t>
                </w:r>
              </w:p>
              <w:p>
                <w:pPr>
                  <w:ind w:left="972"/>
                  <w:jc w:val="both"/>
                  <w:rPr>
                    <w:rFonts w:ascii="Tahoma" w:hAnsi="Tahoma"/>
                    <w:sz w:val="20"/>
                  </w:rPr>
                </w:pPr>
                <w:r>
                  <w:rPr>
                    <w:rFonts w:ascii="Tahoma" w:hAnsi="Tahoma"/>
                    <w:sz w:val="20"/>
                  </w:rPr>
                  <w:t xml:space="preserve">     Др Миладин Ковачевић</w:t>
                </w:r>
              </w:p>
              <w:p>
                <w:pPr>
                  <w:jc w:val="both"/>
                  <w:rPr>
                    <w:rFonts w:ascii="Tahoma" w:hAnsi="Tahoma"/>
                    <w:color w:val="808080"/>
                    <w:sz w:val="20"/>
                  </w:rPr>
                </w:pPr>
              </w:p>
              <w:p>
                <w:pPr>
                  <w:jc w:val="both"/>
                  <w:rPr>
                    <w:rFonts w:ascii="Tahoma" w:hAnsi="Tahoma"/>
                    <w:sz w:val="20"/>
                  </w:rPr>
                </w:pPr>
              </w:p>
            </w:tc>
          </w:tr>
        </w:tbl>
        <w:p>
          <w:pPr>
            <w:jc w:val="both"/>
            <w:rPr>
              <w:rFonts w:ascii="Tahoma" w:hAnsi="Tahoma"/>
              <w:color w:val="333333"/>
              <w:sz w:val="22"/>
            </w:rPr>
          </w:pPr>
        </w:p>
      </w:tc>
      <w:tc>
        <w:tcPr>
          <w:tcW w:w="5400" w:type="dxa"/>
        </w:tcPr>
        <w:p>
          <w:pPr>
            <w:rPr>
              <w:rFonts w:ascii="Tahoma" w:hAnsi="Tahoma"/>
              <w:color w:val="333333"/>
              <w:sz w:val="22"/>
            </w:rPr>
          </w:pPr>
        </w:p>
      </w:tc>
    </w:tr>
    <w:tr>
      <w:tblPrEx>
        <w:tblW w:w="0" w:type="auto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autofit"/>
      </w:tblPrEx>
      <w:tc>
        <w:tcPr>
          <w:tcW w:w="4788" w:type="dxa"/>
          <w:tcBorders>
            <w:top w:val="none" w:sz="0" w:space="0" w:shadow="0" w:frame="0"/>
            <w:left w:val="none" w:sz="0" w:space="0" w:shadow="0" w:frame="0"/>
            <w:bottom w:val="none" w:sz="0" w:space="0" w:shadow="0" w:frame="0"/>
            <w:right w:val="none" w:sz="0" w:space="0" w:shadow="0" w:frame="0"/>
          </w:tcBorders>
        </w:tcPr>
        <w:p>
          <w:pPr>
            <w:jc w:val="both"/>
            <w:rPr>
              <w:rFonts w:ascii="Tahoma" w:hAnsi="Tahoma"/>
              <w:sz w:val="22"/>
            </w:rPr>
          </w:pPr>
        </w:p>
      </w:tc>
      <w:tc>
        <w:tcPr>
          <w:tcW w:w="5400" w:type="dxa"/>
          <w:tcBorders>
            <w:top w:val="none" w:sz="0" w:space="0" w:shadow="0" w:frame="0"/>
            <w:left w:val="none" w:sz="0" w:space="0" w:shadow="0" w:frame="0"/>
            <w:bottom w:val="none" w:sz="0" w:space="0" w:shadow="0" w:frame="0"/>
            <w:right w:val="none" w:sz="0" w:space="0" w:shadow="0" w:frame="0"/>
          </w:tcBorders>
        </w:tcPr>
        <w:p>
          <w:pPr>
            <w:ind w:left="972"/>
            <w:jc w:val="both"/>
            <w:rPr>
              <w:rFonts w:ascii="Tahoma" w:hAnsi="Tahoma"/>
              <w:sz w:val="20"/>
            </w:rPr>
          </w:pPr>
        </w:p>
      </w:tc>
    </w:tr>
  </w:tbl>
  <w:p>
    <w:pPr>
      <w:pStyle w:val="P3"/>
    </w:pPr>
  </w:p>
</w:ftr>
</file>

<file path=word/header1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tbl>
    <w:tblPr>
      <w:tblStyle w:val="T2"/>
      <w:tblW w:w="0" w:type="auto"/>
      <w:tblBorders>
        <w:top w:val="none" w:sz="0" w:space="0" w:shadow="0" w:frame="0"/>
        <w:left w:val="none" w:sz="0" w:space="0" w:shadow="0" w:frame="0"/>
        <w:bottom w:val="none" w:sz="0" w:space="0" w:shadow="0" w:frame="0"/>
        <w:right w:val="none" w:sz="0" w:space="0" w:shadow="0" w:frame="0"/>
        <w:insideH w:val="single" w:sz="4" w:space="0" w:shadow="0" w:frame="0"/>
        <w:insideV w:val="none" w:sz="0" w:space="0" w:shadow="0" w:frame="0"/>
      </w:tblBorders>
      <w:tblLayout w:type="fixed"/>
    </w:tblPr>
    <w:tblGrid/>
    <w:tr>
      <w:tc>
        <w:tcPr>
          <w:tcW w:w="3708" w:type="dxa"/>
        </w:tcPr>
        <w:p>
          <w:pPr>
            <w:pStyle w:val="P2"/>
            <w:ind w:right="972"/>
            <w:rPr>
              <w:rFonts w:ascii="Tahoma" w:hAnsi="Tahoma"/>
              <w:sz w:val="20"/>
            </w:rPr>
          </w:pPr>
          <w:r>
            <w:drawing>
              <wp:inline xmlns:wp="http://schemas.openxmlformats.org/drawingml/2006/wordprocessingDrawing">
                <wp:extent cx="1564005" cy="709930"/>
                <wp:docPr id="1" name="Picture 1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xmlns:r="http://schemas.openxmlformats.org/officeDocument/2006/relationships" r:embed="Relimage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64005" cy="709930"/>
                        </a:xfrm>
                        <a:prstGeom prst="rect"/>
                        <a:noFill/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/>
              <w:sz w:val="20"/>
            </w:rPr>
            <w:t xml:space="preserve"> Република Србија</w:t>
          </w:r>
        </w:p>
        <w:p>
          <w:pPr>
            <w:pStyle w:val="P2"/>
            <w:rPr>
              <w:rFonts w:ascii="Tahoma" w:hAnsi="Tahoma"/>
              <w:sz w:val="20"/>
            </w:rPr>
          </w:pPr>
          <w:r>
            <w:rPr>
              <w:rFonts w:ascii="Tahoma" w:hAnsi="Tahoma"/>
              <w:sz w:val="20"/>
            </w:rPr>
            <w:t>Републички завод за статистику</w:t>
          </w:r>
        </w:p>
      </w:tc>
      <w:tc>
        <w:tcPr>
          <w:tcW w:w="6588" w:type="dxa"/>
        </w:tcPr>
        <w:p>
          <w:pPr>
            <w:pStyle w:val="P2"/>
            <w:jc w:val="right"/>
            <w:rPr>
              <w:rFonts w:ascii="Tahoma" w:hAnsi="Tahoma"/>
              <w:sz w:val="32"/>
            </w:rPr>
          </w:pPr>
          <w:r>
            <w:rPr>
              <w:rFonts w:ascii="Tahoma" w:hAnsi="Tahoma"/>
              <w:sz w:val="32"/>
            </w:rPr>
            <w:t>Саопштење за јавност</w:t>
          </w:r>
        </w:p>
        <w:p>
          <w:pPr>
            <w:pStyle w:val="P2"/>
            <w:jc w:val="right"/>
            <w:rPr>
              <w:rFonts w:ascii="Tahoma" w:hAnsi="Tahoma"/>
            </w:rPr>
          </w:pPr>
        </w:p>
        <w:p>
          <w:pPr>
            <w:pStyle w:val="P2"/>
            <w:jc w:val="right"/>
            <w:rPr>
              <w:rFonts w:ascii="Tahoma" w:hAnsi="Tahoma"/>
              <w:sz w:val="20"/>
            </w:rPr>
          </w:pPr>
          <w:r>
            <w:rPr>
              <w:rFonts w:ascii="Tahoma" w:hAnsi="Tahoma"/>
              <w:sz w:val="20"/>
            </w:rPr>
            <w:t>Београд, Милана Ракића 5</w:t>
          </w:r>
        </w:p>
        <w:p>
          <w:pPr>
            <w:pStyle w:val="P2"/>
            <w:jc w:val="right"/>
            <w:rPr>
              <w:rFonts w:ascii="Tahoma" w:hAnsi="Tahoma"/>
              <w:sz w:val="20"/>
            </w:rPr>
          </w:pPr>
          <w:r>
            <w:rPr>
              <w:rFonts w:ascii="Tahoma" w:hAnsi="Tahoma"/>
              <w:sz w:val="20"/>
            </w:rPr>
            <w:t>телефон +381 11 2412-922</w:t>
          </w:r>
        </w:p>
        <w:p>
          <w:pPr>
            <w:pStyle w:val="P2"/>
            <w:jc w:val="right"/>
            <w:rPr>
              <w:rFonts w:ascii="Tahoma" w:hAnsi="Tahoma"/>
              <w:sz w:val="20"/>
            </w:rPr>
          </w:pPr>
          <w:r>
            <w:rPr>
              <w:rFonts w:ascii="Tahoma" w:hAnsi="Tahoma"/>
              <w:sz w:val="20"/>
            </w:rPr>
            <w:t>www.stat.gov.rs</w:t>
          </w:r>
        </w:p>
        <w:p>
          <w:pPr>
            <w:pStyle w:val="P2"/>
            <w:jc w:val="right"/>
            <w:rPr>
              <w:rFonts w:ascii="Tahoma" w:hAnsi="Tahoma"/>
              <w:sz w:val="20"/>
            </w:rPr>
          </w:pPr>
          <w:r>
            <w:rPr>
              <w:rFonts w:ascii="Tahoma" w:hAnsi="Tahoma"/>
              <w:sz w:val="20"/>
            </w:rPr>
            <w:t>stat@stat.gov.rs</w:t>
          </w:r>
        </w:p>
      </w:tc>
    </w:tr>
  </w:tbl>
  <w:p>
    <w:pPr>
      <w:pStyle w:val="P2"/>
    </w:pPr>
  </w:p>
</w:hdr>
</file>

<file path=word/header2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tbl>
    <w:tblPr>
      <w:tblStyle w:val="T2"/>
      <w:tblW w:w="0" w:type="auto"/>
      <w:tblBorders>
        <w:top w:val="none" w:sz="0" w:space="0" w:shadow="0" w:frame="0"/>
        <w:left w:val="none" w:sz="0" w:space="0" w:shadow="0" w:frame="0"/>
        <w:bottom w:val="none" w:sz="0" w:space="0" w:shadow="0" w:frame="0"/>
        <w:right w:val="none" w:sz="0" w:space="0" w:shadow="0" w:frame="0"/>
        <w:insideH w:val="single" w:sz="4" w:space="0" w:shadow="0" w:frame="0"/>
        <w:insideV w:val="none" w:sz="0" w:space="0" w:shadow="0" w:frame="0"/>
      </w:tblBorders>
      <w:tblLayout w:type="fixed"/>
    </w:tblPr>
    <w:tblGrid/>
    <w:tr>
      <w:tc>
        <w:tcPr>
          <w:tcW w:w="3708" w:type="dxa"/>
        </w:tcPr>
        <w:p>
          <w:pPr>
            <w:pStyle w:val="P2"/>
            <w:rPr>
              <w:rFonts w:ascii="Tahoma" w:hAnsi="Tahoma"/>
              <w:sz w:val="20"/>
            </w:rPr>
          </w:pPr>
        </w:p>
      </w:tc>
      <w:tc>
        <w:tcPr>
          <w:tcW w:w="6588" w:type="dxa"/>
        </w:tcPr>
        <w:p>
          <w:pPr>
            <w:pStyle w:val="P2"/>
            <w:jc w:val="right"/>
            <w:rPr>
              <w:rFonts w:ascii="Tahoma" w:hAnsi="Tahoma"/>
              <w:sz w:val="20"/>
            </w:rPr>
          </w:pPr>
        </w:p>
      </w:tc>
    </w:tr>
  </w:tbl>
  <w:p>
    <w:pPr>
      <w:pStyle w:val="P2"/>
    </w:pPr>
  </w:p>
</w:hdr>
</file>

<file path=word/numbering.xml><?xml version="1.0" encoding="utf-8"?>
<w:numbering xmlns:w="http://schemas.openxmlformats.org/wordprocessingml/2006/main">
  <w:abstractNum w:abstractNumId="0">
    <w:nsid w:val="0D7C7C46"/>
    <w:multiLevelType w:val="hybridMultilevel"/>
    <w:lvl w:ilvl="0" w:tplc="036F34F7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1">
    <w:nsid w:val="166B4D0A"/>
    <w:multiLevelType w:val="hybridMultilevel"/>
    <w:lvl w:ilvl="0" w:tplc="32971F93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num w:numId="1">
    <w:abstractNumId w:va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/>
    <w:rPr>
      <w:sz w:val="24"/>
    </w:rPr>
  </w:style>
  <w:style w:type="paragraph" w:styleId="P1">
    <w:name w:val="Default"/>
    <w:next w:val="P1"/>
    <w:pPr/>
    <w:rPr>
      <w:rFonts w:ascii="Arial" w:hAnsi="Arial"/>
      <w:color w:val="000000"/>
      <w:sz w:val="24"/>
    </w:rPr>
  </w:style>
  <w:style w:type="paragraph" w:styleId="P2">
    <w:name w:val="Header"/>
    <w:basedOn w:val="P0"/>
    <w:next w:val="P2"/>
    <w:pPr>
      <w:tabs>
        <w:tab w:val="center" w:pos="4320" w:leader="none"/>
        <w:tab w:val="right" w:pos="8640" w:leader="none"/>
      </w:tabs>
    </w:pPr>
    <w:rPr/>
  </w:style>
  <w:style w:type="paragraph" w:styleId="P3">
    <w:name w:val="Footer"/>
    <w:basedOn w:val="P0"/>
    <w:next w:val="P3"/>
    <w:pPr>
      <w:tabs>
        <w:tab w:val="center" w:pos="4320" w:leader="none"/>
        <w:tab w:val="right" w:pos="8640" w:leader="none"/>
      </w:tabs>
    </w:pPr>
    <w:rPr/>
  </w:style>
  <w:style w:type="paragraph" w:styleId="P4">
    <w:name w:val="Body Text"/>
    <w:basedOn w:val="P0"/>
    <w:next w:val="P4"/>
    <w:pPr>
      <w:spacing w:after="120"/>
    </w:pPr>
    <w:rPr/>
  </w:style>
  <w:style w:type="paragraph" w:styleId="P5">
    <w:name w:val="Body Text Indent 2"/>
    <w:basedOn w:val="P0"/>
    <w:next w:val="P5"/>
    <w:pPr>
      <w:spacing w:lineRule="auto" w:line="480" w:after="120"/>
      <w:ind w:left="360"/>
    </w:pPr>
    <w:rPr/>
  </w:style>
  <w:style w:type="paragraph" w:styleId="P6">
    <w:name w:val="Body Text Indent"/>
    <w:basedOn w:val="P0"/>
    <w:next w:val="P6"/>
    <w:pPr>
      <w:spacing w:after="120"/>
      <w:ind w:left="360"/>
    </w:pPr>
    <w:rPr/>
  </w:style>
  <w:style w:type="paragraph" w:styleId="P7">
    <w:name w:val="Body Text 2"/>
    <w:basedOn w:val="P0"/>
    <w:next w:val="P7"/>
    <w:pPr>
      <w:spacing w:lineRule="auto" w:line="480" w:after="120"/>
    </w:pPr>
    <w:rPr/>
  </w:style>
  <w:style w:type="paragraph" w:styleId="P8">
    <w:name w:val="Balloon Text"/>
    <w:basedOn w:val="P0"/>
    <w:next w:val="P8"/>
    <w:pPr/>
    <w:rPr>
      <w:rFonts w:ascii="Tahoma" w:hAnsi="Tahoma"/>
      <w:sz w:val="16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Page Number"/>
    <w:basedOn w:val="C0"/>
    <w:rPr/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3">
    <w:name w:val="Table Grid"/>
    <w:basedOn w:val="T2"/>
    <w:tblPr>
      <w:tblBorders>
        <w:top w:val="single" w:sz="4" w:space="0" w:shadow="0" w:frame="0"/>
        <w:left w:val="single" w:sz="4" w:space="0" w:shadow="0" w:frame="0"/>
        <w:bottom w:val="single" w:sz="4" w:space="0" w:shadow="0" w:frame="0"/>
        <w:right w:val="single" w:sz="4" w:space="0" w:shadow="0" w:frame="0"/>
        <w:insideH w:val="single" w:sz="4" w:space="0" w:shadow="0" w:frame="0"/>
        <w:insideV w:val="single" w:sz="4" w:space="0" w:shadow="0" w:frame="0"/>
      </w:tblBorders>
    </w:tblPr>
    <w:trPr/>
    <w:tcPr/>
  </w:style>
</w:styles>
</file>

<file path=word/_rels/document.xml.rels>&#65279;<?xml version="1.0" encoding="utf-8"?><Relationships xmlns="http://schemas.openxmlformats.org/package/2006/relationships"><Relationship Id="RelHdr1" Type="http://schemas.openxmlformats.org/officeDocument/2006/relationships/header" Target="header1.xml" /><Relationship Id="RelHdr2" Type="http://schemas.openxmlformats.org/officeDocument/2006/relationships/header" Target="header2.xml" /><Relationship Id="RelFtr1" Type="http://schemas.openxmlformats.org/officeDocument/2006/relationships/footer" Target="footer1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_rels/header1.xml.rels>&#65279;<?xml version="1.0" encoding="utf-8"?><Relationships xmlns="http://schemas.openxmlformats.org/package/2006/relationships"><Relationship Id="Relimage1" Type="http://schemas.openxmlformats.org/officeDocument/2006/relationships/image" Target="/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Aleksandra Danilovic</dc:creator>
  <dcterms:created xsi:type="dcterms:W3CDTF">2019-01-29T12:22:00Z</dcterms:created>
  <cp:lastModifiedBy>Nikola Kapetanovic</cp:lastModifiedBy>
  <cp:lastPrinted>2018-03-28T14:44:00Z</cp:lastPrinted>
  <dcterms:modified xsi:type="dcterms:W3CDTF">2020-01-10T11:23:02Z</dcterms:modified>
  <cp:revision>21</cp:revision>
  <dc:title>29</dc:title>
</cp:coreProperties>
</file>