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27"/>
        <w:tblW w:w="5000" w:type="pct"/>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58"/>
        <w:gridCol w:w="5222"/>
        <w:gridCol w:w="3324"/>
      </w:tblGrid>
      <w:tr w:rsidR="00391A81" w:rsidRPr="00EA57A8" w:rsidTr="006A1222">
        <w:trPr>
          <w:cantSplit/>
          <w:trHeight w:val="631"/>
        </w:trPr>
        <w:tc>
          <w:tcPr>
            <w:tcW w:w="812" w:type="pct"/>
            <w:tcBorders>
              <w:top w:val="single" w:sz="12" w:space="0" w:color="808080"/>
              <w:left w:val="nil"/>
              <w:bottom w:val="nil"/>
            </w:tcBorders>
            <w:vAlign w:val="center"/>
          </w:tcPr>
          <w:p w:rsidR="00391A81" w:rsidRPr="00EA57A8" w:rsidRDefault="00391A81" w:rsidP="00391A81">
            <w:pPr>
              <w:jc w:val="center"/>
              <w:rPr>
                <w:rFonts w:cs="Arial"/>
                <w:b/>
                <w:bCs/>
              </w:rPr>
            </w:pPr>
            <w:r w:rsidRPr="00EA57A8">
              <w:rPr>
                <w:noProof/>
                <w:lang w:val="en-US"/>
              </w:rPr>
              <w:drawing>
                <wp:anchor distT="0" distB="0" distL="114300" distR="114300" simplePos="0" relativeHeight="251668480" behindDoc="0" locked="0" layoutInCell="1" allowOverlap="1" wp14:anchorId="7E60498B" wp14:editId="4EF243BE">
                  <wp:simplePos x="0" y="0"/>
                  <wp:positionH relativeFrom="character">
                    <wp:posOffset>0</wp:posOffset>
                  </wp:positionH>
                  <wp:positionV relativeFrom="line">
                    <wp:posOffset>0</wp:posOffset>
                  </wp:positionV>
                  <wp:extent cx="904875" cy="219075"/>
                  <wp:effectExtent l="0" t="0" r="0" b="0"/>
                  <wp:wrapNone/>
                  <wp:docPr id="16" name="Picture 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Pr="00EA57A8">
              <w:rPr>
                <w:rFonts w:cs="Arial"/>
                <w:b/>
                <w:bCs/>
                <w:noProof/>
                <w:lang w:val="en-US"/>
              </w:rPr>
              <mc:AlternateContent>
                <mc:Choice Requires="wps">
                  <w:drawing>
                    <wp:inline distT="0" distB="0" distL="0" distR="0" wp14:anchorId="3F1DBF98" wp14:editId="734BEF73">
                      <wp:extent cx="903605" cy="223520"/>
                      <wp:effectExtent l="0" t="0" r="2540" b="0"/>
                      <wp:docPr id="15"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360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75C90A" id="Rectangle 1" o:spid="_x0000_s1026" style="width:71.1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" filled="f" stroked="f">
                      <o:lock v:ext="edit" aspectratio="t"/>
                      <w10:anchorlock/>
                    </v:rect>
                  </w:pict>
                </mc:Fallback>
              </mc:AlternateContent>
            </w:r>
          </w:p>
        </w:tc>
        <w:tc>
          <w:tcPr>
            <w:tcW w:w="2559" w:type="pct"/>
            <w:tcBorders>
              <w:top w:val="single" w:sz="12" w:space="0" w:color="808080"/>
              <w:left w:val="nil"/>
              <w:bottom w:val="nil"/>
            </w:tcBorders>
            <w:vAlign w:val="center"/>
          </w:tcPr>
          <w:p w:rsidR="00391A81" w:rsidRPr="00EA57A8" w:rsidRDefault="00391A81" w:rsidP="00391A81">
            <w:pPr>
              <w:jc w:val="right"/>
              <w:rPr>
                <w:rFonts w:cs="Arial"/>
                <w:b/>
                <w:bCs/>
                <w:color w:val="808080"/>
              </w:rPr>
            </w:pPr>
          </w:p>
        </w:tc>
        <w:tc>
          <w:tcPr>
            <w:tcW w:w="0" w:type="auto"/>
            <w:tcBorders>
              <w:top w:val="single" w:sz="12" w:space="0" w:color="808080"/>
              <w:bottom w:val="nil"/>
              <w:right w:val="nil"/>
            </w:tcBorders>
            <w:vAlign w:val="center"/>
          </w:tcPr>
          <w:p w:rsidR="00391A81" w:rsidRPr="00EA57A8" w:rsidRDefault="00391A81" w:rsidP="00391A81">
            <w:pPr>
              <w:jc w:val="right"/>
              <w:rPr>
                <w:rFonts w:cs="Arial"/>
                <w:b/>
                <w:color w:val="808080"/>
              </w:rPr>
            </w:pPr>
            <w:r w:rsidRPr="00EA57A8">
              <w:rPr>
                <w:rFonts w:cs="Arial"/>
              </w:rPr>
              <w:t>ISSN 0353-9555</w:t>
            </w:r>
          </w:p>
        </w:tc>
      </w:tr>
      <w:tr w:rsidR="00391A81" w:rsidRPr="00EA57A8" w:rsidTr="00146319">
        <w:trPr>
          <w:cantSplit/>
          <w:trHeight w:val="836"/>
        </w:trPr>
        <w:tc>
          <w:tcPr>
            <w:tcW w:w="0" w:type="auto"/>
            <w:gridSpan w:val="2"/>
            <w:tcBorders>
              <w:top w:val="nil"/>
              <w:left w:val="nil"/>
              <w:right w:val="nil"/>
            </w:tcBorders>
            <w:vAlign w:val="center"/>
          </w:tcPr>
          <w:p w:rsidR="00391A81" w:rsidRPr="00EA57A8" w:rsidRDefault="00391A81" w:rsidP="00391A81">
            <w:pPr>
              <w:rPr>
                <w:rFonts w:cs="Arial"/>
                <w:color w:val="808080"/>
              </w:rPr>
            </w:pPr>
            <w:r w:rsidRPr="00EA57A8">
              <w:rPr>
                <w:rFonts w:cs="Arial"/>
                <w:b/>
                <w:bCs/>
                <w:color w:val="808080"/>
                <w:sz w:val="48"/>
                <w:szCs w:val="48"/>
              </w:rPr>
              <w:t>STATISTICAL RELEASE</w:t>
            </w:r>
          </w:p>
        </w:tc>
        <w:tc>
          <w:tcPr>
            <w:tcW w:w="0" w:type="auto"/>
            <w:tcBorders>
              <w:top w:val="nil"/>
              <w:left w:val="nil"/>
              <w:right w:val="nil"/>
            </w:tcBorders>
            <w:shd w:val="clear" w:color="auto" w:fill="auto"/>
            <w:vAlign w:val="center"/>
          </w:tcPr>
          <w:p w:rsidR="00391A81" w:rsidRPr="00EA57A8" w:rsidRDefault="00391A81" w:rsidP="00391A81">
            <w:pPr>
              <w:jc w:val="right"/>
              <w:rPr>
                <w:rFonts w:cs="Arial"/>
                <w:b/>
                <w:bCs/>
                <w:color w:val="808080"/>
                <w:sz w:val="12"/>
                <w:szCs w:val="12"/>
              </w:rPr>
            </w:pPr>
            <w:r w:rsidRPr="00EA57A8">
              <w:rPr>
                <w:rFonts w:cs="Arial"/>
                <w:b/>
                <w:bCs/>
                <w:color w:val="808080"/>
                <w:sz w:val="48"/>
                <w:szCs w:val="48"/>
              </w:rPr>
              <w:t>RS10</w:t>
            </w:r>
          </w:p>
        </w:tc>
      </w:tr>
      <w:tr w:rsidR="00391A81" w:rsidRPr="00EA57A8" w:rsidTr="00146319">
        <w:trPr>
          <w:cantSplit/>
          <w:trHeight w:hRule="exact" w:val="279"/>
        </w:trPr>
        <w:tc>
          <w:tcPr>
            <w:tcW w:w="0" w:type="auto"/>
            <w:gridSpan w:val="2"/>
            <w:tcBorders>
              <w:top w:val="nil"/>
              <w:left w:val="nil"/>
              <w:bottom w:val="nil"/>
              <w:right w:val="nil"/>
            </w:tcBorders>
            <w:vAlign w:val="center"/>
          </w:tcPr>
          <w:p w:rsidR="00391A81" w:rsidRPr="00EA57A8" w:rsidRDefault="00391A81" w:rsidP="00AE1A0C">
            <w:pPr>
              <w:rPr>
                <w:rFonts w:cs="Arial"/>
                <w:color w:val="FF0000"/>
              </w:rPr>
            </w:pPr>
            <w:r w:rsidRPr="00EA57A8">
              <w:rPr>
                <w:rFonts w:cs="Arial"/>
              </w:rPr>
              <w:t xml:space="preserve">Number </w:t>
            </w:r>
            <w:r w:rsidR="00AE1A0C">
              <w:rPr>
                <w:rFonts w:cs="Arial"/>
              </w:rPr>
              <w:t>328</w:t>
            </w:r>
            <w:r w:rsidRPr="00EA57A8">
              <w:rPr>
                <w:rFonts w:cs="Arial"/>
              </w:rPr>
              <w:t xml:space="preserve"> - Year LXVIII, 3</w:t>
            </w:r>
            <w:r w:rsidR="00901882" w:rsidRPr="00EA57A8">
              <w:rPr>
                <w:rFonts w:cs="Arial"/>
              </w:rPr>
              <w:t>0</w:t>
            </w:r>
            <w:r w:rsidRPr="00EA57A8">
              <w:rPr>
                <w:rFonts w:cs="Arial"/>
              </w:rPr>
              <w:t>/</w:t>
            </w:r>
            <w:r w:rsidR="00901882" w:rsidRPr="00EA57A8">
              <w:rPr>
                <w:rFonts w:cs="Arial"/>
              </w:rPr>
              <w:t>11</w:t>
            </w:r>
            <w:r w:rsidRPr="00EA57A8">
              <w:rPr>
                <w:rFonts w:cs="Arial"/>
              </w:rPr>
              <w:t>/2018</w:t>
            </w:r>
          </w:p>
        </w:tc>
        <w:tc>
          <w:tcPr>
            <w:tcW w:w="0" w:type="auto"/>
            <w:tcBorders>
              <w:left w:val="nil"/>
              <w:bottom w:val="nil"/>
              <w:right w:val="nil"/>
            </w:tcBorders>
            <w:shd w:val="clear" w:color="auto" w:fill="auto"/>
            <w:vAlign w:val="center"/>
          </w:tcPr>
          <w:p w:rsidR="00391A81" w:rsidRPr="00EA57A8" w:rsidRDefault="00391A81" w:rsidP="00391A81">
            <w:pPr>
              <w:jc w:val="right"/>
              <w:rPr>
                <w:rFonts w:cs="Arial"/>
                <w:b/>
                <w:bCs/>
                <w:color w:val="FF0000"/>
                <w:sz w:val="48"/>
                <w:szCs w:val="48"/>
              </w:rPr>
            </w:pPr>
          </w:p>
        </w:tc>
      </w:tr>
      <w:tr w:rsidR="00391A81" w:rsidRPr="00EA57A8" w:rsidTr="00146319">
        <w:trPr>
          <w:cantSplit/>
          <w:trHeight w:val="411"/>
        </w:trPr>
        <w:tc>
          <w:tcPr>
            <w:tcW w:w="0" w:type="auto"/>
            <w:gridSpan w:val="2"/>
            <w:tcBorders>
              <w:top w:val="nil"/>
              <w:left w:val="nil"/>
              <w:bottom w:val="single" w:sz="12" w:space="0" w:color="808080"/>
              <w:right w:val="nil"/>
            </w:tcBorders>
            <w:vAlign w:val="center"/>
          </w:tcPr>
          <w:p w:rsidR="00391A81" w:rsidRPr="00EA57A8" w:rsidRDefault="00391A81" w:rsidP="00391A81">
            <w:pPr>
              <w:rPr>
                <w:rFonts w:cs="Arial"/>
                <w:b/>
                <w:bCs/>
                <w:sz w:val="24"/>
                <w:szCs w:val="24"/>
              </w:rPr>
            </w:pPr>
            <w:r w:rsidRPr="00EA57A8">
              <w:rPr>
                <w:rFonts w:cs="Arial"/>
                <w:b/>
                <w:bCs/>
                <w:sz w:val="24"/>
                <w:szCs w:val="24"/>
              </w:rPr>
              <w:t xml:space="preserve">Labour Force Survey </w:t>
            </w:r>
          </w:p>
        </w:tc>
        <w:tc>
          <w:tcPr>
            <w:tcW w:w="0" w:type="auto"/>
            <w:tcBorders>
              <w:top w:val="nil"/>
              <w:left w:val="nil"/>
              <w:bottom w:val="single" w:sz="12" w:space="0" w:color="808080"/>
              <w:right w:val="nil"/>
            </w:tcBorders>
            <w:vAlign w:val="center"/>
          </w:tcPr>
          <w:p w:rsidR="00391A81" w:rsidRPr="00EA57A8" w:rsidRDefault="00391A81" w:rsidP="00AE1A0C">
            <w:pPr>
              <w:jc w:val="right"/>
              <w:rPr>
                <w:rFonts w:cs="Arial"/>
                <w:b/>
                <w:bCs/>
              </w:rPr>
            </w:pPr>
            <w:r w:rsidRPr="00EA57A8">
              <w:rPr>
                <w:rFonts w:cs="Arial"/>
              </w:rPr>
              <w:t>SERB</w:t>
            </w:r>
            <w:r w:rsidR="00AE1A0C">
              <w:rPr>
                <w:rFonts w:cs="Arial"/>
              </w:rPr>
              <w:t>328</w:t>
            </w:r>
            <w:r w:rsidRPr="00EA57A8">
              <w:rPr>
                <w:rFonts w:cs="Arial"/>
              </w:rPr>
              <w:t xml:space="preserve"> RS10 3</w:t>
            </w:r>
            <w:r w:rsidR="00901882" w:rsidRPr="00EA57A8">
              <w:rPr>
                <w:rFonts w:cs="Arial"/>
              </w:rPr>
              <w:t>011</w:t>
            </w:r>
            <w:r w:rsidRPr="00EA57A8">
              <w:rPr>
                <w:rFonts w:cs="Arial"/>
              </w:rPr>
              <w:t>18</w:t>
            </w:r>
          </w:p>
        </w:tc>
      </w:tr>
    </w:tbl>
    <w:p w:rsidR="00391A81" w:rsidRPr="00EA57A8" w:rsidRDefault="00391A81" w:rsidP="00F7497D">
      <w:pPr>
        <w:spacing w:before="240" w:after="120"/>
        <w:jc w:val="center"/>
        <w:rPr>
          <w:rFonts w:cs="Arial"/>
          <w:b/>
          <w:bCs/>
          <w:sz w:val="24"/>
          <w:szCs w:val="24"/>
        </w:rPr>
      </w:pPr>
      <w:r w:rsidRPr="00EA57A8">
        <w:rPr>
          <w:rFonts w:cs="Arial"/>
          <w:b/>
          <w:bCs/>
          <w:sz w:val="24"/>
          <w:szCs w:val="24"/>
        </w:rPr>
        <w:t>Labour Force Survey, I</w:t>
      </w:r>
      <w:r w:rsidR="00FB2E36" w:rsidRPr="00EA57A8">
        <w:rPr>
          <w:rFonts w:cs="Arial"/>
          <w:b/>
          <w:bCs/>
          <w:sz w:val="24"/>
          <w:szCs w:val="24"/>
        </w:rPr>
        <w:t>I</w:t>
      </w:r>
      <w:r w:rsidR="00901882" w:rsidRPr="00EA57A8">
        <w:rPr>
          <w:rFonts w:cs="Arial"/>
          <w:b/>
          <w:bCs/>
          <w:sz w:val="24"/>
          <w:szCs w:val="24"/>
        </w:rPr>
        <w:t>I</w:t>
      </w:r>
      <w:r w:rsidRPr="00EA57A8">
        <w:rPr>
          <w:rFonts w:cs="Arial"/>
          <w:b/>
          <w:bCs/>
          <w:sz w:val="24"/>
          <w:szCs w:val="24"/>
        </w:rPr>
        <w:t xml:space="preserve"> quarter 2018 </w:t>
      </w:r>
    </w:p>
    <w:p w:rsidR="00391A81" w:rsidRPr="00EA57A8" w:rsidRDefault="00391A81" w:rsidP="00391A81">
      <w:pPr>
        <w:spacing w:before="80" w:after="240"/>
        <w:jc w:val="center"/>
        <w:rPr>
          <w:rFonts w:cs="Arial"/>
        </w:rPr>
      </w:pPr>
      <w:r w:rsidRPr="00EA57A8">
        <w:rPr>
          <w:rFonts w:cs="Arial"/>
        </w:rPr>
        <w:t>– Preliminary results –</w:t>
      </w:r>
    </w:p>
    <w:p w:rsidR="00391A81" w:rsidRPr="00EA57A8" w:rsidRDefault="00391A81" w:rsidP="00F7497D">
      <w:pPr>
        <w:pStyle w:val="NormalWeb"/>
        <w:spacing w:beforeLines="0" w:before="120" w:afterLines="0" w:after="120" w:line="264" w:lineRule="auto"/>
        <w:ind w:firstLine="403"/>
        <w:jc w:val="both"/>
        <w:rPr>
          <w:rFonts w:ascii="Arial" w:hAnsi="Arial" w:cs="Arial"/>
          <w:lang w:val="en-GB"/>
        </w:rPr>
      </w:pPr>
      <w:r w:rsidRPr="00EA57A8">
        <w:rPr>
          <w:rFonts w:ascii="Arial" w:hAnsi="Arial" w:cs="Arial"/>
          <w:lang w:val="en-GB"/>
        </w:rPr>
        <w:t>In t</w:t>
      </w:r>
      <w:bookmarkStart w:id="0" w:name="_GoBack"/>
      <w:bookmarkEnd w:id="0"/>
      <w:r w:rsidRPr="00EA57A8">
        <w:rPr>
          <w:rFonts w:ascii="Arial" w:hAnsi="Arial" w:cs="Arial"/>
          <w:lang w:val="en-GB"/>
        </w:rPr>
        <w:t xml:space="preserve">he </w:t>
      </w:r>
      <w:r w:rsidR="00901882" w:rsidRPr="00EA57A8">
        <w:rPr>
          <w:rFonts w:ascii="Arial" w:hAnsi="Arial" w:cs="Arial"/>
          <w:lang w:val="en-GB"/>
        </w:rPr>
        <w:t>thir</w:t>
      </w:r>
      <w:r w:rsidR="00FB2E36" w:rsidRPr="00EA57A8">
        <w:rPr>
          <w:rFonts w:ascii="Arial" w:hAnsi="Arial" w:cs="Arial"/>
          <w:lang w:val="en-GB"/>
        </w:rPr>
        <w:t>d</w:t>
      </w:r>
      <w:r w:rsidRPr="00EA57A8">
        <w:rPr>
          <w:rFonts w:ascii="Arial" w:hAnsi="Arial" w:cs="Arial"/>
          <w:lang w:val="en-GB"/>
        </w:rPr>
        <w:t xml:space="preserve"> quarter of 2018, number of the employed amounted to 2 </w:t>
      </w:r>
      <w:r w:rsidR="00901882" w:rsidRPr="00EA57A8">
        <w:rPr>
          <w:rFonts w:ascii="Arial" w:hAnsi="Arial" w:cs="Arial"/>
          <w:lang w:val="en-GB"/>
        </w:rPr>
        <w:t>929</w:t>
      </w:r>
      <w:r w:rsidRPr="00EA57A8">
        <w:rPr>
          <w:rFonts w:ascii="Arial" w:hAnsi="Arial" w:cs="Arial"/>
          <w:lang w:val="en-GB"/>
        </w:rPr>
        <w:t> </w:t>
      </w:r>
      <w:r w:rsidR="00901882" w:rsidRPr="00EA57A8">
        <w:rPr>
          <w:rFonts w:ascii="Arial" w:hAnsi="Arial" w:cs="Arial"/>
          <w:lang w:val="en-GB"/>
        </w:rPr>
        <w:t>3</w:t>
      </w:r>
      <w:r w:rsidRPr="00EA57A8">
        <w:rPr>
          <w:rFonts w:ascii="Arial" w:hAnsi="Arial" w:cs="Arial"/>
          <w:lang w:val="en-GB"/>
        </w:rPr>
        <w:t xml:space="preserve">00, and number of the unemployed to </w:t>
      </w:r>
      <w:r w:rsidR="00FB2E36" w:rsidRPr="00EA57A8">
        <w:rPr>
          <w:rFonts w:ascii="Arial" w:hAnsi="Arial" w:cs="Arial"/>
          <w:lang w:val="en-GB"/>
        </w:rPr>
        <w:t>3</w:t>
      </w:r>
      <w:r w:rsidR="00901882" w:rsidRPr="00EA57A8">
        <w:rPr>
          <w:rFonts w:ascii="Arial" w:hAnsi="Arial" w:cs="Arial"/>
          <w:lang w:val="en-GB"/>
        </w:rPr>
        <w:t>7</w:t>
      </w:r>
      <w:r w:rsidR="00FB2E36" w:rsidRPr="00EA57A8">
        <w:rPr>
          <w:rFonts w:ascii="Arial" w:hAnsi="Arial" w:cs="Arial"/>
          <w:lang w:val="en-GB"/>
        </w:rPr>
        <w:t>1</w:t>
      </w:r>
      <w:r w:rsidRPr="00EA57A8">
        <w:rPr>
          <w:rFonts w:ascii="Arial" w:hAnsi="Arial" w:cs="Arial"/>
          <w:lang w:val="en-GB"/>
        </w:rPr>
        <w:t> </w:t>
      </w:r>
      <w:r w:rsidR="00901882" w:rsidRPr="00EA57A8">
        <w:rPr>
          <w:rFonts w:ascii="Arial" w:hAnsi="Arial" w:cs="Arial"/>
          <w:lang w:val="en-GB"/>
        </w:rPr>
        <w:t>8</w:t>
      </w:r>
      <w:r w:rsidRPr="00EA57A8">
        <w:rPr>
          <w:rFonts w:ascii="Arial" w:hAnsi="Arial" w:cs="Arial"/>
          <w:lang w:val="en-GB"/>
        </w:rPr>
        <w:t>00. Employment rate</w:t>
      </w:r>
      <w:r w:rsidR="00901882" w:rsidRPr="00EA57A8">
        <w:rPr>
          <w:rFonts w:ascii="Arial" w:hAnsi="Arial" w:cs="Arial"/>
          <w:lang w:val="en-GB"/>
        </w:rPr>
        <w:t xml:space="preserve"> has reached the new record for the period for which the comparable data series are available</w:t>
      </w:r>
      <w:r w:rsidRPr="00EA57A8">
        <w:rPr>
          <w:rFonts w:ascii="Arial" w:hAnsi="Arial" w:cs="Arial"/>
          <w:lang w:val="en-GB"/>
        </w:rPr>
        <w:t xml:space="preserve"> </w:t>
      </w:r>
      <w:r w:rsidR="00901882" w:rsidRPr="00EA57A8">
        <w:rPr>
          <w:rFonts w:ascii="Arial" w:hAnsi="Arial" w:cs="Arial"/>
          <w:lang w:val="en-GB"/>
        </w:rPr>
        <w:t xml:space="preserve">(2014-2018), </w:t>
      </w:r>
      <w:r w:rsidRPr="00EA57A8">
        <w:rPr>
          <w:rFonts w:ascii="Arial" w:hAnsi="Arial" w:cs="Arial"/>
          <w:lang w:val="en-GB"/>
        </w:rPr>
        <w:t>amount</w:t>
      </w:r>
      <w:r w:rsidR="00901882" w:rsidRPr="00EA57A8">
        <w:rPr>
          <w:rFonts w:ascii="Arial" w:hAnsi="Arial" w:cs="Arial"/>
          <w:lang w:val="en-GB"/>
        </w:rPr>
        <w:t>ing</w:t>
      </w:r>
      <w:r w:rsidRPr="00EA57A8">
        <w:rPr>
          <w:rFonts w:ascii="Arial" w:hAnsi="Arial" w:cs="Arial"/>
          <w:lang w:val="en-GB"/>
        </w:rPr>
        <w:t xml:space="preserve"> to 4</w:t>
      </w:r>
      <w:r w:rsidR="00901882" w:rsidRPr="00EA57A8">
        <w:rPr>
          <w:rFonts w:ascii="Arial" w:hAnsi="Arial" w:cs="Arial"/>
          <w:lang w:val="en-GB"/>
        </w:rPr>
        <w:t>9</w:t>
      </w:r>
      <w:r w:rsidRPr="00EA57A8">
        <w:rPr>
          <w:rFonts w:ascii="Arial" w:hAnsi="Arial" w:cs="Arial"/>
          <w:lang w:val="en-GB"/>
        </w:rPr>
        <w:t>.</w:t>
      </w:r>
      <w:r w:rsidR="00901882" w:rsidRPr="00EA57A8">
        <w:rPr>
          <w:rFonts w:ascii="Arial" w:hAnsi="Arial" w:cs="Arial"/>
          <w:lang w:val="en-GB"/>
        </w:rPr>
        <w:t>2</w:t>
      </w:r>
      <w:r w:rsidRPr="00EA57A8">
        <w:rPr>
          <w:rFonts w:ascii="Arial" w:hAnsi="Arial" w:cs="Arial"/>
          <w:lang w:val="en-GB"/>
        </w:rPr>
        <w:t>%</w:t>
      </w:r>
      <w:r w:rsidR="00A92DE7" w:rsidRPr="00EA57A8">
        <w:rPr>
          <w:rFonts w:ascii="Arial" w:hAnsi="Arial" w:cs="Arial"/>
          <w:lang w:val="en-GB"/>
        </w:rPr>
        <w:t>,</w:t>
      </w:r>
      <w:r w:rsidR="00901882" w:rsidRPr="00EA57A8">
        <w:rPr>
          <w:rFonts w:ascii="Arial" w:hAnsi="Arial" w:cs="Arial"/>
          <w:lang w:val="en-GB"/>
        </w:rPr>
        <w:t xml:space="preserve"> while unemployment rate, in the same period, had the lowest value, amounting to 11.3%</w:t>
      </w:r>
      <w:r w:rsidR="00FB2E36" w:rsidRPr="00EA57A8">
        <w:rPr>
          <w:rFonts w:ascii="Arial" w:hAnsi="Arial" w:cs="Arial"/>
          <w:lang w:val="en-GB"/>
        </w:rPr>
        <w:t xml:space="preserve">. </w:t>
      </w:r>
    </w:p>
    <w:p w:rsidR="00391A81" w:rsidRPr="00EA57A8" w:rsidRDefault="00391A81" w:rsidP="0032539F">
      <w:pPr>
        <w:pStyle w:val="NormalWeb"/>
        <w:spacing w:beforeLines="0" w:before="120" w:afterLines="0" w:after="120"/>
        <w:jc w:val="center"/>
        <w:rPr>
          <w:rFonts w:ascii="Arial" w:hAnsi="Arial" w:cs="Arial"/>
          <w:lang w:val="en-GB"/>
        </w:rPr>
      </w:pPr>
      <w:r w:rsidRPr="00EA57A8">
        <w:rPr>
          <w:rFonts w:ascii="Arial" w:hAnsi="Arial" w:cs="Arial"/>
          <w:b/>
          <w:bCs/>
          <w:lang w:val="en-GB"/>
        </w:rPr>
        <w:t>Graph 1</w:t>
      </w:r>
      <w:r w:rsidRPr="00EA57A8">
        <w:rPr>
          <w:rFonts w:ascii="Arial" w:hAnsi="Arial" w:cs="Arial"/>
          <w:lang w:val="en-GB"/>
        </w:rPr>
        <w:t xml:space="preserve"> Trend of employment/unemployment rates (in %), population 15+, 2014-2018 </w:t>
      </w:r>
    </w:p>
    <w:p w:rsidR="00E263C3" w:rsidRPr="00EA57A8" w:rsidRDefault="00EE3555" w:rsidP="00E263C3">
      <w:pPr>
        <w:spacing w:before="240"/>
        <w:jc w:val="center"/>
        <w:rPr>
          <w:rFonts w:cs="Arial"/>
        </w:rPr>
      </w:pPr>
      <w:r w:rsidRPr="00EE3555">
        <w:rPr>
          <w:rFonts w:cs="Arial"/>
          <w:noProof/>
          <w:lang w:val="en-US"/>
        </w:rPr>
        <w:drawing>
          <wp:inline distT="0" distB="0" distL="0" distR="0">
            <wp:extent cx="6479540" cy="315751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9540" cy="3157517"/>
                    </a:xfrm>
                    <a:prstGeom prst="rect">
                      <a:avLst/>
                    </a:prstGeom>
                    <a:noFill/>
                    <a:ln>
                      <a:noFill/>
                    </a:ln>
                  </pic:spPr>
                </pic:pic>
              </a:graphicData>
            </a:graphic>
          </wp:inline>
        </w:drawing>
      </w:r>
    </w:p>
    <w:p w:rsidR="00B05442" w:rsidRPr="00EA57A8" w:rsidRDefault="00930544" w:rsidP="00F7497D">
      <w:pPr>
        <w:spacing w:before="240" w:after="120" w:line="264" w:lineRule="auto"/>
        <w:ind w:firstLine="403"/>
        <w:jc w:val="both"/>
        <w:rPr>
          <w:rFonts w:cs="Arial"/>
        </w:rPr>
      </w:pPr>
      <w:r w:rsidRPr="00EA57A8">
        <w:rPr>
          <w:rFonts w:cs="Arial"/>
          <w:b/>
        </w:rPr>
        <w:t>Activity rate</w:t>
      </w:r>
      <w:r w:rsidRPr="00EA57A8">
        <w:rPr>
          <w:rFonts w:cs="Arial"/>
        </w:rPr>
        <w:t xml:space="preserve"> of population aged 15 and over </w:t>
      </w:r>
      <w:r w:rsidR="00901882" w:rsidRPr="00EA57A8">
        <w:rPr>
          <w:rFonts w:cs="Arial"/>
        </w:rPr>
        <w:t xml:space="preserve">in the third quarter </w:t>
      </w:r>
      <w:r w:rsidRPr="00EA57A8">
        <w:rPr>
          <w:rFonts w:cs="Arial"/>
        </w:rPr>
        <w:t>amounted to 5</w:t>
      </w:r>
      <w:r w:rsidR="00FB2E36" w:rsidRPr="00EA57A8">
        <w:rPr>
          <w:rFonts w:cs="Arial"/>
        </w:rPr>
        <w:t>5</w:t>
      </w:r>
      <w:r w:rsidRPr="00EA57A8">
        <w:rPr>
          <w:rFonts w:cs="Arial"/>
        </w:rPr>
        <w:t>.</w:t>
      </w:r>
      <w:r w:rsidR="00901882" w:rsidRPr="00EA57A8">
        <w:rPr>
          <w:rFonts w:cs="Arial"/>
        </w:rPr>
        <w:t>5</w:t>
      </w:r>
      <w:r w:rsidRPr="00EA57A8">
        <w:rPr>
          <w:rFonts w:cs="Arial"/>
        </w:rPr>
        <w:t>%, where the activity rate of males was 6</w:t>
      </w:r>
      <w:r w:rsidR="00901882" w:rsidRPr="00EA57A8">
        <w:rPr>
          <w:rFonts w:cs="Arial"/>
        </w:rPr>
        <w:t>4</w:t>
      </w:r>
      <w:r w:rsidRPr="00EA57A8">
        <w:rPr>
          <w:rFonts w:cs="Arial"/>
        </w:rPr>
        <w:t>.</w:t>
      </w:r>
      <w:r w:rsidR="00901882" w:rsidRPr="00EA57A8">
        <w:rPr>
          <w:rFonts w:cs="Arial"/>
        </w:rPr>
        <w:t>0</w:t>
      </w:r>
      <w:r w:rsidRPr="00EA57A8">
        <w:rPr>
          <w:rFonts w:cs="Arial"/>
        </w:rPr>
        <w:t>%, and of females 4</w:t>
      </w:r>
      <w:r w:rsidR="00FB2E36" w:rsidRPr="00EA57A8">
        <w:rPr>
          <w:rFonts w:cs="Arial"/>
        </w:rPr>
        <w:t>7</w:t>
      </w:r>
      <w:r w:rsidRPr="00EA57A8">
        <w:rPr>
          <w:rFonts w:cs="Arial"/>
        </w:rPr>
        <w:t>.</w:t>
      </w:r>
      <w:r w:rsidR="00901882" w:rsidRPr="00EA57A8">
        <w:rPr>
          <w:rFonts w:cs="Arial"/>
        </w:rPr>
        <w:t>5</w:t>
      </w:r>
      <w:r w:rsidRPr="00EA57A8">
        <w:rPr>
          <w:rFonts w:cs="Arial"/>
        </w:rPr>
        <w:t xml:space="preserve">%. </w:t>
      </w:r>
      <w:r w:rsidR="00391A81" w:rsidRPr="00EA57A8">
        <w:rPr>
          <w:rFonts w:cs="Arial"/>
        </w:rPr>
        <w:t xml:space="preserve">The greatest activity rate was noted in </w:t>
      </w:r>
      <w:r w:rsidR="00901882" w:rsidRPr="00EA57A8">
        <w:rPr>
          <w:rFonts w:cs="Arial"/>
        </w:rPr>
        <w:t xml:space="preserve">Region </w:t>
      </w:r>
      <w:proofErr w:type="spellStart"/>
      <w:r w:rsidR="00901882" w:rsidRPr="00EA57A8">
        <w:rPr>
          <w:rFonts w:cs="Arial"/>
        </w:rPr>
        <w:t>Šumadije</w:t>
      </w:r>
      <w:proofErr w:type="spellEnd"/>
      <w:r w:rsidR="00901882" w:rsidRPr="00EA57A8">
        <w:rPr>
          <w:rFonts w:cs="Arial"/>
        </w:rPr>
        <w:t xml:space="preserve"> </w:t>
      </w:r>
      <w:proofErr w:type="spellStart"/>
      <w:r w:rsidR="00901882" w:rsidRPr="00EA57A8">
        <w:rPr>
          <w:rFonts w:cs="Arial"/>
        </w:rPr>
        <w:t>i</w:t>
      </w:r>
      <w:proofErr w:type="spellEnd"/>
      <w:r w:rsidR="00901882" w:rsidRPr="00EA57A8">
        <w:rPr>
          <w:rFonts w:cs="Arial"/>
        </w:rPr>
        <w:t xml:space="preserve"> </w:t>
      </w:r>
      <w:proofErr w:type="spellStart"/>
      <w:r w:rsidR="00901882" w:rsidRPr="00EA57A8">
        <w:rPr>
          <w:rFonts w:cs="Arial"/>
        </w:rPr>
        <w:t>Zapadne</w:t>
      </w:r>
      <w:proofErr w:type="spellEnd"/>
      <w:r w:rsidR="00901882" w:rsidRPr="00EA57A8">
        <w:rPr>
          <w:rFonts w:cs="Arial"/>
        </w:rPr>
        <w:t xml:space="preserve"> </w:t>
      </w:r>
      <w:proofErr w:type="spellStart"/>
      <w:r w:rsidR="00901882" w:rsidRPr="00EA57A8">
        <w:rPr>
          <w:rFonts w:cs="Arial"/>
        </w:rPr>
        <w:t>Srbije</w:t>
      </w:r>
      <w:proofErr w:type="spellEnd"/>
      <w:r w:rsidR="00901882" w:rsidRPr="00EA57A8">
        <w:rPr>
          <w:rFonts w:cs="Arial"/>
        </w:rPr>
        <w:t xml:space="preserve"> (58.2%), followed by </w:t>
      </w:r>
      <w:proofErr w:type="spellStart"/>
      <w:r w:rsidR="00391A81" w:rsidRPr="00EA57A8">
        <w:rPr>
          <w:rFonts w:cs="Arial"/>
        </w:rPr>
        <w:t>Beogradski</w:t>
      </w:r>
      <w:proofErr w:type="spellEnd"/>
      <w:r w:rsidR="00391A81" w:rsidRPr="00EA57A8">
        <w:rPr>
          <w:rFonts w:cs="Arial"/>
        </w:rPr>
        <w:t xml:space="preserve"> region </w:t>
      </w:r>
      <w:r w:rsidR="00B05442" w:rsidRPr="00EA57A8">
        <w:rPr>
          <w:rFonts w:cs="Arial"/>
        </w:rPr>
        <w:t>(5</w:t>
      </w:r>
      <w:r w:rsidR="00901882" w:rsidRPr="00EA57A8">
        <w:rPr>
          <w:rFonts w:cs="Arial"/>
        </w:rPr>
        <w:t>6</w:t>
      </w:r>
      <w:r w:rsidR="00391A81" w:rsidRPr="00EA57A8">
        <w:rPr>
          <w:rFonts w:cs="Arial"/>
        </w:rPr>
        <w:t>.</w:t>
      </w:r>
      <w:r w:rsidR="00901882" w:rsidRPr="00EA57A8">
        <w:rPr>
          <w:rFonts w:cs="Arial"/>
        </w:rPr>
        <w:t>6</w:t>
      </w:r>
      <w:r w:rsidR="00B05442" w:rsidRPr="00EA57A8">
        <w:rPr>
          <w:rFonts w:cs="Arial"/>
        </w:rPr>
        <w:t>%)</w:t>
      </w:r>
      <w:r w:rsidR="00901882" w:rsidRPr="00EA57A8">
        <w:rPr>
          <w:rFonts w:cs="Arial"/>
        </w:rPr>
        <w:t xml:space="preserve">. In Region </w:t>
      </w:r>
      <w:proofErr w:type="spellStart"/>
      <w:r w:rsidR="00901882" w:rsidRPr="00EA57A8">
        <w:rPr>
          <w:rFonts w:cs="Arial"/>
        </w:rPr>
        <w:t>Južne</w:t>
      </w:r>
      <w:proofErr w:type="spellEnd"/>
      <w:r w:rsidR="00901882" w:rsidRPr="00EA57A8">
        <w:rPr>
          <w:rFonts w:cs="Arial"/>
        </w:rPr>
        <w:t xml:space="preserve"> </w:t>
      </w:r>
      <w:proofErr w:type="spellStart"/>
      <w:r w:rsidR="00901882" w:rsidRPr="00EA57A8">
        <w:rPr>
          <w:rFonts w:cs="Arial"/>
        </w:rPr>
        <w:t>i</w:t>
      </w:r>
      <w:proofErr w:type="spellEnd"/>
      <w:r w:rsidR="00901882" w:rsidRPr="00EA57A8">
        <w:rPr>
          <w:rFonts w:cs="Arial"/>
        </w:rPr>
        <w:t xml:space="preserve"> </w:t>
      </w:r>
      <w:proofErr w:type="spellStart"/>
      <w:r w:rsidR="00901882" w:rsidRPr="00EA57A8">
        <w:rPr>
          <w:rFonts w:cs="Arial"/>
        </w:rPr>
        <w:t>Istočne</w:t>
      </w:r>
      <w:proofErr w:type="spellEnd"/>
      <w:r w:rsidR="00901882" w:rsidRPr="00EA57A8">
        <w:rPr>
          <w:rFonts w:cs="Arial"/>
        </w:rPr>
        <w:t xml:space="preserve"> </w:t>
      </w:r>
      <w:proofErr w:type="spellStart"/>
      <w:r w:rsidR="00901882" w:rsidRPr="00EA57A8">
        <w:rPr>
          <w:rFonts w:cs="Arial"/>
        </w:rPr>
        <w:t>Srbije</w:t>
      </w:r>
      <w:proofErr w:type="spellEnd"/>
      <w:r w:rsidR="00901882" w:rsidRPr="00EA57A8">
        <w:rPr>
          <w:rFonts w:cs="Arial"/>
        </w:rPr>
        <w:t xml:space="preserve"> and in Region </w:t>
      </w:r>
      <w:proofErr w:type="spellStart"/>
      <w:r w:rsidR="00901882" w:rsidRPr="00EA57A8">
        <w:rPr>
          <w:rFonts w:cs="Arial"/>
        </w:rPr>
        <w:t>Vojvodine</w:t>
      </w:r>
      <w:proofErr w:type="spellEnd"/>
      <w:r w:rsidR="00901882" w:rsidRPr="00EA57A8">
        <w:rPr>
          <w:rFonts w:cs="Arial"/>
        </w:rPr>
        <w:t>, it was at almost the same level, 53.5%</w:t>
      </w:r>
      <w:r w:rsidR="00B05442" w:rsidRPr="00EA57A8">
        <w:rPr>
          <w:rFonts w:cs="Arial"/>
        </w:rPr>
        <w:t xml:space="preserve"> </w:t>
      </w:r>
      <w:r w:rsidR="00391A81" w:rsidRPr="00EA57A8">
        <w:rPr>
          <w:rFonts w:cs="Arial"/>
        </w:rPr>
        <w:t xml:space="preserve">and </w:t>
      </w:r>
      <w:r w:rsidR="00B05442" w:rsidRPr="00EA57A8">
        <w:rPr>
          <w:rFonts w:cs="Arial"/>
        </w:rPr>
        <w:t>5</w:t>
      </w:r>
      <w:r w:rsidR="00FB2E36" w:rsidRPr="00EA57A8">
        <w:rPr>
          <w:rFonts w:cs="Arial"/>
        </w:rPr>
        <w:t>3</w:t>
      </w:r>
      <w:r w:rsidR="00391A81" w:rsidRPr="00EA57A8">
        <w:rPr>
          <w:rFonts w:cs="Arial"/>
        </w:rPr>
        <w:t>.</w:t>
      </w:r>
      <w:r w:rsidR="00901882" w:rsidRPr="00EA57A8">
        <w:rPr>
          <w:rFonts w:cs="Arial"/>
        </w:rPr>
        <w:t>2</w:t>
      </w:r>
      <w:r w:rsidR="00B05442" w:rsidRPr="00EA57A8">
        <w:rPr>
          <w:rFonts w:cs="Arial"/>
        </w:rPr>
        <w:t>%</w:t>
      </w:r>
      <w:r w:rsidR="00901882" w:rsidRPr="00EA57A8">
        <w:rPr>
          <w:rFonts w:cs="Arial"/>
        </w:rPr>
        <w:t>, respectively</w:t>
      </w:r>
      <w:r w:rsidR="00B05442" w:rsidRPr="00EA57A8">
        <w:rPr>
          <w:rFonts w:cs="Arial"/>
        </w:rPr>
        <w:t>.</w:t>
      </w:r>
    </w:p>
    <w:p w:rsidR="00391A81" w:rsidRPr="00EA57A8" w:rsidRDefault="00391A81" w:rsidP="00F7497D">
      <w:pPr>
        <w:spacing w:before="240" w:after="120" w:line="264" w:lineRule="auto"/>
        <w:ind w:firstLine="403"/>
        <w:jc w:val="both"/>
        <w:rPr>
          <w:rFonts w:cs="Arial"/>
        </w:rPr>
      </w:pPr>
      <w:r w:rsidRPr="00EA57A8">
        <w:rPr>
          <w:rFonts w:cs="Arial"/>
          <w:b/>
        </w:rPr>
        <w:t xml:space="preserve">Employment rate </w:t>
      </w:r>
      <w:r w:rsidRPr="00EA57A8">
        <w:rPr>
          <w:rFonts w:cs="Arial"/>
        </w:rPr>
        <w:t>of population aged 15 and over amounted to</w:t>
      </w:r>
      <w:r w:rsidR="00B05442" w:rsidRPr="00EA57A8">
        <w:rPr>
          <w:rFonts w:cs="Arial"/>
        </w:rPr>
        <w:t xml:space="preserve"> 4</w:t>
      </w:r>
      <w:r w:rsidR="00901882" w:rsidRPr="00EA57A8">
        <w:rPr>
          <w:rFonts w:cs="Arial"/>
        </w:rPr>
        <w:t>9</w:t>
      </w:r>
      <w:r w:rsidRPr="00EA57A8">
        <w:rPr>
          <w:rFonts w:cs="Arial"/>
        </w:rPr>
        <w:t>.</w:t>
      </w:r>
      <w:r w:rsidR="00901882" w:rsidRPr="00EA57A8">
        <w:rPr>
          <w:rFonts w:cs="Arial"/>
        </w:rPr>
        <w:t>2</w:t>
      </w:r>
      <w:r w:rsidR="00B05442" w:rsidRPr="00EA57A8">
        <w:rPr>
          <w:rFonts w:cs="Arial"/>
        </w:rPr>
        <w:t xml:space="preserve">%, </w:t>
      </w:r>
      <w:r w:rsidRPr="00EA57A8">
        <w:rPr>
          <w:rFonts w:cs="Arial"/>
        </w:rPr>
        <w:t>i.e. 5</w:t>
      </w:r>
      <w:r w:rsidR="00F03B80" w:rsidRPr="00EA57A8">
        <w:rPr>
          <w:rFonts w:cs="Arial"/>
        </w:rPr>
        <w:t>7</w:t>
      </w:r>
      <w:r w:rsidRPr="00EA57A8">
        <w:rPr>
          <w:rFonts w:cs="Arial"/>
        </w:rPr>
        <w:t>.</w:t>
      </w:r>
      <w:r w:rsidR="00F03B80" w:rsidRPr="00EA57A8">
        <w:rPr>
          <w:rFonts w:cs="Arial"/>
        </w:rPr>
        <w:t>3</w:t>
      </w:r>
      <w:r w:rsidRPr="00EA57A8">
        <w:rPr>
          <w:rFonts w:cs="Arial"/>
        </w:rPr>
        <w:t xml:space="preserve">% regarding males and </w:t>
      </w:r>
      <w:r w:rsidR="00FB2E36" w:rsidRPr="00EA57A8">
        <w:rPr>
          <w:rFonts w:cs="Arial"/>
        </w:rPr>
        <w:t>41</w:t>
      </w:r>
      <w:r w:rsidRPr="00EA57A8">
        <w:rPr>
          <w:rFonts w:cs="Arial"/>
        </w:rPr>
        <w:t>.</w:t>
      </w:r>
      <w:r w:rsidR="00F03B80" w:rsidRPr="00EA57A8">
        <w:rPr>
          <w:rFonts w:cs="Arial"/>
        </w:rPr>
        <w:t>7</w:t>
      </w:r>
      <w:r w:rsidR="00B05442" w:rsidRPr="00EA57A8">
        <w:rPr>
          <w:rFonts w:cs="Arial"/>
        </w:rPr>
        <w:t>%</w:t>
      </w:r>
      <w:r w:rsidRPr="00EA57A8">
        <w:rPr>
          <w:rFonts w:cs="Arial"/>
        </w:rPr>
        <w:t xml:space="preserve"> regarding females</w:t>
      </w:r>
      <w:r w:rsidR="00B05442" w:rsidRPr="00EA57A8">
        <w:rPr>
          <w:rFonts w:cs="Arial"/>
        </w:rPr>
        <w:t xml:space="preserve">. </w:t>
      </w:r>
      <w:r w:rsidRPr="00EA57A8">
        <w:rPr>
          <w:rFonts w:cs="Arial"/>
        </w:rPr>
        <w:t>The greatest employment rate was noted in</w:t>
      </w:r>
      <w:r w:rsidR="00F03B80" w:rsidRPr="00EA57A8">
        <w:rPr>
          <w:rFonts w:cs="Arial"/>
        </w:rPr>
        <w:t xml:space="preserve"> Region </w:t>
      </w:r>
      <w:proofErr w:type="spellStart"/>
      <w:r w:rsidR="00F03B80" w:rsidRPr="00EA57A8">
        <w:rPr>
          <w:rFonts w:cs="Arial"/>
        </w:rPr>
        <w:t>Šumadije</w:t>
      </w:r>
      <w:proofErr w:type="spellEnd"/>
      <w:r w:rsidR="00F03B80" w:rsidRPr="00EA57A8">
        <w:rPr>
          <w:rFonts w:cs="Arial"/>
        </w:rPr>
        <w:t xml:space="preserve"> </w:t>
      </w:r>
      <w:proofErr w:type="spellStart"/>
      <w:r w:rsidR="00F03B80" w:rsidRPr="00EA57A8">
        <w:rPr>
          <w:rFonts w:cs="Arial"/>
        </w:rPr>
        <w:t>i</w:t>
      </w:r>
      <w:proofErr w:type="spellEnd"/>
      <w:r w:rsidR="00F03B80" w:rsidRPr="00EA57A8">
        <w:rPr>
          <w:rFonts w:cs="Arial"/>
        </w:rPr>
        <w:t xml:space="preserve"> </w:t>
      </w:r>
      <w:proofErr w:type="spellStart"/>
      <w:r w:rsidR="00F03B80" w:rsidRPr="00EA57A8">
        <w:rPr>
          <w:rFonts w:cs="Arial"/>
        </w:rPr>
        <w:t>Zapadne</w:t>
      </w:r>
      <w:proofErr w:type="spellEnd"/>
      <w:r w:rsidR="00F03B80" w:rsidRPr="00EA57A8">
        <w:rPr>
          <w:rFonts w:cs="Arial"/>
        </w:rPr>
        <w:t xml:space="preserve"> </w:t>
      </w:r>
      <w:proofErr w:type="spellStart"/>
      <w:r w:rsidR="00F03B80" w:rsidRPr="00EA57A8">
        <w:rPr>
          <w:rFonts w:cs="Arial"/>
        </w:rPr>
        <w:t>Srbije</w:t>
      </w:r>
      <w:proofErr w:type="spellEnd"/>
      <w:r w:rsidR="00F03B80" w:rsidRPr="00EA57A8">
        <w:rPr>
          <w:rFonts w:cs="Arial"/>
        </w:rPr>
        <w:t xml:space="preserve"> and in</w:t>
      </w:r>
      <w:r w:rsidRPr="00EA57A8">
        <w:rPr>
          <w:rFonts w:cs="Arial"/>
        </w:rPr>
        <w:t xml:space="preserve"> </w:t>
      </w:r>
      <w:proofErr w:type="spellStart"/>
      <w:r w:rsidRPr="00EA57A8">
        <w:rPr>
          <w:rFonts w:cs="Arial"/>
        </w:rPr>
        <w:t>Beogradski</w:t>
      </w:r>
      <w:proofErr w:type="spellEnd"/>
      <w:r w:rsidRPr="00EA57A8">
        <w:rPr>
          <w:rFonts w:cs="Arial"/>
        </w:rPr>
        <w:t xml:space="preserve"> region (</w:t>
      </w:r>
      <w:r w:rsidR="00FB2E36" w:rsidRPr="00EA57A8">
        <w:rPr>
          <w:rFonts w:cs="Arial"/>
        </w:rPr>
        <w:t>51</w:t>
      </w:r>
      <w:r w:rsidRPr="00EA57A8">
        <w:rPr>
          <w:rFonts w:cs="Arial"/>
        </w:rPr>
        <w:t>.</w:t>
      </w:r>
      <w:r w:rsidR="00F03B80" w:rsidRPr="00EA57A8">
        <w:rPr>
          <w:rFonts w:cs="Arial"/>
        </w:rPr>
        <w:t>0</w:t>
      </w:r>
      <w:r w:rsidRPr="00EA57A8">
        <w:rPr>
          <w:rFonts w:cs="Arial"/>
        </w:rPr>
        <w:t>%</w:t>
      </w:r>
      <w:r w:rsidR="00F03B80" w:rsidRPr="00EA57A8">
        <w:rPr>
          <w:rFonts w:cs="Arial"/>
        </w:rPr>
        <w:t>, and 50.8%</w:t>
      </w:r>
      <w:r w:rsidRPr="00EA57A8">
        <w:rPr>
          <w:rFonts w:cs="Arial"/>
        </w:rPr>
        <w:t>)</w:t>
      </w:r>
      <w:r w:rsidR="00F03B80" w:rsidRPr="00EA57A8">
        <w:rPr>
          <w:rFonts w:cs="Arial"/>
        </w:rPr>
        <w:t xml:space="preserve">, respectively. In Region </w:t>
      </w:r>
      <w:proofErr w:type="spellStart"/>
      <w:r w:rsidR="00F03B80" w:rsidRPr="00EA57A8">
        <w:rPr>
          <w:rFonts w:cs="Arial"/>
        </w:rPr>
        <w:t>Vojvodine</w:t>
      </w:r>
      <w:proofErr w:type="spellEnd"/>
      <w:r w:rsidR="00F03B80" w:rsidRPr="00EA57A8">
        <w:rPr>
          <w:rFonts w:cs="Arial"/>
        </w:rPr>
        <w:t xml:space="preserve">, it was 49.0% </w:t>
      </w:r>
      <w:r w:rsidRPr="00EA57A8">
        <w:rPr>
          <w:rFonts w:cs="Arial"/>
        </w:rPr>
        <w:t xml:space="preserve">and in Region </w:t>
      </w:r>
      <w:proofErr w:type="spellStart"/>
      <w:r w:rsidRPr="00EA57A8">
        <w:rPr>
          <w:rFonts w:cs="Arial"/>
        </w:rPr>
        <w:t>Južne</w:t>
      </w:r>
      <w:proofErr w:type="spellEnd"/>
      <w:r w:rsidRPr="00EA57A8">
        <w:rPr>
          <w:rFonts w:cs="Arial"/>
        </w:rPr>
        <w:t xml:space="preserve"> </w:t>
      </w:r>
      <w:proofErr w:type="spellStart"/>
      <w:r w:rsidRPr="00EA57A8">
        <w:rPr>
          <w:rFonts w:cs="Arial"/>
        </w:rPr>
        <w:t>i</w:t>
      </w:r>
      <w:proofErr w:type="spellEnd"/>
      <w:r w:rsidRPr="00EA57A8">
        <w:rPr>
          <w:rFonts w:cs="Arial"/>
        </w:rPr>
        <w:t xml:space="preserve"> </w:t>
      </w:r>
      <w:proofErr w:type="spellStart"/>
      <w:r w:rsidRPr="00EA57A8">
        <w:rPr>
          <w:rFonts w:cs="Arial"/>
        </w:rPr>
        <w:t>Istočne</w:t>
      </w:r>
      <w:proofErr w:type="spellEnd"/>
      <w:r w:rsidRPr="00EA57A8">
        <w:rPr>
          <w:rFonts w:cs="Arial"/>
        </w:rPr>
        <w:t xml:space="preserve"> </w:t>
      </w:r>
      <w:proofErr w:type="spellStart"/>
      <w:r w:rsidRPr="00EA57A8">
        <w:rPr>
          <w:rFonts w:cs="Arial"/>
        </w:rPr>
        <w:t>Srbije</w:t>
      </w:r>
      <w:proofErr w:type="spellEnd"/>
      <w:r w:rsidR="00F03B80" w:rsidRPr="00EA57A8">
        <w:rPr>
          <w:rFonts w:cs="Arial"/>
        </w:rPr>
        <w:t>, it was the lowest,</w:t>
      </w:r>
      <w:r w:rsidRPr="00EA57A8">
        <w:rPr>
          <w:rFonts w:cs="Arial"/>
        </w:rPr>
        <w:t xml:space="preserve"> 4</w:t>
      </w:r>
      <w:r w:rsidR="00FB2E36" w:rsidRPr="00EA57A8">
        <w:rPr>
          <w:rFonts w:cs="Arial"/>
        </w:rPr>
        <w:t>5</w:t>
      </w:r>
      <w:r w:rsidRPr="00EA57A8">
        <w:rPr>
          <w:rFonts w:cs="Arial"/>
        </w:rPr>
        <w:t>.</w:t>
      </w:r>
      <w:r w:rsidR="00F03B80" w:rsidRPr="00EA57A8">
        <w:rPr>
          <w:rFonts w:cs="Arial"/>
        </w:rPr>
        <w:t>4%</w:t>
      </w:r>
      <w:r w:rsidRPr="00EA57A8">
        <w:rPr>
          <w:rFonts w:cs="Arial"/>
        </w:rPr>
        <w:t>.</w:t>
      </w:r>
    </w:p>
    <w:p w:rsidR="00B05442" w:rsidRPr="00EA57A8" w:rsidRDefault="00391A81" w:rsidP="00F7497D">
      <w:pPr>
        <w:spacing w:before="240" w:after="120" w:line="264" w:lineRule="auto"/>
        <w:ind w:firstLine="403"/>
        <w:jc w:val="both"/>
        <w:rPr>
          <w:rFonts w:cs="Arial"/>
          <w:b/>
        </w:rPr>
      </w:pPr>
      <w:r w:rsidRPr="00EA57A8">
        <w:rPr>
          <w:rFonts w:cs="Arial"/>
          <w:b/>
        </w:rPr>
        <w:t xml:space="preserve">Informal employment rate </w:t>
      </w:r>
      <w:r w:rsidR="00084400" w:rsidRPr="00EA57A8">
        <w:rPr>
          <w:rFonts w:cs="Arial"/>
        </w:rPr>
        <w:t>in the mentioned quarter, on</w:t>
      </w:r>
      <w:r w:rsidRPr="00EA57A8">
        <w:rPr>
          <w:rFonts w:cs="Arial"/>
        </w:rPr>
        <w:t xml:space="preserve"> the level of all activities was </w:t>
      </w:r>
      <w:r w:rsidR="00FB2E36" w:rsidRPr="00EA57A8">
        <w:rPr>
          <w:rFonts w:cs="Arial"/>
        </w:rPr>
        <w:t>2</w:t>
      </w:r>
      <w:r w:rsidR="00084400" w:rsidRPr="00EA57A8">
        <w:rPr>
          <w:rFonts w:cs="Arial"/>
        </w:rPr>
        <w:t>0</w:t>
      </w:r>
      <w:r w:rsidRPr="00EA57A8">
        <w:rPr>
          <w:rFonts w:cs="Arial"/>
        </w:rPr>
        <w:t>.</w:t>
      </w:r>
      <w:r w:rsidR="00084400" w:rsidRPr="00EA57A8">
        <w:rPr>
          <w:rFonts w:cs="Arial"/>
        </w:rPr>
        <w:t>4</w:t>
      </w:r>
      <w:r w:rsidR="00B05442" w:rsidRPr="00EA57A8">
        <w:rPr>
          <w:rFonts w:cs="Arial"/>
        </w:rPr>
        <w:t xml:space="preserve">%, </w:t>
      </w:r>
      <w:r w:rsidRPr="00EA57A8">
        <w:rPr>
          <w:rFonts w:cs="Arial"/>
        </w:rPr>
        <w:t>whereof informal sector related to employment in agricultural activities</w:t>
      </w:r>
      <w:r w:rsidR="00F7497D">
        <w:rPr>
          <w:rStyle w:val="FootnoteReference"/>
          <w:rFonts w:cs="Arial"/>
        </w:rPr>
        <w:footnoteReference w:id="1"/>
      </w:r>
      <w:r w:rsidR="00084400" w:rsidRPr="00EA57A8">
        <w:rPr>
          <w:rFonts w:cs="Arial"/>
        </w:rPr>
        <w:t xml:space="preserve"> recorded the rate of 61.3%, and in activities </w:t>
      </w:r>
      <w:r w:rsidR="002A0F49">
        <w:rPr>
          <w:rFonts w:cs="Arial"/>
        </w:rPr>
        <w:t>excluding</w:t>
      </w:r>
      <w:r w:rsidR="00084400" w:rsidRPr="00EA57A8">
        <w:rPr>
          <w:rFonts w:cs="Arial"/>
        </w:rPr>
        <w:t xml:space="preserve"> agriculture, </w:t>
      </w:r>
      <w:r w:rsidR="00F7497D">
        <w:rPr>
          <w:rFonts w:cs="Arial"/>
        </w:rPr>
        <w:t>the rate had the value of 9.5%.</w:t>
      </w:r>
    </w:p>
    <w:p w:rsidR="00391A81" w:rsidRPr="00EA57A8" w:rsidRDefault="00391A81" w:rsidP="00F7497D">
      <w:pPr>
        <w:spacing w:before="240" w:after="120" w:line="264" w:lineRule="auto"/>
        <w:ind w:firstLine="403"/>
        <w:jc w:val="both"/>
        <w:rPr>
          <w:rFonts w:cs="Arial"/>
        </w:rPr>
      </w:pPr>
      <w:r w:rsidRPr="00EA57A8">
        <w:rPr>
          <w:rFonts w:cs="Arial"/>
          <w:b/>
        </w:rPr>
        <w:t>Unemployment rate</w:t>
      </w:r>
      <w:r w:rsidRPr="00EA57A8">
        <w:rPr>
          <w:rFonts w:cs="Arial"/>
        </w:rPr>
        <w:t xml:space="preserve"> of population aged 15 and over amounted to 1</w:t>
      </w:r>
      <w:r w:rsidR="0045721A" w:rsidRPr="00EA57A8">
        <w:rPr>
          <w:rFonts w:cs="Arial"/>
        </w:rPr>
        <w:t>1</w:t>
      </w:r>
      <w:r w:rsidRPr="00EA57A8">
        <w:rPr>
          <w:rFonts w:cs="Arial"/>
        </w:rPr>
        <w:t>.</w:t>
      </w:r>
      <w:r w:rsidR="00084400" w:rsidRPr="00EA57A8">
        <w:rPr>
          <w:rFonts w:cs="Arial"/>
        </w:rPr>
        <w:t>3</w:t>
      </w:r>
      <w:r w:rsidRPr="00EA57A8">
        <w:rPr>
          <w:rFonts w:cs="Arial"/>
        </w:rPr>
        <w:t>%, i.e. 1</w:t>
      </w:r>
      <w:r w:rsidR="00084400" w:rsidRPr="00EA57A8">
        <w:rPr>
          <w:rFonts w:cs="Arial"/>
        </w:rPr>
        <w:t>0</w:t>
      </w:r>
      <w:r w:rsidRPr="00EA57A8">
        <w:rPr>
          <w:rFonts w:cs="Arial"/>
        </w:rPr>
        <w:t>.</w:t>
      </w:r>
      <w:r w:rsidR="00084400" w:rsidRPr="00EA57A8">
        <w:rPr>
          <w:rFonts w:cs="Arial"/>
        </w:rPr>
        <w:t>5</w:t>
      </w:r>
      <w:r w:rsidRPr="00EA57A8">
        <w:rPr>
          <w:rFonts w:cs="Arial"/>
        </w:rPr>
        <w:t>% regarding males and 1</w:t>
      </w:r>
      <w:r w:rsidR="0045721A" w:rsidRPr="00EA57A8">
        <w:rPr>
          <w:rFonts w:cs="Arial"/>
        </w:rPr>
        <w:t>2</w:t>
      </w:r>
      <w:r w:rsidRPr="00EA57A8">
        <w:rPr>
          <w:rFonts w:cs="Arial"/>
        </w:rPr>
        <w:t>.</w:t>
      </w:r>
      <w:r w:rsidR="00084400" w:rsidRPr="00EA57A8">
        <w:rPr>
          <w:rFonts w:cs="Arial"/>
        </w:rPr>
        <w:t>2</w:t>
      </w:r>
      <w:r w:rsidRPr="00EA57A8">
        <w:rPr>
          <w:rFonts w:cs="Arial"/>
        </w:rPr>
        <w:t xml:space="preserve">% regarding females. Observed by regions, the </w:t>
      </w:r>
      <w:r w:rsidR="00084400" w:rsidRPr="00EA57A8">
        <w:rPr>
          <w:rFonts w:cs="Arial"/>
        </w:rPr>
        <w:t xml:space="preserve">lowest rate </w:t>
      </w:r>
      <w:proofErr w:type="gramStart"/>
      <w:r w:rsidR="00084400" w:rsidRPr="00EA57A8">
        <w:rPr>
          <w:rFonts w:cs="Arial"/>
        </w:rPr>
        <w:t>was recorded</w:t>
      </w:r>
      <w:proofErr w:type="gramEnd"/>
      <w:r w:rsidR="00084400" w:rsidRPr="00EA57A8">
        <w:rPr>
          <w:rFonts w:cs="Arial"/>
        </w:rPr>
        <w:t xml:space="preserve"> in Region </w:t>
      </w:r>
      <w:proofErr w:type="spellStart"/>
      <w:r w:rsidR="00084400" w:rsidRPr="00EA57A8">
        <w:rPr>
          <w:rFonts w:cs="Arial"/>
        </w:rPr>
        <w:t>Vojvodine</w:t>
      </w:r>
      <w:proofErr w:type="spellEnd"/>
      <w:r w:rsidR="00084400" w:rsidRPr="00EA57A8">
        <w:rPr>
          <w:rFonts w:cs="Arial"/>
        </w:rPr>
        <w:t xml:space="preserve"> (7.9%), followed by </w:t>
      </w:r>
      <w:proofErr w:type="spellStart"/>
      <w:r w:rsidR="00084400" w:rsidRPr="00EA57A8">
        <w:rPr>
          <w:rFonts w:cs="Arial"/>
        </w:rPr>
        <w:t>Beogradski</w:t>
      </w:r>
      <w:proofErr w:type="spellEnd"/>
      <w:r w:rsidR="00084400" w:rsidRPr="00EA57A8">
        <w:rPr>
          <w:rFonts w:cs="Arial"/>
        </w:rPr>
        <w:t xml:space="preserve"> region (10.2%) and Region </w:t>
      </w:r>
      <w:proofErr w:type="spellStart"/>
      <w:r w:rsidR="00084400" w:rsidRPr="00EA57A8">
        <w:rPr>
          <w:rFonts w:cs="Arial"/>
        </w:rPr>
        <w:t>Šumadije</w:t>
      </w:r>
      <w:proofErr w:type="spellEnd"/>
      <w:r w:rsidR="00084400" w:rsidRPr="00EA57A8">
        <w:rPr>
          <w:rFonts w:cs="Arial"/>
        </w:rPr>
        <w:t xml:space="preserve"> </w:t>
      </w:r>
      <w:proofErr w:type="spellStart"/>
      <w:r w:rsidR="00084400" w:rsidRPr="00EA57A8">
        <w:rPr>
          <w:rFonts w:cs="Arial"/>
        </w:rPr>
        <w:t>i</w:t>
      </w:r>
      <w:proofErr w:type="spellEnd"/>
      <w:r w:rsidR="00084400" w:rsidRPr="00EA57A8">
        <w:rPr>
          <w:rFonts w:cs="Arial"/>
        </w:rPr>
        <w:t xml:space="preserve"> </w:t>
      </w:r>
      <w:proofErr w:type="spellStart"/>
      <w:r w:rsidR="00084400" w:rsidRPr="00EA57A8">
        <w:rPr>
          <w:rFonts w:cs="Arial"/>
        </w:rPr>
        <w:t>Zapadne</w:t>
      </w:r>
      <w:proofErr w:type="spellEnd"/>
      <w:r w:rsidR="00084400" w:rsidRPr="00EA57A8">
        <w:rPr>
          <w:rFonts w:cs="Arial"/>
        </w:rPr>
        <w:t xml:space="preserve"> </w:t>
      </w:r>
      <w:proofErr w:type="spellStart"/>
      <w:r w:rsidR="00084400" w:rsidRPr="00EA57A8">
        <w:rPr>
          <w:rFonts w:cs="Arial"/>
        </w:rPr>
        <w:t>Srbije</w:t>
      </w:r>
      <w:proofErr w:type="spellEnd"/>
      <w:r w:rsidR="00084400" w:rsidRPr="00EA57A8">
        <w:rPr>
          <w:rFonts w:cs="Arial"/>
        </w:rPr>
        <w:t xml:space="preserve"> (12.5%). I</w:t>
      </w:r>
      <w:r w:rsidRPr="00EA57A8">
        <w:rPr>
          <w:rFonts w:cs="Arial"/>
        </w:rPr>
        <w:t xml:space="preserve">n Region </w:t>
      </w:r>
      <w:proofErr w:type="spellStart"/>
      <w:proofErr w:type="gramStart"/>
      <w:r w:rsidRPr="00EA57A8">
        <w:rPr>
          <w:rFonts w:cs="Arial"/>
        </w:rPr>
        <w:t>Južne</w:t>
      </w:r>
      <w:proofErr w:type="spellEnd"/>
      <w:proofErr w:type="gramEnd"/>
      <w:r w:rsidRPr="00EA57A8">
        <w:rPr>
          <w:rFonts w:cs="Arial"/>
        </w:rPr>
        <w:t xml:space="preserve"> </w:t>
      </w:r>
      <w:proofErr w:type="spellStart"/>
      <w:r w:rsidRPr="00EA57A8">
        <w:rPr>
          <w:rFonts w:cs="Arial"/>
        </w:rPr>
        <w:t>i</w:t>
      </w:r>
      <w:proofErr w:type="spellEnd"/>
      <w:r w:rsidRPr="00EA57A8">
        <w:rPr>
          <w:rFonts w:cs="Arial"/>
        </w:rPr>
        <w:t xml:space="preserve"> </w:t>
      </w:r>
      <w:proofErr w:type="spellStart"/>
      <w:r w:rsidRPr="00EA57A8">
        <w:rPr>
          <w:rFonts w:cs="Arial"/>
        </w:rPr>
        <w:t>Istočne</w:t>
      </w:r>
      <w:proofErr w:type="spellEnd"/>
      <w:r w:rsidRPr="00EA57A8">
        <w:rPr>
          <w:rFonts w:cs="Arial"/>
        </w:rPr>
        <w:t xml:space="preserve"> </w:t>
      </w:r>
      <w:proofErr w:type="spellStart"/>
      <w:r w:rsidRPr="00EA57A8">
        <w:rPr>
          <w:rFonts w:cs="Arial"/>
        </w:rPr>
        <w:t>Srbije</w:t>
      </w:r>
      <w:proofErr w:type="spellEnd"/>
      <w:r w:rsidRPr="00EA57A8">
        <w:rPr>
          <w:rFonts w:cs="Arial"/>
        </w:rPr>
        <w:t xml:space="preserve"> </w:t>
      </w:r>
      <w:r w:rsidR="00084400" w:rsidRPr="00EA57A8">
        <w:rPr>
          <w:rFonts w:cs="Arial"/>
        </w:rPr>
        <w:t>the situation is still the worst regarding the labour market trend, recording the greatest unemployment rate of 15.2%</w:t>
      </w:r>
      <w:r w:rsidRPr="00EA57A8">
        <w:rPr>
          <w:rFonts w:cs="Arial"/>
        </w:rPr>
        <w:t xml:space="preserve">. </w:t>
      </w:r>
    </w:p>
    <w:p w:rsidR="00277FE4" w:rsidRPr="00EA57A8" w:rsidRDefault="00277FE4" w:rsidP="00AE1A0C">
      <w:pPr>
        <w:pStyle w:val="FootnoteText"/>
        <w:spacing w:before="480" w:after="120" w:line="264" w:lineRule="auto"/>
        <w:ind w:firstLine="397"/>
        <w:jc w:val="both"/>
        <w:rPr>
          <w:rStyle w:val="IntenseEmphasis"/>
          <w:i w:val="0"/>
          <w:iCs w:val="0"/>
          <w:color w:val="5B9BD5" w:themeColor="accent1"/>
          <w:sz w:val="22"/>
          <w:szCs w:val="22"/>
        </w:rPr>
      </w:pPr>
      <w:r w:rsidRPr="00EA57A8">
        <w:rPr>
          <w:rStyle w:val="IntenseEmphasis"/>
          <w:rFonts w:ascii="Arial" w:hAnsi="Arial" w:cs="Arial"/>
          <w:i w:val="0"/>
          <w:color w:val="5B9BD5" w:themeColor="accent1"/>
          <w:sz w:val="22"/>
          <w:szCs w:val="22"/>
        </w:rPr>
        <w:lastRenderedPageBreak/>
        <w:t>Comparison with the same quarter of the previous year</w:t>
      </w:r>
    </w:p>
    <w:p w:rsidR="00277FE4" w:rsidRPr="00EA57A8" w:rsidRDefault="00C47384" w:rsidP="00F7497D">
      <w:pPr>
        <w:spacing w:before="240" w:after="120" w:line="264" w:lineRule="auto"/>
        <w:ind w:firstLine="403"/>
        <w:jc w:val="both"/>
        <w:rPr>
          <w:rFonts w:cs="Arial"/>
        </w:rPr>
      </w:pPr>
      <w:r w:rsidRPr="00EA57A8">
        <w:rPr>
          <w:rFonts w:cs="Arial"/>
        </w:rPr>
        <w:t>In</w:t>
      </w:r>
      <w:r w:rsidR="00277FE4" w:rsidRPr="00EA57A8">
        <w:rPr>
          <w:rFonts w:cs="Arial"/>
        </w:rPr>
        <w:t xml:space="preserve"> the </w:t>
      </w:r>
      <w:r w:rsidRPr="00EA57A8">
        <w:rPr>
          <w:rFonts w:cs="Arial"/>
        </w:rPr>
        <w:t>third</w:t>
      </w:r>
      <w:r w:rsidR="00277FE4" w:rsidRPr="00EA57A8">
        <w:rPr>
          <w:rFonts w:cs="Arial"/>
        </w:rPr>
        <w:t xml:space="preserve"> quarter </w:t>
      </w:r>
      <w:r w:rsidRPr="00EA57A8">
        <w:rPr>
          <w:rFonts w:cs="Arial"/>
        </w:rPr>
        <w:t>2018</w:t>
      </w:r>
      <w:r w:rsidR="00277FE4" w:rsidRPr="00EA57A8">
        <w:rPr>
          <w:rFonts w:cs="Arial"/>
        </w:rPr>
        <w:t xml:space="preserve">, the number of employed </w:t>
      </w:r>
      <w:r w:rsidRPr="00EA57A8">
        <w:rPr>
          <w:rFonts w:cs="Arial"/>
        </w:rPr>
        <w:t>increased by 47</w:t>
      </w:r>
      <w:r w:rsidR="00F7497D">
        <w:rPr>
          <w:rFonts w:cs="Arial"/>
        </w:rPr>
        <w:t> </w:t>
      </w:r>
      <w:r w:rsidRPr="00EA57A8">
        <w:rPr>
          <w:rFonts w:cs="Arial"/>
        </w:rPr>
        <w:t>400 and number of unemployed decreased by 56</w:t>
      </w:r>
      <w:r w:rsidR="00F7497D">
        <w:rPr>
          <w:rFonts w:cs="Arial"/>
        </w:rPr>
        <w:t> </w:t>
      </w:r>
      <w:r w:rsidRPr="00EA57A8">
        <w:rPr>
          <w:rFonts w:cs="Arial"/>
        </w:rPr>
        <w:t xml:space="preserve">400 relative to the third quarter of the previous year. Employment rate was increased by one percentage point (p.p.), relative to the third quarter 2017, amounting now to 49.2%, while unemployment rate was decreased by 1.7 p.p. </w:t>
      </w:r>
      <w:r w:rsidR="00277FE4" w:rsidRPr="00EA57A8">
        <w:rPr>
          <w:rFonts w:cs="Arial"/>
        </w:rPr>
        <w:t xml:space="preserve">and </w:t>
      </w:r>
      <w:r w:rsidRPr="00EA57A8">
        <w:rPr>
          <w:rFonts w:cs="Arial"/>
        </w:rPr>
        <w:t>amounted to 11.3%.</w:t>
      </w:r>
    </w:p>
    <w:p w:rsidR="00277FE4" w:rsidRPr="00EA57A8" w:rsidRDefault="00C47384" w:rsidP="00F7497D">
      <w:pPr>
        <w:spacing w:before="240" w:after="120" w:line="264" w:lineRule="auto"/>
        <w:ind w:firstLine="403"/>
        <w:jc w:val="both"/>
        <w:rPr>
          <w:rFonts w:cs="Arial"/>
        </w:rPr>
      </w:pPr>
      <w:r w:rsidRPr="00EA57A8">
        <w:rPr>
          <w:rFonts w:cs="Arial"/>
        </w:rPr>
        <w:t>In scope of total employment, decreased was informal employment (by 29</w:t>
      </w:r>
      <w:r w:rsidR="00F7497D">
        <w:rPr>
          <w:rFonts w:cs="Arial"/>
        </w:rPr>
        <w:t> </w:t>
      </w:r>
      <w:r w:rsidRPr="00EA57A8">
        <w:rPr>
          <w:rFonts w:cs="Arial"/>
        </w:rPr>
        <w:t>500) and increased was formal employment (by 76</w:t>
      </w:r>
      <w:r w:rsidR="00F7497D">
        <w:rPr>
          <w:rFonts w:cs="Arial"/>
        </w:rPr>
        <w:t> </w:t>
      </w:r>
      <w:r w:rsidRPr="00EA57A8">
        <w:rPr>
          <w:rFonts w:cs="Arial"/>
        </w:rPr>
        <w:t>900), dominantly in the activity sections of Manufacturing, Accommodation and food service activities and Wholesale and retail trade and repair of motor vehicles and motorcycles. Such trend is in accordance with registered employment trend, according to the records of Central Registry f</w:t>
      </w:r>
      <w:r w:rsidR="00F7497D">
        <w:rPr>
          <w:rFonts w:cs="Arial"/>
        </w:rPr>
        <w:t>or Compulsory Social Insurance.</w:t>
      </w:r>
    </w:p>
    <w:p w:rsidR="00277FE4" w:rsidRPr="00F7497D" w:rsidRDefault="00E61511" w:rsidP="00F7497D">
      <w:pPr>
        <w:spacing w:before="240" w:after="120" w:line="264" w:lineRule="auto"/>
        <w:ind w:firstLine="403"/>
        <w:jc w:val="both"/>
        <w:rPr>
          <w:rFonts w:cs="Arial"/>
        </w:rPr>
      </w:pPr>
      <w:r w:rsidRPr="00EA57A8">
        <w:rPr>
          <w:rFonts w:cs="Arial"/>
        </w:rPr>
        <w:t xml:space="preserve">The greatest employment increase, with unemployment decrease was noted in </w:t>
      </w:r>
      <w:proofErr w:type="spellStart"/>
      <w:r w:rsidRPr="00EA57A8">
        <w:rPr>
          <w:rFonts w:cs="Arial"/>
        </w:rPr>
        <w:t>Beogradski</w:t>
      </w:r>
      <w:proofErr w:type="spellEnd"/>
      <w:r w:rsidRPr="00EA57A8">
        <w:rPr>
          <w:rFonts w:cs="Arial"/>
        </w:rPr>
        <w:t xml:space="preserve"> region and </w:t>
      </w:r>
      <w:r w:rsidR="002A0F49">
        <w:rPr>
          <w:rFonts w:cs="Arial"/>
        </w:rPr>
        <w:t>R</w:t>
      </w:r>
      <w:r w:rsidRPr="00EA57A8">
        <w:rPr>
          <w:rFonts w:cs="Arial"/>
        </w:rPr>
        <w:t xml:space="preserve">egion </w:t>
      </w:r>
      <w:proofErr w:type="spellStart"/>
      <w:r w:rsidRPr="00EA57A8">
        <w:rPr>
          <w:rFonts w:cs="Arial"/>
        </w:rPr>
        <w:t>Vojvodine</w:t>
      </w:r>
      <w:proofErr w:type="spellEnd"/>
      <w:r w:rsidRPr="00EA57A8">
        <w:rPr>
          <w:rFonts w:cs="Arial"/>
        </w:rPr>
        <w:t xml:space="preserve">, while the situation was completely different in Region </w:t>
      </w:r>
      <w:proofErr w:type="spellStart"/>
      <w:r w:rsidRPr="00EA57A8">
        <w:rPr>
          <w:rFonts w:cs="Arial"/>
        </w:rPr>
        <w:t>Južne</w:t>
      </w:r>
      <w:proofErr w:type="spellEnd"/>
      <w:r w:rsidRPr="00EA57A8">
        <w:rPr>
          <w:rFonts w:cs="Arial"/>
        </w:rPr>
        <w:t xml:space="preserve"> </w:t>
      </w:r>
      <w:proofErr w:type="spellStart"/>
      <w:r w:rsidRPr="00EA57A8">
        <w:rPr>
          <w:rFonts w:cs="Arial"/>
        </w:rPr>
        <w:t>i</w:t>
      </w:r>
      <w:proofErr w:type="spellEnd"/>
      <w:r w:rsidRPr="00EA57A8">
        <w:rPr>
          <w:rFonts w:cs="Arial"/>
        </w:rPr>
        <w:t xml:space="preserve"> </w:t>
      </w:r>
      <w:proofErr w:type="spellStart"/>
      <w:r w:rsidRPr="00EA57A8">
        <w:rPr>
          <w:rFonts w:cs="Arial"/>
        </w:rPr>
        <w:t>Istočne</w:t>
      </w:r>
      <w:proofErr w:type="spellEnd"/>
      <w:r w:rsidRPr="00EA57A8">
        <w:rPr>
          <w:rFonts w:cs="Arial"/>
        </w:rPr>
        <w:t xml:space="preserve"> </w:t>
      </w:r>
      <w:proofErr w:type="spellStart"/>
      <w:r w:rsidRPr="00EA57A8">
        <w:rPr>
          <w:rFonts w:cs="Arial"/>
        </w:rPr>
        <w:t>Srbije</w:t>
      </w:r>
      <w:proofErr w:type="spellEnd"/>
      <w:r w:rsidRPr="00EA57A8">
        <w:rPr>
          <w:rFonts w:cs="Arial"/>
        </w:rPr>
        <w:t xml:space="preserve">, where in the same period, </w:t>
      </w:r>
      <w:r w:rsidR="003F1840" w:rsidRPr="00EA57A8">
        <w:rPr>
          <w:rFonts w:cs="Arial"/>
        </w:rPr>
        <w:t>employment decreased and unemployment increased.</w:t>
      </w:r>
    </w:p>
    <w:p w:rsidR="003F1840" w:rsidRPr="00EA57A8" w:rsidRDefault="003F1840" w:rsidP="00F7497D">
      <w:pPr>
        <w:spacing w:before="240" w:after="120" w:line="264" w:lineRule="auto"/>
        <w:ind w:firstLine="403"/>
        <w:jc w:val="both"/>
        <w:rPr>
          <w:rFonts w:cs="Arial"/>
        </w:rPr>
      </w:pPr>
      <w:r w:rsidRPr="00EA57A8">
        <w:rPr>
          <w:rFonts w:cs="Arial"/>
        </w:rPr>
        <w:t xml:space="preserve">Employment </w:t>
      </w:r>
      <w:proofErr w:type="gramStart"/>
      <w:r w:rsidRPr="00EA57A8">
        <w:rPr>
          <w:rFonts w:cs="Arial"/>
        </w:rPr>
        <w:t>was increased</w:t>
      </w:r>
      <w:proofErr w:type="gramEnd"/>
      <w:r w:rsidRPr="00EA57A8">
        <w:rPr>
          <w:rFonts w:cs="Arial"/>
        </w:rPr>
        <w:t xml:space="preserve"> in population with secondary and tertiary education level, dom</w:t>
      </w:r>
      <w:r w:rsidR="00F7497D">
        <w:rPr>
          <w:rFonts w:cs="Arial"/>
        </w:rPr>
        <w:t>inantly in the age group 25-34.</w:t>
      </w:r>
    </w:p>
    <w:p w:rsidR="003F1840" w:rsidRPr="00EA57A8" w:rsidRDefault="003F1840" w:rsidP="00F7497D">
      <w:pPr>
        <w:spacing w:before="240" w:after="120" w:line="264" w:lineRule="auto"/>
        <w:ind w:firstLine="403"/>
        <w:jc w:val="both"/>
        <w:rPr>
          <w:rFonts w:cs="Arial"/>
        </w:rPr>
      </w:pPr>
      <w:r w:rsidRPr="00EA57A8">
        <w:rPr>
          <w:rFonts w:cs="Arial"/>
        </w:rPr>
        <w:t>There were no significant changes in number of employed regarding young population aged 15-24, while number of unemployed was decreased by 12</w:t>
      </w:r>
      <w:r w:rsidR="00F7497D">
        <w:rPr>
          <w:rFonts w:cs="Arial"/>
        </w:rPr>
        <w:t> </w:t>
      </w:r>
      <w:r w:rsidRPr="00EA57A8">
        <w:rPr>
          <w:rFonts w:cs="Arial"/>
        </w:rPr>
        <w:t xml:space="preserve">800, i.e. 18% relative to the same period last year. </w:t>
      </w:r>
    </w:p>
    <w:p w:rsidR="003F1840" w:rsidRPr="00EA57A8" w:rsidRDefault="003F1840" w:rsidP="00F7497D">
      <w:pPr>
        <w:spacing w:before="240" w:after="120" w:line="264" w:lineRule="auto"/>
        <w:ind w:firstLine="403"/>
        <w:jc w:val="both"/>
        <w:rPr>
          <w:rFonts w:cs="Arial"/>
        </w:rPr>
      </w:pPr>
      <w:r w:rsidRPr="00EA57A8">
        <w:rPr>
          <w:rFonts w:cs="Arial"/>
        </w:rPr>
        <w:t xml:space="preserve">Activity rate of young in the third quarter amounted to 31.6%, while employment and unemployment rates were on the level of 23.6% and 25.3%, respectively. </w:t>
      </w:r>
    </w:p>
    <w:p w:rsidR="0060303E" w:rsidRPr="00EA57A8" w:rsidRDefault="0060303E" w:rsidP="00F7497D">
      <w:pPr>
        <w:spacing w:before="240" w:after="120" w:line="264" w:lineRule="auto"/>
        <w:ind w:firstLine="403"/>
        <w:jc w:val="both"/>
        <w:rPr>
          <w:rFonts w:cs="Arial"/>
        </w:rPr>
      </w:pPr>
      <w:r w:rsidRPr="00EA57A8">
        <w:rPr>
          <w:rFonts w:cs="Arial"/>
        </w:rPr>
        <w:t xml:space="preserve">The share of the young who neither work nor attend school (in formal or informal education) in total population of young aged 15-24 (so called NEET rate) was decreased by 0.8 p.p. relative to the third quarter 2017, amounting now to 16.3%. Regarding population aged 15-29, NEET rate was 19.0%. </w:t>
      </w:r>
    </w:p>
    <w:p w:rsidR="00B377AD" w:rsidRPr="00EA57A8" w:rsidRDefault="00B377AD" w:rsidP="00AE1A0C">
      <w:pPr>
        <w:spacing w:before="480" w:after="120" w:line="264" w:lineRule="auto"/>
        <w:ind w:firstLine="397"/>
        <w:jc w:val="both"/>
        <w:rPr>
          <w:rStyle w:val="IntenseEmphasis"/>
          <w:rFonts w:cs="Arial"/>
          <w:i w:val="0"/>
          <w:color w:val="5B9BD5" w:themeColor="accent1"/>
          <w:sz w:val="22"/>
          <w:szCs w:val="22"/>
        </w:rPr>
      </w:pPr>
      <w:r w:rsidRPr="00EA57A8">
        <w:rPr>
          <w:rStyle w:val="IntenseEmphasis"/>
          <w:rFonts w:cs="Arial"/>
          <w:i w:val="0"/>
          <w:color w:val="5B9BD5" w:themeColor="accent1"/>
          <w:sz w:val="22"/>
          <w:szCs w:val="22"/>
        </w:rPr>
        <w:t xml:space="preserve">Comparison with the previous </w:t>
      </w:r>
      <w:r w:rsidR="00DE3C95" w:rsidRPr="00EA57A8">
        <w:rPr>
          <w:rStyle w:val="IntenseEmphasis"/>
          <w:rFonts w:cs="Arial"/>
          <w:i w:val="0"/>
          <w:color w:val="5B9BD5" w:themeColor="accent1"/>
          <w:sz w:val="22"/>
          <w:szCs w:val="22"/>
        </w:rPr>
        <w:t>quarter</w:t>
      </w:r>
      <w:r w:rsidRPr="00EA57A8">
        <w:rPr>
          <w:rStyle w:val="IntenseEmphasis"/>
          <w:rFonts w:cs="Arial"/>
          <w:i w:val="0"/>
          <w:color w:val="5B9BD5" w:themeColor="accent1"/>
          <w:sz w:val="22"/>
          <w:szCs w:val="22"/>
        </w:rPr>
        <w:t xml:space="preserve"> </w:t>
      </w:r>
    </w:p>
    <w:p w:rsidR="000738EC" w:rsidRPr="00EA57A8" w:rsidRDefault="000738EC" w:rsidP="00F7497D">
      <w:pPr>
        <w:spacing w:before="240" w:after="120" w:line="264" w:lineRule="auto"/>
        <w:ind w:firstLine="403"/>
        <w:jc w:val="both"/>
        <w:rPr>
          <w:rFonts w:cs="Arial"/>
        </w:rPr>
      </w:pPr>
      <w:r w:rsidRPr="00EA57A8">
        <w:rPr>
          <w:rFonts w:cs="Arial"/>
        </w:rPr>
        <w:t xml:space="preserve">Employment growth trend, with decreased unemployment </w:t>
      </w:r>
      <w:proofErr w:type="gramStart"/>
      <w:r w:rsidRPr="00EA57A8">
        <w:rPr>
          <w:rFonts w:cs="Arial"/>
        </w:rPr>
        <w:t>were also recorded</w:t>
      </w:r>
      <w:proofErr w:type="gramEnd"/>
      <w:r w:rsidRPr="00EA57A8">
        <w:rPr>
          <w:rFonts w:cs="Arial"/>
        </w:rPr>
        <w:t xml:space="preserve"> in comparison </w:t>
      </w:r>
      <w:r w:rsidR="00C94716" w:rsidRPr="00EA57A8">
        <w:rPr>
          <w:rFonts w:cs="Arial"/>
        </w:rPr>
        <w:t>with the second quarter 2018. Na</w:t>
      </w:r>
      <w:r w:rsidRPr="00EA57A8">
        <w:rPr>
          <w:rFonts w:cs="Arial"/>
        </w:rPr>
        <w:t>m</w:t>
      </w:r>
      <w:r w:rsidR="00C94716" w:rsidRPr="00EA57A8">
        <w:rPr>
          <w:rFonts w:cs="Arial"/>
        </w:rPr>
        <w:t>e</w:t>
      </w:r>
      <w:r w:rsidRPr="00EA57A8">
        <w:rPr>
          <w:rFonts w:cs="Arial"/>
        </w:rPr>
        <w:t>ly, in the third quarter 2018, number of employed increased by 32</w:t>
      </w:r>
      <w:r w:rsidR="00F7497D">
        <w:rPr>
          <w:rFonts w:cs="Arial"/>
        </w:rPr>
        <w:t> </w:t>
      </w:r>
      <w:r w:rsidRPr="00EA57A8">
        <w:rPr>
          <w:rFonts w:cs="Arial"/>
        </w:rPr>
        <w:t>500, and number of unemployed and inactive</w:t>
      </w:r>
      <w:r w:rsidR="009F56BA" w:rsidRPr="00EA57A8">
        <w:rPr>
          <w:rFonts w:cs="Arial"/>
        </w:rPr>
        <w:t xml:space="preserve"> decreased by 19</w:t>
      </w:r>
      <w:r w:rsidR="00F7497D">
        <w:rPr>
          <w:rFonts w:cs="Arial"/>
        </w:rPr>
        <w:t> </w:t>
      </w:r>
      <w:r w:rsidR="009F56BA" w:rsidRPr="00EA57A8">
        <w:rPr>
          <w:rFonts w:cs="Arial"/>
        </w:rPr>
        <w:t>700 and 20</w:t>
      </w:r>
      <w:r w:rsidR="00F7497D">
        <w:rPr>
          <w:rFonts w:cs="Arial"/>
        </w:rPr>
        <w:t> </w:t>
      </w:r>
      <w:r w:rsidR="009F56BA" w:rsidRPr="00EA57A8">
        <w:rPr>
          <w:rFonts w:cs="Arial"/>
        </w:rPr>
        <w:t xml:space="preserve">700, respectively, relative to the previous quarter. Employment rate </w:t>
      </w:r>
      <w:proofErr w:type="gramStart"/>
      <w:r w:rsidR="009F56BA" w:rsidRPr="00EA57A8">
        <w:rPr>
          <w:rFonts w:cs="Arial"/>
        </w:rPr>
        <w:t>was increased</w:t>
      </w:r>
      <w:proofErr w:type="gramEnd"/>
      <w:r w:rsidR="009F56BA" w:rsidRPr="00EA57A8">
        <w:rPr>
          <w:rFonts w:cs="Arial"/>
        </w:rPr>
        <w:t xml:space="preserve"> by 0.6 p.p. while unemployment and inactivity rates were decreased by 0.6 and 0.3 p.p. respectively. </w:t>
      </w:r>
    </w:p>
    <w:p w:rsidR="000738EC" w:rsidRPr="00EA57A8" w:rsidRDefault="009F56BA" w:rsidP="00F7497D">
      <w:pPr>
        <w:spacing w:before="240" w:after="120" w:line="264" w:lineRule="auto"/>
        <w:ind w:firstLine="403"/>
        <w:jc w:val="both"/>
        <w:rPr>
          <w:rFonts w:cs="Arial"/>
        </w:rPr>
      </w:pPr>
      <w:r w:rsidRPr="00EA57A8">
        <w:rPr>
          <w:rFonts w:cs="Arial"/>
        </w:rPr>
        <w:t>In scope of total employment, informal employment was decreased (by 8</w:t>
      </w:r>
      <w:r w:rsidR="00F7497D">
        <w:rPr>
          <w:rFonts w:cs="Arial"/>
        </w:rPr>
        <w:t> </w:t>
      </w:r>
      <w:r w:rsidRPr="00EA57A8">
        <w:rPr>
          <w:rFonts w:cs="Arial"/>
        </w:rPr>
        <w:t>3000) and formal employment increased (by 40</w:t>
      </w:r>
      <w:r w:rsidR="00F7497D">
        <w:rPr>
          <w:rFonts w:cs="Arial"/>
        </w:rPr>
        <w:t> </w:t>
      </w:r>
      <w:r w:rsidRPr="00EA57A8">
        <w:rPr>
          <w:rFonts w:cs="Arial"/>
        </w:rPr>
        <w:t>800). Informal employment rate was decreased by 0.5 p.p. Number of formally employed was increased in the sections of Wholesale and retail trade and motor vehicles repair, Transport and storage, and Administrative and support service activities, as is in accordance with trends of registered employment, according to the records of  Central Registry of Compulsory Social Insurance.</w:t>
      </w:r>
      <w:r w:rsidR="000738EC" w:rsidRPr="00EA57A8">
        <w:rPr>
          <w:rFonts w:cs="Arial"/>
        </w:rPr>
        <w:tab/>
      </w:r>
    </w:p>
    <w:p w:rsidR="009E3604" w:rsidRPr="00EA57A8" w:rsidRDefault="001A5267" w:rsidP="00F7497D">
      <w:pPr>
        <w:spacing w:before="240" w:after="120" w:line="264" w:lineRule="auto"/>
        <w:ind w:firstLine="403"/>
        <w:jc w:val="both"/>
        <w:rPr>
          <w:rFonts w:cs="Arial"/>
        </w:rPr>
      </w:pPr>
      <w:r w:rsidRPr="00EA57A8">
        <w:rPr>
          <w:rFonts w:cs="Arial"/>
        </w:rPr>
        <w:t>Situation on labour market</w:t>
      </w:r>
      <w:r w:rsidR="002A5578" w:rsidRPr="00EA57A8">
        <w:rPr>
          <w:rFonts w:cs="Arial"/>
        </w:rPr>
        <w:t xml:space="preserve"> </w:t>
      </w:r>
      <w:r w:rsidR="002A0F49">
        <w:rPr>
          <w:rFonts w:cs="Arial"/>
        </w:rPr>
        <w:t xml:space="preserve">in the previous period </w:t>
      </w:r>
      <w:r w:rsidR="002A5578" w:rsidRPr="00EA57A8">
        <w:rPr>
          <w:rFonts w:cs="Arial"/>
        </w:rPr>
        <w:t xml:space="preserve">has not changed in the same manner in all regions of Serbia. </w:t>
      </w:r>
      <w:r w:rsidR="001C2A83" w:rsidRPr="00EA57A8">
        <w:rPr>
          <w:rFonts w:cs="Arial"/>
        </w:rPr>
        <w:t xml:space="preserve">While relative to the previous quarter, in Region </w:t>
      </w:r>
      <w:proofErr w:type="spellStart"/>
      <w:r w:rsidR="001C2A83" w:rsidRPr="00EA57A8">
        <w:rPr>
          <w:rFonts w:cs="Arial"/>
        </w:rPr>
        <w:t>Vojvodine</w:t>
      </w:r>
      <w:proofErr w:type="spellEnd"/>
      <w:r w:rsidR="001C2A83" w:rsidRPr="00EA57A8">
        <w:rPr>
          <w:rFonts w:cs="Arial"/>
        </w:rPr>
        <w:t xml:space="preserve">, unemployment </w:t>
      </w:r>
      <w:proofErr w:type="gramStart"/>
      <w:r w:rsidR="001C2A83" w:rsidRPr="00EA57A8">
        <w:rPr>
          <w:rFonts w:cs="Arial"/>
        </w:rPr>
        <w:t>was decreased</w:t>
      </w:r>
      <w:proofErr w:type="gramEnd"/>
      <w:r w:rsidR="001C2A83" w:rsidRPr="00EA57A8">
        <w:rPr>
          <w:rFonts w:cs="Arial"/>
        </w:rPr>
        <w:t xml:space="preserve"> in favour of employment, in other regions</w:t>
      </w:r>
      <w:r w:rsidR="009E3604" w:rsidRPr="00EA57A8">
        <w:rPr>
          <w:rFonts w:cs="Arial"/>
        </w:rPr>
        <w:t xml:space="preserve">, there were no significant changes in the number of unemployed. In region </w:t>
      </w:r>
      <w:proofErr w:type="spellStart"/>
      <w:r w:rsidR="009E3604" w:rsidRPr="00EA57A8">
        <w:rPr>
          <w:rFonts w:cs="Arial"/>
        </w:rPr>
        <w:t>Šumadije</w:t>
      </w:r>
      <w:proofErr w:type="spellEnd"/>
      <w:r w:rsidR="009E3604" w:rsidRPr="00EA57A8">
        <w:rPr>
          <w:rFonts w:cs="Arial"/>
        </w:rPr>
        <w:t xml:space="preserve"> </w:t>
      </w:r>
      <w:proofErr w:type="spellStart"/>
      <w:r w:rsidR="009E3604" w:rsidRPr="00EA57A8">
        <w:rPr>
          <w:rFonts w:cs="Arial"/>
        </w:rPr>
        <w:t>i</w:t>
      </w:r>
      <w:proofErr w:type="spellEnd"/>
      <w:r w:rsidR="009E3604" w:rsidRPr="00EA57A8">
        <w:rPr>
          <w:rFonts w:cs="Arial"/>
        </w:rPr>
        <w:t xml:space="preserve"> </w:t>
      </w:r>
      <w:proofErr w:type="spellStart"/>
      <w:r w:rsidR="009E3604" w:rsidRPr="00EA57A8">
        <w:rPr>
          <w:rFonts w:cs="Arial"/>
        </w:rPr>
        <w:t>Zapadne</w:t>
      </w:r>
      <w:proofErr w:type="spellEnd"/>
      <w:r w:rsidR="009E3604" w:rsidRPr="00EA57A8">
        <w:rPr>
          <w:rFonts w:cs="Arial"/>
        </w:rPr>
        <w:t xml:space="preserve"> </w:t>
      </w:r>
      <w:proofErr w:type="spellStart"/>
      <w:r w:rsidR="009E3604" w:rsidRPr="00EA57A8">
        <w:rPr>
          <w:rFonts w:cs="Arial"/>
        </w:rPr>
        <w:t>Srbije</w:t>
      </w:r>
      <w:proofErr w:type="spellEnd"/>
      <w:r w:rsidR="009E3604" w:rsidRPr="00EA57A8">
        <w:rPr>
          <w:rFonts w:cs="Arial"/>
        </w:rPr>
        <w:t xml:space="preserve">, decreased was the contingent of inactive population in favour of employed population. Unlike other regions, in </w:t>
      </w:r>
      <w:proofErr w:type="spellStart"/>
      <w:r w:rsidR="009E3604" w:rsidRPr="00EA57A8">
        <w:rPr>
          <w:rFonts w:cs="Arial"/>
        </w:rPr>
        <w:t>Beogradski</w:t>
      </w:r>
      <w:proofErr w:type="spellEnd"/>
      <w:r w:rsidR="009E3604" w:rsidRPr="00EA57A8">
        <w:rPr>
          <w:rFonts w:cs="Arial"/>
        </w:rPr>
        <w:t xml:space="preserve"> region, noted was the decreased employment in the mentioned period.  </w:t>
      </w:r>
      <w:r w:rsidR="001C2A83" w:rsidRPr="00EA57A8">
        <w:rPr>
          <w:rFonts w:cs="Arial"/>
        </w:rPr>
        <w:t xml:space="preserve">  </w:t>
      </w:r>
    </w:p>
    <w:p w:rsidR="009F56BA" w:rsidRPr="00EA57A8" w:rsidRDefault="009E3604" w:rsidP="00F7497D">
      <w:pPr>
        <w:spacing w:before="240" w:after="120" w:line="264" w:lineRule="auto"/>
        <w:ind w:firstLine="403"/>
        <w:jc w:val="both"/>
        <w:rPr>
          <w:rFonts w:cs="Arial"/>
        </w:rPr>
      </w:pPr>
      <w:r w:rsidRPr="00EA57A8">
        <w:rPr>
          <w:rFonts w:cs="Arial"/>
        </w:rPr>
        <w:t xml:space="preserve">Employment </w:t>
      </w:r>
      <w:proofErr w:type="gramStart"/>
      <w:r w:rsidRPr="00EA57A8">
        <w:rPr>
          <w:rFonts w:cs="Arial"/>
        </w:rPr>
        <w:t>was increased in population with lower and middle education levels, and in the contingent aged 15-34, the most frequently in category of temporarily or seasonally employed</w:t>
      </w:r>
      <w:proofErr w:type="gramEnd"/>
      <w:r w:rsidRPr="00EA57A8">
        <w:rPr>
          <w:rFonts w:cs="Arial"/>
        </w:rPr>
        <w:t xml:space="preserve">. Generally, these are the persons performing activity independently or </w:t>
      </w:r>
      <w:r w:rsidR="002A0F49">
        <w:rPr>
          <w:rFonts w:cs="Arial"/>
        </w:rPr>
        <w:t>being</w:t>
      </w:r>
      <w:r w:rsidRPr="00EA57A8">
        <w:rPr>
          <w:rFonts w:cs="Arial"/>
        </w:rPr>
        <w:t xml:space="preserve"> </w:t>
      </w:r>
      <w:r w:rsidR="002A0F49">
        <w:rPr>
          <w:rFonts w:cs="Arial"/>
        </w:rPr>
        <w:t>contribut</w:t>
      </w:r>
      <w:r w:rsidRPr="00EA57A8">
        <w:rPr>
          <w:rFonts w:cs="Arial"/>
        </w:rPr>
        <w:t xml:space="preserve">ing household </w:t>
      </w:r>
      <w:r w:rsidR="002A0F49">
        <w:rPr>
          <w:rFonts w:cs="Arial"/>
        </w:rPr>
        <w:t>worker</w:t>
      </w:r>
      <w:r w:rsidRPr="00EA57A8">
        <w:rPr>
          <w:rFonts w:cs="Arial"/>
        </w:rPr>
        <w:t xml:space="preserve">s. Number of employed with tertiary education and employed for indefinite </w:t>
      </w:r>
      <w:proofErr w:type="gramStart"/>
      <w:r w:rsidRPr="00EA57A8">
        <w:rPr>
          <w:rFonts w:cs="Arial"/>
        </w:rPr>
        <w:t>time period</w:t>
      </w:r>
      <w:proofErr w:type="gramEnd"/>
      <w:r w:rsidRPr="00EA57A8">
        <w:rPr>
          <w:rFonts w:cs="Arial"/>
        </w:rPr>
        <w:t xml:space="preserve"> was decreased relative to the previous quarter.  </w:t>
      </w:r>
    </w:p>
    <w:p w:rsidR="009E3604" w:rsidRPr="00EA57A8" w:rsidRDefault="009E3604" w:rsidP="00F7497D">
      <w:pPr>
        <w:spacing w:before="240" w:after="120" w:line="264" w:lineRule="auto"/>
        <w:ind w:firstLine="403"/>
        <w:jc w:val="both"/>
        <w:rPr>
          <w:rFonts w:cs="Arial"/>
        </w:rPr>
      </w:pPr>
      <w:r w:rsidRPr="00EA57A8">
        <w:rPr>
          <w:rFonts w:cs="Arial"/>
        </w:rPr>
        <w:t xml:space="preserve">In contingent of young </w:t>
      </w:r>
      <w:proofErr w:type="gramStart"/>
      <w:r w:rsidRPr="00EA57A8">
        <w:rPr>
          <w:rFonts w:cs="Arial"/>
        </w:rPr>
        <w:t>population</w:t>
      </w:r>
      <w:proofErr w:type="gramEnd"/>
      <w:r w:rsidRPr="00EA57A8">
        <w:rPr>
          <w:rFonts w:cs="Arial"/>
        </w:rPr>
        <w:t xml:space="preserve"> aged 15-24 noted were positive trends on labour market. Number of inactive young population was decreased by 16</w:t>
      </w:r>
      <w:r w:rsidR="00F7497D">
        <w:rPr>
          <w:rFonts w:cs="Arial"/>
        </w:rPr>
        <w:t> </w:t>
      </w:r>
      <w:r w:rsidRPr="00EA57A8">
        <w:rPr>
          <w:rFonts w:cs="Arial"/>
        </w:rPr>
        <w:t>000 in favour of employed population, which was increased by 14</w:t>
      </w:r>
      <w:r w:rsidR="00F7497D">
        <w:rPr>
          <w:rFonts w:cs="Arial"/>
        </w:rPr>
        <w:t> </w:t>
      </w:r>
      <w:r w:rsidRPr="00EA57A8">
        <w:rPr>
          <w:rFonts w:cs="Arial"/>
        </w:rPr>
        <w:t xml:space="preserve">500, i.e. 9.3%. Number of unemployed did not significantly change relative to the previous quarter. </w:t>
      </w:r>
    </w:p>
    <w:p w:rsidR="009E3604" w:rsidRPr="00EA57A8" w:rsidRDefault="009E3604" w:rsidP="00AE1A0C">
      <w:pPr>
        <w:spacing w:before="480" w:after="120" w:line="300" w:lineRule="auto"/>
        <w:ind w:firstLine="403"/>
        <w:jc w:val="center"/>
        <w:rPr>
          <w:rFonts w:cs="Arial"/>
          <w:bCs/>
        </w:rPr>
      </w:pPr>
      <w:r w:rsidRPr="00EA57A8">
        <w:rPr>
          <w:rFonts w:cs="Arial"/>
          <w:b/>
          <w:color w:val="323232"/>
        </w:rPr>
        <w:lastRenderedPageBreak/>
        <w:t>Table 1.</w:t>
      </w:r>
      <w:r w:rsidRPr="00EA57A8">
        <w:rPr>
          <w:rFonts w:cs="Arial"/>
          <w:color w:val="323232"/>
        </w:rPr>
        <w:t xml:space="preserve"> </w:t>
      </w:r>
      <w:r w:rsidRPr="00EA57A8">
        <w:rPr>
          <w:rFonts w:cs="Arial"/>
          <w:bCs/>
        </w:rPr>
        <w:t>Main indicators of labour market trend, Q3 2018</w:t>
      </w:r>
    </w:p>
    <w:tbl>
      <w:tblPr>
        <w:tblW w:w="8699" w:type="dxa"/>
        <w:jc w:val="center"/>
        <w:tblLayout w:type="fixed"/>
        <w:tblLook w:val="04A0" w:firstRow="1" w:lastRow="0" w:firstColumn="1" w:lastColumn="0" w:noHBand="0" w:noVBand="1"/>
      </w:tblPr>
      <w:tblGrid>
        <w:gridCol w:w="3617"/>
        <w:gridCol w:w="1031"/>
        <w:gridCol w:w="1001"/>
        <w:gridCol w:w="1017"/>
        <w:gridCol w:w="14"/>
        <w:gridCol w:w="1002"/>
        <w:gridCol w:w="1017"/>
      </w:tblGrid>
      <w:tr w:rsidR="009E3604" w:rsidRPr="00EA57A8" w:rsidTr="00F7497D">
        <w:trPr>
          <w:trHeight w:val="587"/>
          <w:jc w:val="center"/>
        </w:trPr>
        <w:tc>
          <w:tcPr>
            <w:tcW w:w="3617" w:type="dxa"/>
            <w:vMerge w:val="restart"/>
            <w:tcBorders>
              <w:top w:val="single" w:sz="8" w:space="0" w:color="0C5498"/>
              <w:bottom w:val="single" w:sz="8" w:space="0" w:color="0C5498"/>
              <w:right w:val="single" w:sz="8" w:space="0" w:color="0C5498"/>
            </w:tcBorders>
            <w:shd w:val="clear" w:color="auto" w:fill="auto"/>
            <w:noWrap/>
            <w:vAlign w:val="center"/>
            <w:hideMark/>
          </w:tcPr>
          <w:p w:rsidR="009E3604" w:rsidRPr="00EA57A8" w:rsidRDefault="009E3604" w:rsidP="009130AD">
            <w:pPr>
              <w:rPr>
                <w:rFonts w:cs="Arial"/>
                <w:color w:val="000000"/>
                <w:sz w:val="18"/>
                <w:szCs w:val="18"/>
              </w:rPr>
            </w:pPr>
            <w:r w:rsidRPr="00EA57A8">
              <w:rPr>
                <w:rFonts w:cs="Arial"/>
                <w:color w:val="000000"/>
                <w:sz w:val="18"/>
                <w:szCs w:val="18"/>
              </w:rPr>
              <w:t> </w:t>
            </w:r>
          </w:p>
        </w:tc>
        <w:tc>
          <w:tcPr>
            <w:tcW w:w="1031" w:type="dxa"/>
            <w:tcBorders>
              <w:top w:val="single" w:sz="8" w:space="0" w:color="0C5498"/>
              <w:left w:val="nil"/>
              <w:bottom w:val="single" w:sz="8" w:space="0" w:color="0C5498"/>
              <w:right w:val="single" w:sz="8" w:space="0" w:color="0C5498"/>
            </w:tcBorders>
            <w:shd w:val="clear" w:color="auto" w:fill="auto"/>
            <w:vAlign w:val="center"/>
            <w:hideMark/>
          </w:tcPr>
          <w:p w:rsidR="009E3604" w:rsidRPr="00EA57A8" w:rsidRDefault="009E3604" w:rsidP="009E3604">
            <w:pPr>
              <w:jc w:val="center"/>
              <w:rPr>
                <w:rFonts w:cs="Arial"/>
                <w:color w:val="000000"/>
                <w:sz w:val="18"/>
                <w:szCs w:val="18"/>
              </w:rPr>
            </w:pPr>
            <w:r w:rsidRPr="00EA57A8">
              <w:rPr>
                <w:rFonts w:cs="Arial"/>
                <w:sz w:val="16"/>
                <w:szCs w:val="16"/>
              </w:rPr>
              <w:t>Q3 2018</w:t>
            </w:r>
          </w:p>
        </w:tc>
        <w:tc>
          <w:tcPr>
            <w:tcW w:w="2032" w:type="dxa"/>
            <w:gridSpan w:val="3"/>
            <w:tcBorders>
              <w:top w:val="single" w:sz="8" w:space="0" w:color="0C5498"/>
              <w:left w:val="nil"/>
              <w:bottom w:val="single" w:sz="8" w:space="0" w:color="0C5498"/>
              <w:right w:val="single" w:sz="8" w:space="0" w:color="0C5498"/>
            </w:tcBorders>
            <w:shd w:val="clear" w:color="auto" w:fill="auto"/>
            <w:vAlign w:val="center"/>
            <w:hideMark/>
          </w:tcPr>
          <w:p w:rsidR="009E3604" w:rsidRPr="00EA57A8" w:rsidRDefault="009E3604" w:rsidP="009130AD">
            <w:pPr>
              <w:jc w:val="center"/>
              <w:rPr>
                <w:rFonts w:cs="Arial"/>
                <w:color w:val="000000"/>
                <w:sz w:val="18"/>
                <w:szCs w:val="18"/>
              </w:rPr>
            </w:pPr>
            <w:r w:rsidRPr="00EA57A8">
              <w:rPr>
                <w:rFonts w:cs="Arial"/>
                <w:sz w:val="16"/>
                <w:szCs w:val="16"/>
              </w:rPr>
              <w:t>Changes relative to previous quarter</w:t>
            </w:r>
          </w:p>
        </w:tc>
        <w:tc>
          <w:tcPr>
            <w:tcW w:w="2019" w:type="dxa"/>
            <w:gridSpan w:val="2"/>
            <w:tcBorders>
              <w:top w:val="single" w:sz="8" w:space="0" w:color="0C5498"/>
              <w:left w:val="nil"/>
              <w:bottom w:val="single" w:sz="8" w:space="0" w:color="0C5498"/>
            </w:tcBorders>
            <w:shd w:val="clear" w:color="auto" w:fill="auto"/>
            <w:vAlign w:val="center"/>
            <w:hideMark/>
          </w:tcPr>
          <w:p w:rsidR="009E3604" w:rsidRPr="00EA57A8" w:rsidRDefault="009E3604" w:rsidP="009130AD">
            <w:pPr>
              <w:jc w:val="center"/>
              <w:rPr>
                <w:rFonts w:cs="Arial"/>
                <w:color w:val="000000"/>
                <w:sz w:val="18"/>
                <w:szCs w:val="18"/>
              </w:rPr>
            </w:pPr>
            <w:r w:rsidRPr="00EA57A8">
              <w:rPr>
                <w:rFonts w:cs="Arial"/>
                <w:sz w:val="16"/>
                <w:szCs w:val="16"/>
              </w:rPr>
              <w:t>Changes relative to same quarter of 2017</w:t>
            </w:r>
          </w:p>
        </w:tc>
      </w:tr>
      <w:tr w:rsidR="009E3604" w:rsidRPr="00EA57A8" w:rsidTr="00F7497D">
        <w:trPr>
          <w:trHeight w:val="273"/>
          <w:jc w:val="center"/>
        </w:trPr>
        <w:tc>
          <w:tcPr>
            <w:tcW w:w="3617" w:type="dxa"/>
            <w:vMerge/>
            <w:tcBorders>
              <w:top w:val="single" w:sz="8" w:space="0" w:color="0C5498"/>
              <w:bottom w:val="single" w:sz="8" w:space="0" w:color="0C5498"/>
              <w:right w:val="single" w:sz="8" w:space="0" w:color="0C5498"/>
            </w:tcBorders>
            <w:vAlign w:val="center"/>
            <w:hideMark/>
          </w:tcPr>
          <w:p w:rsidR="009E3604" w:rsidRPr="00EA57A8" w:rsidRDefault="009E3604" w:rsidP="009130AD">
            <w:pPr>
              <w:rPr>
                <w:rFonts w:cs="Arial"/>
                <w:color w:val="000000"/>
                <w:sz w:val="18"/>
                <w:szCs w:val="18"/>
              </w:rPr>
            </w:pPr>
          </w:p>
        </w:tc>
        <w:tc>
          <w:tcPr>
            <w:tcW w:w="1031" w:type="dxa"/>
            <w:tcBorders>
              <w:top w:val="nil"/>
              <w:left w:val="nil"/>
              <w:bottom w:val="single" w:sz="8" w:space="0" w:color="0C5498"/>
              <w:right w:val="single" w:sz="8" w:space="0" w:color="0C5498"/>
            </w:tcBorders>
            <w:shd w:val="clear" w:color="auto" w:fill="auto"/>
            <w:vAlign w:val="center"/>
            <w:hideMark/>
          </w:tcPr>
          <w:p w:rsidR="009E3604" w:rsidRPr="00EA57A8" w:rsidRDefault="009E3604" w:rsidP="009130AD">
            <w:pPr>
              <w:jc w:val="center"/>
              <w:rPr>
                <w:rFonts w:cs="Arial"/>
                <w:color w:val="000000"/>
                <w:sz w:val="18"/>
                <w:szCs w:val="18"/>
              </w:rPr>
            </w:pPr>
            <w:r w:rsidRPr="00EA57A8">
              <w:rPr>
                <w:rFonts w:cs="Arial"/>
                <w:sz w:val="16"/>
                <w:szCs w:val="16"/>
              </w:rPr>
              <w:t>(in thousand)</w:t>
            </w:r>
          </w:p>
        </w:tc>
        <w:tc>
          <w:tcPr>
            <w:tcW w:w="1001" w:type="dxa"/>
            <w:tcBorders>
              <w:top w:val="nil"/>
              <w:left w:val="nil"/>
              <w:bottom w:val="single" w:sz="8" w:space="0" w:color="0C5498"/>
              <w:right w:val="single" w:sz="8" w:space="0" w:color="0C5498"/>
            </w:tcBorders>
            <w:shd w:val="clear" w:color="auto" w:fill="auto"/>
            <w:vAlign w:val="center"/>
            <w:hideMark/>
          </w:tcPr>
          <w:p w:rsidR="009E3604" w:rsidRPr="00EA57A8" w:rsidRDefault="009E3604" w:rsidP="009130AD">
            <w:pPr>
              <w:jc w:val="center"/>
              <w:rPr>
                <w:rFonts w:cs="Arial"/>
                <w:color w:val="000000"/>
                <w:sz w:val="18"/>
                <w:szCs w:val="18"/>
              </w:rPr>
            </w:pPr>
            <w:r w:rsidRPr="00EA57A8">
              <w:rPr>
                <w:rFonts w:cs="Arial"/>
                <w:sz w:val="16"/>
                <w:szCs w:val="16"/>
              </w:rPr>
              <w:t>(in thousand)</w:t>
            </w:r>
          </w:p>
        </w:tc>
        <w:tc>
          <w:tcPr>
            <w:tcW w:w="1017" w:type="dxa"/>
            <w:tcBorders>
              <w:top w:val="nil"/>
              <w:left w:val="nil"/>
              <w:bottom w:val="single" w:sz="8" w:space="0" w:color="0C5498"/>
              <w:right w:val="single" w:sz="8" w:space="0" w:color="0C5498"/>
            </w:tcBorders>
            <w:shd w:val="clear" w:color="auto" w:fill="auto"/>
            <w:vAlign w:val="center"/>
            <w:hideMark/>
          </w:tcPr>
          <w:p w:rsidR="009E3604" w:rsidRPr="00EA57A8" w:rsidRDefault="009E3604" w:rsidP="009130AD">
            <w:pPr>
              <w:jc w:val="center"/>
              <w:rPr>
                <w:rFonts w:cs="Arial"/>
                <w:color w:val="000000"/>
                <w:sz w:val="18"/>
                <w:szCs w:val="18"/>
              </w:rPr>
            </w:pPr>
            <w:r w:rsidRPr="00EA57A8">
              <w:rPr>
                <w:rFonts w:cs="Arial"/>
                <w:color w:val="000000"/>
                <w:sz w:val="18"/>
                <w:szCs w:val="18"/>
              </w:rPr>
              <w:t>%</w:t>
            </w:r>
          </w:p>
        </w:tc>
        <w:tc>
          <w:tcPr>
            <w:tcW w:w="1016" w:type="dxa"/>
            <w:gridSpan w:val="2"/>
            <w:tcBorders>
              <w:top w:val="nil"/>
              <w:left w:val="nil"/>
              <w:bottom w:val="single" w:sz="8" w:space="0" w:color="0C5498"/>
              <w:right w:val="single" w:sz="8" w:space="0" w:color="0C5498"/>
            </w:tcBorders>
            <w:shd w:val="clear" w:color="auto" w:fill="auto"/>
            <w:vAlign w:val="center"/>
            <w:hideMark/>
          </w:tcPr>
          <w:p w:rsidR="009E3604" w:rsidRPr="00EA57A8" w:rsidRDefault="009E3604" w:rsidP="009130AD">
            <w:pPr>
              <w:jc w:val="center"/>
              <w:rPr>
                <w:rFonts w:cs="Arial"/>
                <w:color w:val="000000"/>
                <w:sz w:val="18"/>
                <w:szCs w:val="18"/>
              </w:rPr>
            </w:pPr>
            <w:r w:rsidRPr="00EA57A8">
              <w:rPr>
                <w:rFonts w:cs="Arial"/>
                <w:sz w:val="16"/>
                <w:szCs w:val="16"/>
              </w:rPr>
              <w:t>(in thousand)</w:t>
            </w:r>
          </w:p>
        </w:tc>
        <w:tc>
          <w:tcPr>
            <w:tcW w:w="1017" w:type="dxa"/>
            <w:tcBorders>
              <w:top w:val="nil"/>
              <w:left w:val="nil"/>
              <w:bottom w:val="single" w:sz="8" w:space="0" w:color="0C5498"/>
            </w:tcBorders>
            <w:shd w:val="clear" w:color="auto" w:fill="auto"/>
            <w:vAlign w:val="center"/>
            <w:hideMark/>
          </w:tcPr>
          <w:p w:rsidR="009E3604" w:rsidRPr="00EA57A8" w:rsidRDefault="009E3604" w:rsidP="009130AD">
            <w:pPr>
              <w:jc w:val="center"/>
              <w:rPr>
                <w:rFonts w:cs="Arial"/>
                <w:color w:val="000000"/>
                <w:sz w:val="18"/>
                <w:szCs w:val="18"/>
              </w:rPr>
            </w:pPr>
            <w:r w:rsidRPr="00EA57A8">
              <w:rPr>
                <w:rFonts w:cs="Arial"/>
                <w:color w:val="000000"/>
                <w:sz w:val="18"/>
                <w:szCs w:val="18"/>
              </w:rPr>
              <w:t>%</w:t>
            </w:r>
          </w:p>
        </w:tc>
      </w:tr>
      <w:tr w:rsidR="009E3604" w:rsidRPr="00EA57A8" w:rsidTr="00F7497D">
        <w:trPr>
          <w:trHeight w:val="260"/>
          <w:jc w:val="center"/>
        </w:trPr>
        <w:tc>
          <w:tcPr>
            <w:tcW w:w="3617" w:type="dxa"/>
            <w:tcBorders>
              <w:top w:val="nil"/>
              <w:bottom w:val="nil"/>
              <w:right w:val="single" w:sz="8" w:space="0" w:color="0C5498"/>
            </w:tcBorders>
            <w:shd w:val="clear" w:color="auto" w:fill="auto"/>
            <w:vAlign w:val="center"/>
            <w:hideMark/>
          </w:tcPr>
          <w:p w:rsidR="009E3604" w:rsidRPr="00EA57A8" w:rsidRDefault="009E3604" w:rsidP="009130AD">
            <w:pPr>
              <w:rPr>
                <w:rFonts w:cs="Arial"/>
                <w:b/>
                <w:bCs/>
                <w:color w:val="000000"/>
                <w:sz w:val="18"/>
                <w:szCs w:val="18"/>
              </w:rPr>
            </w:pPr>
            <w:r w:rsidRPr="00EA57A8">
              <w:rPr>
                <w:rFonts w:cs="Arial"/>
                <w:b/>
                <w:bCs/>
                <w:color w:val="000000"/>
                <w:sz w:val="18"/>
                <w:szCs w:val="18"/>
              </w:rPr>
              <w:t> </w:t>
            </w:r>
          </w:p>
        </w:tc>
        <w:tc>
          <w:tcPr>
            <w:tcW w:w="1031" w:type="dxa"/>
            <w:tcBorders>
              <w:top w:val="nil"/>
              <w:left w:val="nil"/>
              <w:bottom w:val="nil"/>
              <w:right w:val="single" w:sz="8" w:space="0" w:color="0C5498"/>
            </w:tcBorders>
            <w:shd w:val="clear" w:color="auto" w:fill="auto"/>
            <w:vAlign w:val="center"/>
            <w:hideMark/>
          </w:tcPr>
          <w:p w:rsidR="009E3604" w:rsidRPr="00EA57A8" w:rsidRDefault="009E3604" w:rsidP="009130AD">
            <w:pPr>
              <w:jc w:val="right"/>
              <w:rPr>
                <w:rFonts w:cs="Arial"/>
                <w:color w:val="000000"/>
                <w:sz w:val="18"/>
                <w:szCs w:val="18"/>
              </w:rPr>
            </w:pPr>
            <w:r w:rsidRPr="00EA57A8">
              <w:rPr>
                <w:rFonts w:cs="Arial"/>
                <w:color w:val="000000"/>
                <w:sz w:val="18"/>
                <w:szCs w:val="18"/>
              </w:rPr>
              <w:t> </w:t>
            </w:r>
          </w:p>
        </w:tc>
        <w:tc>
          <w:tcPr>
            <w:tcW w:w="1001" w:type="dxa"/>
            <w:tcBorders>
              <w:top w:val="nil"/>
              <w:left w:val="nil"/>
              <w:bottom w:val="nil"/>
              <w:right w:val="nil"/>
            </w:tcBorders>
            <w:shd w:val="clear" w:color="auto" w:fill="auto"/>
            <w:vAlign w:val="center"/>
            <w:hideMark/>
          </w:tcPr>
          <w:p w:rsidR="009E3604" w:rsidRPr="00EA57A8" w:rsidRDefault="009E3604" w:rsidP="009130AD">
            <w:pPr>
              <w:jc w:val="right"/>
              <w:rPr>
                <w:rFonts w:cs="Arial"/>
                <w:color w:val="000000"/>
                <w:sz w:val="18"/>
                <w:szCs w:val="18"/>
              </w:rPr>
            </w:pPr>
          </w:p>
        </w:tc>
        <w:tc>
          <w:tcPr>
            <w:tcW w:w="1017" w:type="dxa"/>
            <w:tcBorders>
              <w:top w:val="nil"/>
              <w:left w:val="nil"/>
              <w:bottom w:val="nil"/>
              <w:right w:val="single" w:sz="8" w:space="0" w:color="0C5498"/>
            </w:tcBorders>
            <w:shd w:val="clear" w:color="auto" w:fill="auto"/>
            <w:vAlign w:val="center"/>
            <w:hideMark/>
          </w:tcPr>
          <w:p w:rsidR="009E3604" w:rsidRPr="00EA57A8" w:rsidRDefault="009E3604" w:rsidP="009130AD">
            <w:pPr>
              <w:jc w:val="right"/>
              <w:rPr>
                <w:rFonts w:cs="Arial"/>
                <w:color w:val="000000"/>
                <w:sz w:val="18"/>
                <w:szCs w:val="18"/>
              </w:rPr>
            </w:pPr>
            <w:r w:rsidRPr="00EA57A8">
              <w:rPr>
                <w:rFonts w:cs="Arial"/>
                <w:color w:val="000000"/>
                <w:sz w:val="18"/>
                <w:szCs w:val="18"/>
              </w:rPr>
              <w:t> </w:t>
            </w:r>
          </w:p>
        </w:tc>
        <w:tc>
          <w:tcPr>
            <w:tcW w:w="1016" w:type="dxa"/>
            <w:gridSpan w:val="2"/>
            <w:tcBorders>
              <w:top w:val="nil"/>
              <w:left w:val="nil"/>
              <w:bottom w:val="nil"/>
              <w:right w:val="nil"/>
            </w:tcBorders>
            <w:shd w:val="clear" w:color="auto" w:fill="auto"/>
            <w:vAlign w:val="center"/>
            <w:hideMark/>
          </w:tcPr>
          <w:p w:rsidR="009E3604" w:rsidRPr="00EA57A8" w:rsidRDefault="009E3604" w:rsidP="009130AD">
            <w:pPr>
              <w:jc w:val="right"/>
              <w:rPr>
                <w:rFonts w:cs="Arial"/>
                <w:color w:val="000000"/>
                <w:sz w:val="18"/>
                <w:szCs w:val="18"/>
              </w:rPr>
            </w:pPr>
          </w:p>
        </w:tc>
        <w:tc>
          <w:tcPr>
            <w:tcW w:w="1017" w:type="dxa"/>
            <w:tcBorders>
              <w:top w:val="nil"/>
              <w:left w:val="nil"/>
              <w:bottom w:val="nil"/>
            </w:tcBorders>
            <w:shd w:val="clear" w:color="auto" w:fill="auto"/>
            <w:vAlign w:val="center"/>
            <w:hideMark/>
          </w:tcPr>
          <w:p w:rsidR="009E3604" w:rsidRPr="00EA57A8" w:rsidRDefault="009E3604" w:rsidP="009130AD">
            <w:pPr>
              <w:jc w:val="right"/>
              <w:rPr>
                <w:rFonts w:cs="Arial"/>
                <w:color w:val="000000"/>
                <w:sz w:val="18"/>
                <w:szCs w:val="18"/>
              </w:rPr>
            </w:pPr>
            <w:r w:rsidRPr="00EA57A8">
              <w:rPr>
                <w:rFonts w:cs="Arial"/>
                <w:color w:val="000000"/>
                <w:sz w:val="18"/>
                <w:szCs w:val="18"/>
              </w:rPr>
              <w:t> </w:t>
            </w:r>
          </w:p>
        </w:tc>
      </w:tr>
      <w:tr w:rsidR="0054237A" w:rsidRPr="00EA57A8" w:rsidTr="00F7497D">
        <w:trPr>
          <w:trHeight w:val="260"/>
          <w:jc w:val="center"/>
        </w:trPr>
        <w:tc>
          <w:tcPr>
            <w:tcW w:w="3617" w:type="dxa"/>
            <w:tcBorders>
              <w:top w:val="nil"/>
              <w:bottom w:val="nil"/>
              <w:right w:val="single" w:sz="8" w:space="0" w:color="0C5498"/>
            </w:tcBorders>
            <w:shd w:val="clear" w:color="auto" w:fill="auto"/>
            <w:vAlign w:val="center"/>
            <w:hideMark/>
          </w:tcPr>
          <w:p w:rsidR="0054237A" w:rsidRPr="00EA57A8" w:rsidRDefault="0054237A" w:rsidP="0054237A">
            <w:pPr>
              <w:rPr>
                <w:rFonts w:cs="Arial"/>
                <w:b/>
                <w:bCs/>
                <w:color w:val="000000"/>
                <w:sz w:val="18"/>
                <w:szCs w:val="18"/>
              </w:rPr>
            </w:pPr>
            <w:r w:rsidRPr="00EA57A8">
              <w:rPr>
                <w:rFonts w:cs="Arial"/>
                <w:b/>
                <w:bCs/>
                <w:color w:val="000000"/>
                <w:sz w:val="18"/>
                <w:szCs w:val="18"/>
              </w:rPr>
              <w:t>Population 15+</w:t>
            </w:r>
          </w:p>
        </w:tc>
        <w:tc>
          <w:tcPr>
            <w:tcW w:w="1031" w:type="dxa"/>
            <w:tcBorders>
              <w:top w:val="nil"/>
              <w:left w:val="nil"/>
              <w:bottom w:val="nil"/>
              <w:right w:val="single" w:sz="8" w:space="0" w:color="0C5498"/>
            </w:tcBorders>
            <w:shd w:val="clear" w:color="auto" w:fill="auto"/>
            <w:vAlign w:val="center"/>
          </w:tcPr>
          <w:p w:rsidR="0054237A" w:rsidRDefault="0054237A" w:rsidP="0054237A">
            <w:pPr>
              <w:jc w:val="right"/>
              <w:rPr>
                <w:rFonts w:cs="Arial"/>
                <w:color w:val="000000"/>
                <w:sz w:val="18"/>
                <w:szCs w:val="18"/>
                <w:lang w:val="en-US"/>
              </w:rPr>
            </w:pPr>
            <w:r>
              <w:rPr>
                <w:rFonts w:cs="Arial"/>
                <w:color w:val="000000"/>
                <w:sz w:val="18"/>
                <w:szCs w:val="18"/>
              </w:rPr>
              <w:t>5</w:t>
            </w:r>
            <w:r>
              <w:rPr>
                <w:rFonts w:cs="Arial"/>
                <w:color w:val="000000"/>
                <w:sz w:val="18"/>
                <w:szCs w:val="18"/>
                <w:lang w:val="en-US"/>
              </w:rPr>
              <w:t> </w:t>
            </w:r>
            <w:r>
              <w:rPr>
                <w:rFonts w:cs="Arial"/>
                <w:color w:val="000000"/>
                <w:sz w:val="18"/>
                <w:szCs w:val="18"/>
              </w:rPr>
              <w:t>951</w:t>
            </w:r>
            <w:r w:rsidR="00F7497D">
              <w:rPr>
                <w:rFonts w:cs="Arial"/>
                <w:color w:val="000000"/>
                <w:sz w:val="18"/>
                <w:szCs w:val="18"/>
              </w:rPr>
              <w:t>.</w:t>
            </w:r>
            <w:r>
              <w:rPr>
                <w:rFonts w:cs="Arial"/>
                <w:color w:val="000000"/>
                <w:sz w:val="18"/>
                <w:szCs w:val="18"/>
              </w:rPr>
              <w:t>2</w:t>
            </w:r>
          </w:p>
        </w:tc>
        <w:tc>
          <w:tcPr>
            <w:tcW w:w="1001" w:type="dxa"/>
            <w:tcBorders>
              <w:top w:val="nil"/>
              <w:left w:val="nil"/>
              <w:bottom w:val="nil"/>
              <w:right w:val="nil"/>
            </w:tcBorders>
            <w:shd w:val="clear" w:color="auto" w:fill="auto"/>
            <w:vAlign w:val="center"/>
          </w:tcPr>
          <w:p w:rsidR="0054237A" w:rsidRDefault="0054237A" w:rsidP="0054237A">
            <w:pPr>
              <w:jc w:val="right"/>
              <w:rPr>
                <w:rFonts w:cs="Arial"/>
                <w:color w:val="000000"/>
                <w:sz w:val="18"/>
                <w:szCs w:val="18"/>
              </w:rPr>
            </w:pPr>
            <w:r>
              <w:rPr>
                <w:rFonts w:cs="Arial"/>
                <w:color w:val="000000"/>
                <w:sz w:val="18"/>
                <w:szCs w:val="18"/>
              </w:rPr>
              <w:t>-8</w:t>
            </w:r>
            <w:r w:rsidR="00F7497D">
              <w:rPr>
                <w:rFonts w:cs="Arial"/>
                <w:color w:val="000000"/>
                <w:sz w:val="18"/>
                <w:szCs w:val="18"/>
              </w:rPr>
              <w:t>.</w:t>
            </w:r>
            <w:r>
              <w:rPr>
                <w:rFonts w:cs="Arial"/>
                <w:color w:val="000000"/>
                <w:sz w:val="18"/>
                <w:szCs w:val="18"/>
              </w:rPr>
              <w:t>0</w:t>
            </w:r>
          </w:p>
        </w:tc>
        <w:tc>
          <w:tcPr>
            <w:tcW w:w="1017" w:type="dxa"/>
            <w:tcBorders>
              <w:top w:val="nil"/>
              <w:left w:val="nil"/>
              <w:bottom w:val="nil"/>
              <w:right w:val="single" w:sz="8" w:space="0" w:color="0C5498"/>
            </w:tcBorders>
            <w:shd w:val="clear" w:color="auto" w:fill="auto"/>
            <w:vAlign w:val="center"/>
          </w:tcPr>
          <w:p w:rsidR="0054237A" w:rsidRDefault="0054237A" w:rsidP="0054237A">
            <w:pPr>
              <w:jc w:val="right"/>
              <w:rPr>
                <w:rFonts w:cs="Arial"/>
                <w:color w:val="000000"/>
                <w:sz w:val="18"/>
                <w:szCs w:val="18"/>
              </w:rPr>
            </w:pPr>
            <w:r>
              <w:rPr>
                <w:rFonts w:cs="Arial"/>
                <w:color w:val="000000"/>
                <w:sz w:val="18"/>
                <w:szCs w:val="18"/>
              </w:rPr>
              <w:t>-0</w:t>
            </w:r>
            <w:r w:rsidR="00F7497D">
              <w:rPr>
                <w:rFonts w:cs="Arial"/>
                <w:color w:val="000000"/>
                <w:sz w:val="18"/>
                <w:szCs w:val="18"/>
              </w:rPr>
              <w:t>.</w:t>
            </w:r>
            <w:r>
              <w:rPr>
                <w:rFonts w:cs="Arial"/>
                <w:color w:val="000000"/>
                <w:sz w:val="18"/>
                <w:szCs w:val="18"/>
              </w:rPr>
              <w:t>1</w:t>
            </w:r>
          </w:p>
        </w:tc>
        <w:tc>
          <w:tcPr>
            <w:tcW w:w="1016" w:type="dxa"/>
            <w:gridSpan w:val="2"/>
            <w:tcBorders>
              <w:top w:val="nil"/>
              <w:left w:val="nil"/>
              <w:bottom w:val="nil"/>
              <w:right w:val="nil"/>
            </w:tcBorders>
            <w:shd w:val="clear" w:color="auto" w:fill="auto"/>
            <w:vAlign w:val="center"/>
          </w:tcPr>
          <w:p w:rsidR="0054237A" w:rsidRDefault="0054237A" w:rsidP="0054237A">
            <w:pPr>
              <w:jc w:val="right"/>
              <w:rPr>
                <w:rFonts w:cs="Arial"/>
                <w:color w:val="000000"/>
                <w:sz w:val="18"/>
                <w:szCs w:val="18"/>
              </w:rPr>
            </w:pPr>
            <w:r>
              <w:rPr>
                <w:rFonts w:cs="Arial"/>
                <w:color w:val="000000"/>
                <w:sz w:val="18"/>
                <w:szCs w:val="18"/>
              </w:rPr>
              <w:t>-29</w:t>
            </w:r>
            <w:r w:rsidR="00F7497D">
              <w:rPr>
                <w:rFonts w:cs="Arial"/>
                <w:color w:val="000000"/>
                <w:sz w:val="18"/>
                <w:szCs w:val="18"/>
              </w:rPr>
              <w:t>.</w:t>
            </w:r>
            <w:r>
              <w:rPr>
                <w:rFonts w:cs="Arial"/>
                <w:color w:val="000000"/>
                <w:sz w:val="18"/>
                <w:szCs w:val="18"/>
              </w:rPr>
              <w:t>9</w:t>
            </w:r>
          </w:p>
        </w:tc>
        <w:tc>
          <w:tcPr>
            <w:tcW w:w="1017" w:type="dxa"/>
            <w:tcBorders>
              <w:top w:val="nil"/>
              <w:left w:val="nil"/>
              <w:bottom w:val="nil"/>
              <w:right w:val="nil"/>
            </w:tcBorders>
            <w:shd w:val="clear" w:color="auto" w:fill="auto"/>
            <w:vAlign w:val="center"/>
          </w:tcPr>
          <w:p w:rsidR="0054237A" w:rsidRDefault="0054237A" w:rsidP="0054237A">
            <w:pPr>
              <w:jc w:val="right"/>
              <w:rPr>
                <w:rFonts w:cs="Arial"/>
                <w:color w:val="000000"/>
                <w:sz w:val="18"/>
                <w:szCs w:val="18"/>
              </w:rPr>
            </w:pPr>
            <w:r>
              <w:rPr>
                <w:rFonts w:cs="Arial"/>
                <w:color w:val="000000"/>
                <w:sz w:val="18"/>
                <w:szCs w:val="18"/>
              </w:rPr>
              <w:t>-0</w:t>
            </w:r>
            <w:r w:rsidR="00F7497D">
              <w:rPr>
                <w:rFonts w:cs="Arial"/>
                <w:color w:val="000000"/>
                <w:sz w:val="18"/>
                <w:szCs w:val="18"/>
              </w:rPr>
              <w:t>.</w:t>
            </w:r>
            <w:r>
              <w:rPr>
                <w:rFonts w:cs="Arial"/>
                <w:color w:val="000000"/>
                <w:sz w:val="18"/>
                <w:szCs w:val="18"/>
              </w:rPr>
              <w:t>5</w:t>
            </w:r>
          </w:p>
        </w:tc>
      </w:tr>
      <w:tr w:rsidR="0054237A" w:rsidRPr="00EA57A8" w:rsidTr="00F7497D">
        <w:trPr>
          <w:trHeight w:val="260"/>
          <w:jc w:val="center"/>
        </w:trPr>
        <w:tc>
          <w:tcPr>
            <w:tcW w:w="3617" w:type="dxa"/>
            <w:tcBorders>
              <w:top w:val="nil"/>
              <w:bottom w:val="nil"/>
              <w:right w:val="single" w:sz="8" w:space="0" w:color="0C5498"/>
            </w:tcBorders>
            <w:shd w:val="clear" w:color="auto" w:fill="auto"/>
            <w:vAlign w:val="center"/>
            <w:hideMark/>
          </w:tcPr>
          <w:p w:rsidR="0054237A" w:rsidRPr="00EA57A8" w:rsidRDefault="0054237A" w:rsidP="0054237A">
            <w:pPr>
              <w:rPr>
                <w:rFonts w:cs="Arial"/>
                <w:color w:val="000000"/>
                <w:sz w:val="18"/>
                <w:szCs w:val="18"/>
              </w:rPr>
            </w:pPr>
            <w:r w:rsidRPr="00EA57A8">
              <w:rPr>
                <w:rFonts w:cs="Arial"/>
                <w:color w:val="000000"/>
                <w:sz w:val="18"/>
                <w:szCs w:val="18"/>
              </w:rPr>
              <w:t xml:space="preserve">    Active population </w:t>
            </w:r>
          </w:p>
        </w:tc>
        <w:tc>
          <w:tcPr>
            <w:tcW w:w="1031" w:type="dxa"/>
            <w:tcBorders>
              <w:top w:val="nil"/>
              <w:left w:val="nil"/>
              <w:bottom w:val="nil"/>
              <w:right w:val="single" w:sz="8" w:space="0" w:color="0C5498"/>
            </w:tcBorders>
            <w:shd w:val="clear" w:color="auto" w:fill="auto"/>
            <w:vAlign w:val="center"/>
          </w:tcPr>
          <w:p w:rsidR="0054237A" w:rsidRDefault="0054237A" w:rsidP="0054237A">
            <w:pPr>
              <w:jc w:val="right"/>
              <w:rPr>
                <w:rFonts w:cs="Arial"/>
                <w:color w:val="000000"/>
                <w:sz w:val="18"/>
                <w:szCs w:val="18"/>
              </w:rPr>
            </w:pPr>
            <w:r>
              <w:rPr>
                <w:rFonts w:cs="Arial"/>
                <w:color w:val="000000"/>
                <w:sz w:val="18"/>
                <w:szCs w:val="18"/>
              </w:rPr>
              <w:t>3</w:t>
            </w:r>
            <w:r>
              <w:rPr>
                <w:rFonts w:cs="Arial"/>
                <w:color w:val="000000"/>
                <w:sz w:val="18"/>
                <w:szCs w:val="18"/>
                <w:lang w:val="en-US"/>
              </w:rPr>
              <w:t> </w:t>
            </w:r>
            <w:r>
              <w:rPr>
                <w:rFonts w:cs="Arial"/>
                <w:color w:val="000000"/>
                <w:sz w:val="18"/>
                <w:szCs w:val="18"/>
              </w:rPr>
              <w:t>301</w:t>
            </w:r>
            <w:r w:rsidR="00F7497D">
              <w:rPr>
                <w:rFonts w:cs="Arial"/>
                <w:color w:val="000000"/>
                <w:sz w:val="18"/>
                <w:szCs w:val="18"/>
              </w:rPr>
              <w:t>.</w:t>
            </w:r>
            <w:r>
              <w:rPr>
                <w:rFonts w:cs="Arial"/>
                <w:color w:val="000000"/>
                <w:sz w:val="18"/>
                <w:szCs w:val="18"/>
              </w:rPr>
              <w:t>1</w:t>
            </w:r>
          </w:p>
        </w:tc>
        <w:tc>
          <w:tcPr>
            <w:tcW w:w="1001" w:type="dxa"/>
            <w:tcBorders>
              <w:top w:val="nil"/>
              <w:left w:val="nil"/>
              <w:bottom w:val="nil"/>
              <w:right w:val="nil"/>
            </w:tcBorders>
            <w:shd w:val="clear" w:color="auto" w:fill="auto"/>
            <w:vAlign w:val="center"/>
          </w:tcPr>
          <w:p w:rsidR="0054237A" w:rsidRDefault="0054237A" w:rsidP="0054237A">
            <w:pPr>
              <w:jc w:val="right"/>
              <w:rPr>
                <w:rFonts w:cs="Arial"/>
                <w:color w:val="000000"/>
                <w:sz w:val="18"/>
                <w:szCs w:val="18"/>
              </w:rPr>
            </w:pPr>
            <w:r>
              <w:rPr>
                <w:rFonts w:cs="Arial"/>
                <w:color w:val="000000"/>
                <w:sz w:val="18"/>
                <w:szCs w:val="18"/>
              </w:rPr>
              <w:t>12</w:t>
            </w:r>
            <w:r w:rsidR="00F7497D">
              <w:rPr>
                <w:rFonts w:cs="Arial"/>
                <w:color w:val="000000"/>
                <w:sz w:val="18"/>
                <w:szCs w:val="18"/>
              </w:rPr>
              <w:t>.</w:t>
            </w:r>
            <w:r>
              <w:rPr>
                <w:rFonts w:cs="Arial"/>
                <w:color w:val="000000"/>
                <w:sz w:val="18"/>
                <w:szCs w:val="18"/>
              </w:rPr>
              <w:t>8</w:t>
            </w:r>
          </w:p>
        </w:tc>
        <w:tc>
          <w:tcPr>
            <w:tcW w:w="1017" w:type="dxa"/>
            <w:tcBorders>
              <w:top w:val="nil"/>
              <w:left w:val="nil"/>
              <w:bottom w:val="nil"/>
              <w:right w:val="single" w:sz="8" w:space="0" w:color="0C5498"/>
            </w:tcBorders>
            <w:shd w:val="clear" w:color="auto" w:fill="auto"/>
            <w:vAlign w:val="center"/>
          </w:tcPr>
          <w:p w:rsidR="0054237A" w:rsidRDefault="0054237A" w:rsidP="0054237A">
            <w:pPr>
              <w:jc w:val="right"/>
              <w:rPr>
                <w:rFonts w:cs="Arial"/>
                <w:color w:val="000000"/>
                <w:sz w:val="18"/>
                <w:szCs w:val="18"/>
              </w:rPr>
            </w:pPr>
            <w:r>
              <w:rPr>
                <w:rFonts w:cs="Arial"/>
                <w:color w:val="000000"/>
                <w:sz w:val="18"/>
                <w:szCs w:val="18"/>
              </w:rPr>
              <w:t>0</w:t>
            </w:r>
            <w:r w:rsidR="00F7497D">
              <w:rPr>
                <w:rFonts w:cs="Arial"/>
                <w:color w:val="000000"/>
                <w:sz w:val="18"/>
                <w:szCs w:val="18"/>
              </w:rPr>
              <w:t>.</w:t>
            </w:r>
            <w:r>
              <w:rPr>
                <w:rFonts w:cs="Arial"/>
                <w:color w:val="000000"/>
                <w:sz w:val="18"/>
                <w:szCs w:val="18"/>
              </w:rPr>
              <w:t>4</w:t>
            </w:r>
          </w:p>
        </w:tc>
        <w:tc>
          <w:tcPr>
            <w:tcW w:w="1016" w:type="dxa"/>
            <w:gridSpan w:val="2"/>
            <w:tcBorders>
              <w:top w:val="nil"/>
              <w:left w:val="nil"/>
              <w:bottom w:val="nil"/>
              <w:right w:val="nil"/>
            </w:tcBorders>
            <w:shd w:val="clear" w:color="auto" w:fill="auto"/>
            <w:vAlign w:val="center"/>
          </w:tcPr>
          <w:p w:rsidR="0054237A" w:rsidRDefault="0054237A" w:rsidP="0054237A">
            <w:pPr>
              <w:jc w:val="right"/>
              <w:rPr>
                <w:rFonts w:cs="Arial"/>
                <w:color w:val="000000"/>
                <w:sz w:val="18"/>
                <w:szCs w:val="18"/>
              </w:rPr>
            </w:pPr>
            <w:r>
              <w:rPr>
                <w:rFonts w:cs="Arial"/>
                <w:color w:val="000000"/>
                <w:sz w:val="18"/>
                <w:szCs w:val="18"/>
              </w:rPr>
              <w:t>-9</w:t>
            </w:r>
            <w:r w:rsidR="00F7497D">
              <w:rPr>
                <w:rFonts w:cs="Arial"/>
                <w:color w:val="000000"/>
                <w:sz w:val="18"/>
                <w:szCs w:val="18"/>
              </w:rPr>
              <w:t>.</w:t>
            </w:r>
            <w:r>
              <w:rPr>
                <w:rFonts w:cs="Arial"/>
                <w:color w:val="000000"/>
                <w:sz w:val="18"/>
                <w:szCs w:val="18"/>
              </w:rPr>
              <w:t>0</w:t>
            </w:r>
          </w:p>
        </w:tc>
        <w:tc>
          <w:tcPr>
            <w:tcW w:w="1017" w:type="dxa"/>
            <w:tcBorders>
              <w:top w:val="nil"/>
              <w:left w:val="nil"/>
              <w:bottom w:val="nil"/>
              <w:right w:val="nil"/>
            </w:tcBorders>
            <w:shd w:val="clear" w:color="auto" w:fill="auto"/>
            <w:vAlign w:val="center"/>
          </w:tcPr>
          <w:p w:rsidR="0054237A" w:rsidRDefault="0054237A" w:rsidP="0054237A">
            <w:pPr>
              <w:jc w:val="right"/>
              <w:rPr>
                <w:rFonts w:cs="Arial"/>
                <w:color w:val="000000"/>
                <w:sz w:val="18"/>
                <w:szCs w:val="18"/>
              </w:rPr>
            </w:pPr>
            <w:r>
              <w:rPr>
                <w:rFonts w:cs="Arial"/>
                <w:color w:val="000000"/>
                <w:sz w:val="18"/>
                <w:szCs w:val="18"/>
              </w:rPr>
              <w:t>-0</w:t>
            </w:r>
            <w:r w:rsidR="00F7497D">
              <w:rPr>
                <w:rFonts w:cs="Arial"/>
                <w:color w:val="000000"/>
                <w:sz w:val="18"/>
                <w:szCs w:val="18"/>
              </w:rPr>
              <w:t>.</w:t>
            </w:r>
            <w:r>
              <w:rPr>
                <w:rFonts w:cs="Arial"/>
                <w:color w:val="000000"/>
                <w:sz w:val="18"/>
                <w:szCs w:val="18"/>
              </w:rPr>
              <w:t>3</w:t>
            </w:r>
          </w:p>
        </w:tc>
      </w:tr>
      <w:tr w:rsidR="0054237A" w:rsidRPr="00EA57A8" w:rsidTr="00F7497D">
        <w:trPr>
          <w:trHeight w:val="260"/>
          <w:jc w:val="center"/>
        </w:trPr>
        <w:tc>
          <w:tcPr>
            <w:tcW w:w="3617" w:type="dxa"/>
            <w:tcBorders>
              <w:top w:val="nil"/>
              <w:bottom w:val="nil"/>
              <w:right w:val="single" w:sz="8" w:space="0" w:color="0C5498"/>
            </w:tcBorders>
            <w:shd w:val="clear" w:color="auto" w:fill="auto"/>
            <w:vAlign w:val="center"/>
            <w:hideMark/>
          </w:tcPr>
          <w:p w:rsidR="0054237A" w:rsidRPr="00EA57A8" w:rsidRDefault="0054237A" w:rsidP="0054237A">
            <w:pPr>
              <w:rPr>
                <w:rFonts w:cs="Arial"/>
                <w:color w:val="000000"/>
                <w:sz w:val="18"/>
                <w:szCs w:val="18"/>
              </w:rPr>
            </w:pPr>
            <w:r w:rsidRPr="00EA57A8">
              <w:rPr>
                <w:rFonts w:cs="Arial"/>
                <w:color w:val="000000"/>
                <w:sz w:val="18"/>
                <w:szCs w:val="18"/>
              </w:rPr>
              <w:t xml:space="preserve">        Employed</w:t>
            </w:r>
          </w:p>
        </w:tc>
        <w:tc>
          <w:tcPr>
            <w:tcW w:w="1031" w:type="dxa"/>
            <w:tcBorders>
              <w:top w:val="nil"/>
              <w:left w:val="nil"/>
              <w:bottom w:val="nil"/>
              <w:right w:val="single" w:sz="8" w:space="0" w:color="0C5498"/>
            </w:tcBorders>
            <w:shd w:val="clear" w:color="auto" w:fill="auto"/>
            <w:vAlign w:val="center"/>
          </w:tcPr>
          <w:p w:rsidR="0054237A" w:rsidRDefault="0054237A" w:rsidP="0054237A">
            <w:pPr>
              <w:jc w:val="right"/>
              <w:rPr>
                <w:rFonts w:cs="Arial"/>
                <w:color w:val="000000"/>
                <w:sz w:val="18"/>
                <w:szCs w:val="18"/>
              </w:rPr>
            </w:pPr>
            <w:r>
              <w:rPr>
                <w:rFonts w:cs="Arial"/>
                <w:color w:val="000000"/>
                <w:sz w:val="18"/>
                <w:szCs w:val="18"/>
              </w:rPr>
              <w:t>2</w:t>
            </w:r>
            <w:r>
              <w:rPr>
                <w:rFonts w:cs="Arial"/>
                <w:color w:val="000000"/>
                <w:sz w:val="18"/>
                <w:szCs w:val="18"/>
                <w:lang w:val="en-US"/>
              </w:rPr>
              <w:t> </w:t>
            </w:r>
            <w:r>
              <w:rPr>
                <w:rFonts w:cs="Arial"/>
                <w:color w:val="000000"/>
                <w:sz w:val="18"/>
                <w:szCs w:val="18"/>
              </w:rPr>
              <w:t>929</w:t>
            </w:r>
            <w:r w:rsidR="00F7497D">
              <w:rPr>
                <w:rFonts w:cs="Arial"/>
                <w:color w:val="000000"/>
                <w:sz w:val="18"/>
                <w:szCs w:val="18"/>
              </w:rPr>
              <w:t>.</w:t>
            </w:r>
            <w:r>
              <w:rPr>
                <w:rFonts w:cs="Arial"/>
                <w:color w:val="000000"/>
                <w:sz w:val="18"/>
                <w:szCs w:val="18"/>
              </w:rPr>
              <w:t>3</w:t>
            </w:r>
          </w:p>
        </w:tc>
        <w:tc>
          <w:tcPr>
            <w:tcW w:w="1001" w:type="dxa"/>
            <w:tcBorders>
              <w:top w:val="nil"/>
              <w:left w:val="nil"/>
              <w:bottom w:val="nil"/>
              <w:right w:val="nil"/>
            </w:tcBorders>
            <w:shd w:val="clear" w:color="auto" w:fill="auto"/>
            <w:vAlign w:val="center"/>
          </w:tcPr>
          <w:p w:rsidR="0054237A" w:rsidRDefault="0054237A" w:rsidP="0054237A">
            <w:pPr>
              <w:jc w:val="right"/>
              <w:rPr>
                <w:rFonts w:cs="Arial"/>
                <w:color w:val="000000"/>
                <w:sz w:val="18"/>
                <w:szCs w:val="18"/>
              </w:rPr>
            </w:pPr>
            <w:r>
              <w:rPr>
                <w:rFonts w:cs="Arial"/>
                <w:color w:val="000000"/>
                <w:sz w:val="18"/>
                <w:szCs w:val="18"/>
              </w:rPr>
              <w:t>32</w:t>
            </w:r>
            <w:r w:rsidR="00F7497D">
              <w:rPr>
                <w:rFonts w:cs="Arial"/>
                <w:color w:val="000000"/>
                <w:sz w:val="18"/>
                <w:szCs w:val="18"/>
              </w:rPr>
              <w:t>.</w:t>
            </w:r>
            <w:r>
              <w:rPr>
                <w:rFonts w:cs="Arial"/>
                <w:color w:val="000000"/>
                <w:sz w:val="18"/>
                <w:szCs w:val="18"/>
              </w:rPr>
              <w:t>5</w:t>
            </w:r>
          </w:p>
        </w:tc>
        <w:tc>
          <w:tcPr>
            <w:tcW w:w="1017" w:type="dxa"/>
            <w:tcBorders>
              <w:top w:val="nil"/>
              <w:left w:val="nil"/>
              <w:bottom w:val="nil"/>
              <w:right w:val="single" w:sz="8" w:space="0" w:color="0C5498"/>
            </w:tcBorders>
            <w:shd w:val="clear" w:color="auto" w:fill="auto"/>
            <w:vAlign w:val="center"/>
          </w:tcPr>
          <w:p w:rsidR="0054237A" w:rsidRDefault="0054237A" w:rsidP="0054237A">
            <w:pPr>
              <w:jc w:val="right"/>
              <w:rPr>
                <w:rFonts w:cs="Arial"/>
                <w:color w:val="000000"/>
                <w:sz w:val="18"/>
                <w:szCs w:val="18"/>
              </w:rPr>
            </w:pPr>
            <w:r>
              <w:rPr>
                <w:rFonts w:cs="Arial"/>
                <w:color w:val="000000"/>
                <w:sz w:val="18"/>
                <w:szCs w:val="18"/>
              </w:rPr>
              <w:t>1</w:t>
            </w:r>
            <w:r w:rsidR="00F7497D">
              <w:rPr>
                <w:rFonts w:cs="Arial"/>
                <w:color w:val="000000"/>
                <w:sz w:val="18"/>
                <w:szCs w:val="18"/>
              </w:rPr>
              <w:t>.</w:t>
            </w:r>
            <w:r>
              <w:rPr>
                <w:rFonts w:cs="Arial"/>
                <w:color w:val="000000"/>
                <w:sz w:val="18"/>
                <w:szCs w:val="18"/>
              </w:rPr>
              <w:t>1</w:t>
            </w:r>
          </w:p>
        </w:tc>
        <w:tc>
          <w:tcPr>
            <w:tcW w:w="1016" w:type="dxa"/>
            <w:gridSpan w:val="2"/>
            <w:tcBorders>
              <w:top w:val="nil"/>
              <w:left w:val="nil"/>
              <w:bottom w:val="nil"/>
              <w:right w:val="nil"/>
            </w:tcBorders>
            <w:shd w:val="clear" w:color="auto" w:fill="auto"/>
            <w:vAlign w:val="center"/>
          </w:tcPr>
          <w:p w:rsidR="0054237A" w:rsidRDefault="0054237A" w:rsidP="0054237A">
            <w:pPr>
              <w:jc w:val="right"/>
              <w:rPr>
                <w:rFonts w:cs="Arial"/>
                <w:color w:val="000000"/>
                <w:sz w:val="18"/>
                <w:szCs w:val="18"/>
              </w:rPr>
            </w:pPr>
            <w:r>
              <w:rPr>
                <w:rFonts w:cs="Arial"/>
                <w:color w:val="000000"/>
                <w:sz w:val="18"/>
                <w:szCs w:val="18"/>
              </w:rPr>
              <w:t>47</w:t>
            </w:r>
            <w:r w:rsidR="00F7497D">
              <w:rPr>
                <w:rFonts w:cs="Arial"/>
                <w:color w:val="000000"/>
                <w:sz w:val="18"/>
                <w:szCs w:val="18"/>
              </w:rPr>
              <w:t>.</w:t>
            </w:r>
            <w:r>
              <w:rPr>
                <w:rFonts w:cs="Arial"/>
                <w:color w:val="000000"/>
                <w:sz w:val="18"/>
                <w:szCs w:val="18"/>
              </w:rPr>
              <w:t>4</w:t>
            </w:r>
          </w:p>
        </w:tc>
        <w:tc>
          <w:tcPr>
            <w:tcW w:w="1017" w:type="dxa"/>
            <w:tcBorders>
              <w:top w:val="nil"/>
              <w:left w:val="nil"/>
              <w:bottom w:val="nil"/>
              <w:right w:val="nil"/>
            </w:tcBorders>
            <w:shd w:val="clear" w:color="auto" w:fill="auto"/>
            <w:vAlign w:val="center"/>
          </w:tcPr>
          <w:p w:rsidR="0054237A" w:rsidRDefault="0054237A" w:rsidP="0054237A">
            <w:pPr>
              <w:jc w:val="right"/>
              <w:rPr>
                <w:rFonts w:cs="Arial"/>
                <w:color w:val="000000"/>
                <w:sz w:val="18"/>
                <w:szCs w:val="18"/>
              </w:rPr>
            </w:pPr>
            <w:r>
              <w:rPr>
                <w:rFonts w:cs="Arial"/>
                <w:color w:val="000000"/>
                <w:sz w:val="18"/>
                <w:szCs w:val="18"/>
              </w:rPr>
              <w:t>1</w:t>
            </w:r>
            <w:r w:rsidR="00F7497D">
              <w:rPr>
                <w:rFonts w:cs="Arial"/>
                <w:color w:val="000000"/>
                <w:sz w:val="18"/>
                <w:szCs w:val="18"/>
              </w:rPr>
              <w:t>.</w:t>
            </w:r>
            <w:r>
              <w:rPr>
                <w:rFonts w:cs="Arial"/>
                <w:color w:val="000000"/>
                <w:sz w:val="18"/>
                <w:szCs w:val="18"/>
              </w:rPr>
              <w:t>6</w:t>
            </w:r>
          </w:p>
        </w:tc>
      </w:tr>
      <w:tr w:rsidR="0054237A" w:rsidRPr="00EA57A8" w:rsidTr="00F7497D">
        <w:trPr>
          <w:trHeight w:val="260"/>
          <w:jc w:val="center"/>
        </w:trPr>
        <w:tc>
          <w:tcPr>
            <w:tcW w:w="3617" w:type="dxa"/>
            <w:tcBorders>
              <w:top w:val="nil"/>
              <w:bottom w:val="nil"/>
              <w:right w:val="single" w:sz="8" w:space="0" w:color="0C5498"/>
            </w:tcBorders>
            <w:shd w:val="clear" w:color="auto" w:fill="auto"/>
            <w:vAlign w:val="center"/>
            <w:hideMark/>
          </w:tcPr>
          <w:p w:rsidR="0054237A" w:rsidRPr="00EA57A8" w:rsidRDefault="0054237A" w:rsidP="0054237A">
            <w:pPr>
              <w:rPr>
                <w:rFonts w:cs="Arial"/>
                <w:color w:val="000000"/>
                <w:sz w:val="18"/>
                <w:szCs w:val="18"/>
              </w:rPr>
            </w:pPr>
            <w:r w:rsidRPr="00EA57A8">
              <w:rPr>
                <w:rFonts w:cs="Arial"/>
                <w:color w:val="000000"/>
                <w:sz w:val="18"/>
                <w:szCs w:val="18"/>
              </w:rPr>
              <w:t xml:space="preserve">            Formally employed</w:t>
            </w:r>
          </w:p>
        </w:tc>
        <w:tc>
          <w:tcPr>
            <w:tcW w:w="1031" w:type="dxa"/>
            <w:tcBorders>
              <w:top w:val="nil"/>
              <w:left w:val="nil"/>
              <w:bottom w:val="nil"/>
              <w:right w:val="single" w:sz="8" w:space="0" w:color="0C5498"/>
            </w:tcBorders>
            <w:shd w:val="clear" w:color="auto" w:fill="auto"/>
            <w:noWrap/>
            <w:vAlign w:val="center"/>
          </w:tcPr>
          <w:p w:rsidR="0054237A" w:rsidRDefault="0054237A" w:rsidP="0054237A">
            <w:pPr>
              <w:jc w:val="right"/>
              <w:rPr>
                <w:rFonts w:cs="Arial"/>
                <w:color w:val="000000"/>
                <w:sz w:val="18"/>
                <w:szCs w:val="18"/>
              </w:rPr>
            </w:pPr>
            <w:r>
              <w:rPr>
                <w:rFonts w:cs="Arial"/>
                <w:color w:val="000000"/>
                <w:sz w:val="18"/>
                <w:szCs w:val="18"/>
              </w:rPr>
              <w:t>2</w:t>
            </w:r>
            <w:r>
              <w:rPr>
                <w:rFonts w:cs="Arial"/>
                <w:color w:val="000000"/>
                <w:sz w:val="18"/>
                <w:szCs w:val="18"/>
                <w:lang w:val="en-US"/>
              </w:rPr>
              <w:t> </w:t>
            </w:r>
            <w:r>
              <w:rPr>
                <w:rFonts w:cs="Arial"/>
                <w:color w:val="000000"/>
                <w:sz w:val="18"/>
                <w:szCs w:val="18"/>
              </w:rPr>
              <w:t>330</w:t>
            </w:r>
            <w:r w:rsidR="00F7497D">
              <w:rPr>
                <w:rFonts w:cs="Arial"/>
                <w:color w:val="000000"/>
                <w:sz w:val="18"/>
                <w:szCs w:val="18"/>
              </w:rPr>
              <w:t>.</w:t>
            </w:r>
            <w:r>
              <w:rPr>
                <w:rFonts w:cs="Arial"/>
                <w:color w:val="000000"/>
                <w:sz w:val="18"/>
                <w:szCs w:val="18"/>
              </w:rPr>
              <w:t>4</w:t>
            </w:r>
          </w:p>
        </w:tc>
        <w:tc>
          <w:tcPr>
            <w:tcW w:w="1001" w:type="dxa"/>
            <w:tcBorders>
              <w:top w:val="nil"/>
              <w:left w:val="nil"/>
              <w:bottom w:val="nil"/>
              <w:right w:val="nil"/>
            </w:tcBorders>
            <w:shd w:val="clear" w:color="auto" w:fill="auto"/>
            <w:noWrap/>
            <w:vAlign w:val="center"/>
          </w:tcPr>
          <w:p w:rsidR="0054237A" w:rsidRDefault="0054237A" w:rsidP="0054237A">
            <w:pPr>
              <w:jc w:val="right"/>
              <w:rPr>
                <w:rFonts w:cs="Arial"/>
                <w:color w:val="000000"/>
                <w:sz w:val="18"/>
                <w:szCs w:val="18"/>
              </w:rPr>
            </w:pPr>
            <w:r>
              <w:rPr>
                <w:rFonts w:cs="Arial"/>
                <w:color w:val="000000"/>
                <w:sz w:val="18"/>
                <w:szCs w:val="18"/>
              </w:rPr>
              <w:t>40</w:t>
            </w:r>
            <w:r w:rsidR="00F7497D">
              <w:rPr>
                <w:rFonts w:cs="Arial"/>
                <w:color w:val="000000"/>
                <w:sz w:val="18"/>
                <w:szCs w:val="18"/>
              </w:rPr>
              <w:t>.</w:t>
            </w:r>
            <w:r>
              <w:rPr>
                <w:rFonts w:cs="Arial"/>
                <w:color w:val="000000"/>
                <w:sz w:val="18"/>
                <w:szCs w:val="18"/>
              </w:rPr>
              <w:t>8</w:t>
            </w:r>
          </w:p>
        </w:tc>
        <w:tc>
          <w:tcPr>
            <w:tcW w:w="1017" w:type="dxa"/>
            <w:tcBorders>
              <w:top w:val="nil"/>
              <w:left w:val="nil"/>
              <w:bottom w:val="nil"/>
              <w:right w:val="single" w:sz="8" w:space="0" w:color="0C5498"/>
            </w:tcBorders>
            <w:shd w:val="clear" w:color="auto" w:fill="auto"/>
            <w:noWrap/>
            <w:vAlign w:val="center"/>
          </w:tcPr>
          <w:p w:rsidR="0054237A" w:rsidRDefault="0054237A" w:rsidP="0054237A">
            <w:pPr>
              <w:jc w:val="right"/>
              <w:rPr>
                <w:rFonts w:cs="Arial"/>
                <w:color w:val="000000"/>
                <w:sz w:val="18"/>
                <w:szCs w:val="18"/>
              </w:rPr>
            </w:pPr>
            <w:r>
              <w:rPr>
                <w:rFonts w:cs="Arial"/>
                <w:color w:val="000000"/>
                <w:sz w:val="18"/>
                <w:szCs w:val="18"/>
              </w:rPr>
              <w:t>1</w:t>
            </w:r>
            <w:r w:rsidR="00F7497D">
              <w:rPr>
                <w:rFonts w:cs="Arial"/>
                <w:color w:val="000000"/>
                <w:sz w:val="18"/>
                <w:szCs w:val="18"/>
              </w:rPr>
              <w:t>.</w:t>
            </w:r>
            <w:r>
              <w:rPr>
                <w:rFonts w:cs="Arial"/>
                <w:color w:val="000000"/>
                <w:sz w:val="18"/>
                <w:szCs w:val="18"/>
              </w:rPr>
              <w:t>8</w:t>
            </w:r>
          </w:p>
        </w:tc>
        <w:tc>
          <w:tcPr>
            <w:tcW w:w="1016" w:type="dxa"/>
            <w:gridSpan w:val="2"/>
            <w:tcBorders>
              <w:top w:val="nil"/>
              <w:left w:val="nil"/>
              <w:bottom w:val="nil"/>
              <w:right w:val="nil"/>
            </w:tcBorders>
            <w:shd w:val="clear" w:color="auto" w:fill="auto"/>
            <w:noWrap/>
            <w:vAlign w:val="center"/>
          </w:tcPr>
          <w:p w:rsidR="0054237A" w:rsidRDefault="0054237A" w:rsidP="0054237A">
            <w:pPr>
              <w:jc w:val="right"/>
              <w:rPr>
                <w:rFonts w:cs="Arial"/>
                <w:color w:val="000000"/>
                <w:sz w:val="18"/>
                <w:szCs w:val="18"/>
              </w:rPr>
            </w:pPr>
            <w:r>
              <w:rPr>
                <w:rFonts w:cs="Arial"/>
                <w:color w:val="000000"/>
                <w:sz w:val="18"/>
                <w:szCs w:val="18"/>
              </w:rPr>
              <w:t>76</w:t>
            </w:r>
            <w:r w:rsidR="00F7497D">
              <w:rPr>
                <w:rFonts w:cs="Arial"/>
                <w:color w:val="000000"/>
                <w:sz w:val="18"/>
                <w:szCs w:val="18"/>
              </w:rPr>
              <w:t>.</w:t>
            </w:r>
            <w:r>
              <w:rPr>
                <w:rFonts w:cs="Arial"/>
                <w:color w:val="000000"/>
                <w:sz w:val="18"/>
                <w:szCs w:val="18"/>
              </w:rPr>
              <w:t>9</w:t>
            </w:r>
          </w:p>
        </w:tc>
        <w:tc>
          <w:tcPr>
            <w:tcW w:w="1017" w:type="dxa"/>
            <w:tcBorders>
              <w:top w:val="nil"/>
              <w:left w:val="nil"/>
              <w:bottom w:val="nil"/>
              <w:right w:val="nil"/>
            </w:tcBorders>
            <w:shd w:val="clear" w:color="auto" w:fill="auto"/>
            <w:noWrap/>
            <w:vAlign w:val="center"/>
          </w:tcPr>
          <w:p w:rsidR="0054237A" w:rsidRDefault="0054237A" w:rsidP="0054237A">
            <w:pPr>
              <w:jc w:val="right"/>
              <w:rPr>
                <w:rFonts w:cs="Arial"/>
                <w:color w:val="000000"/>
                <w:sz w:val="18"/>
                <w:szCs w:val="18"/>
              </w:rPr>
            </w:pPr>
            <w:r>
              <w:rPr>
                <w:rFonts w:cs="Arial"/>
                <w:color w:val="000000"/>
                <w:sz w:val="18"/>
                <w:szCs w:val="18"/>
              </w:rPr>
              <w:t>3</w:t>
            </w:r>
            <w:r w:rsidR="00F7497D">
              <w:rPr>
                <w:rFonts w:cs="Arial"/>
                <w:color w:val="000000"/>
                <w:sz w:val="18"/>
                <w:szCs w:val="18"/>
              </w:rPr>
              <w:t>.</w:t>
            </w:r>
            <w:r>
              <w:rPr>
                <w:rFonts w:cs="Arial"/>
                <w:color w:val="000000"/>
                <w:sz w:val="18"/>
                <w:szCs w:val="18"/>
              </w:rPr>
              <w:t>4</w:t>
            </w:r>
          </w:p>
        </w:tc>
      </w:tr>
      <w:tr w:rsidR="0054237A" w:rsidRPr="00EA57A8" w:rsidTr="00F7497D">
        <w:trPr>
          <w:trHeight w:val="260"/>
          <w:jc w:val="center"/>
        </w:trPr>
        <w:tc>
          <w:tcPr>
            <w:tcW w:w="3617" w:type="dxa"/>
            <w:tcBorders>
              <w:top w:val="nil"/>
              <w:bottom w:val="nil"/>
              <w:right w:val="single" w:sz="8" w:space="0" w:color="0C5498"/>
            </w:tcBorders>
            <w:shd w:val="clear" w:color="auto" w:fill="auto"/>
            <w:vAlign w:val="center"/>
            <w:hideMark/>
          </w:tcPr>
          <w:p w:rsidR="0054237A" w:rsidRPr="00EA57A8" w:rsidRDefault="0054237A" w:rsidP="0054237A">
            <w:pPr>
              <w:rPr>
                <w:rFonts w:cs="Arial"/>
                <w:color w:val="000000"/>
                <w:sz w:val="18"/>
                <w:szCs w:val="18"/>
              </w:rPr>
            </w:pPr>
            <w:r w:rsidRPr="00EA57A8">
              <w:rPr>
                <w:rFonts w:cs="Arial"/>
                <w:color w:val="000000"/>
                <w:sz w:val="18"/>
                <w:szCs w:val="18"/>
              </w:rPr>
              <w:t xml:space="preserve">            Informally employed</w:t>
            </w:r>
          </w:p>
        </w:tc>
        <w:tc>
          <w:tcPr>
            <w:tcW w:w="1031" w:type="dxa"/>
            <w:tcBorders>
              <w:top w:val="nil"/>
              <w:left w:val="nil"/>
              <w:bottom w:val="nil"/>
              <w:right w:val="single" w:sz="8" w:space="0" w:color="0C5498"/>
            </w:tcBorders>
            <w:shd w:val="clear" w:color="auto" w:fill="auto"/>
            <w:noWrap/>
            <w:vAlign w:val="center"/>
          </w:tcPr>
          <w:p w:rsidR="0054237A" w:rsidRDefault="0054237A" w:rsidP="0054237A">
            <w:pPr>
              <w:jc w:val="right"/>
              <w:rPr>
                <w:rFonts w:cs="Arial"/>
                <w:color w:val="000000"/>
                <w:sz w:val="18"/>
                <w:szCs w:val="18"/>
              </w:rPr>
            </w:pPr>
            <w:r>
              <w:rPr>
                <w:rFonts w:cs="Arial"/>
                <w:color w:val="000000"/>
                <w:sz w:val="18"/>
                <w:szCs w:val="18"/>
              </w:rPr>
              <w:t>598</w:t>
            </w:r>
            <w:r w:rsidR="00F7497D">
              <w:rPr>
                <w:rFonts w:cs="Arial"/>
                <w:color w:val="000000"/>
                <w:sz w:val="18"/>
                <w:szCs w:val="18"/>
              </w:rPr>
              <w:t>.</w:t>
            </w:r>
            <w:r>
              <w:rPr>
                <w:rFonts w:cs="Arial"/>
                <w:color w:val="000000"/>
                <w:sz w:val="18"/>
                <w:szCs w:val="18"/>
              </w:rPr>
              <w:t>9</w:t>
            </w:r>
          </w:p>
        </w:tc>
        <w:tc>
          <w:tcPr>
            <w:tcW w:w="1001" w:type="dxa"/>
            <w:tcBorders>
              <w:top w:val="nil"/>
              <w:left w:val="nil"/>
              <w:bottom w:val="nil"/>
              <w:right w:val="nil"/>
            </w:tcBorders>
            <w:shd w:val="clear" w:color="auto" w:fill="auto"/>
            <w:noWrap/>
            <w:vAlign w:val="center"/>
          </w:tcPr>
          <w:p w:rsidR="0054237A" w:rsidRDefault="0054237A" w:rsidP="0054237A">
            <w:pPr>
              <w:jc w:val="right"/>
              <w:rPr>
                <w:rFonts w:cs="Arial"/>
                <w:color w:val="000000"/>
                <w:sz w:val="18"/>
                <w:szCs w:val="18"/>
              </w:rPr>
            </w:pPr>
            <w:r>
              <w:rPr>
                <w:rFonts w:cs="Arial"/>
                <w:color w:val="000000"/>
                <w:sz w:val="18"/>
                <w:szCs w:val="18"/>
              </w:rPr>
              <w:t>-8</w:t>
            </w:r>
            <w:r w:rsidR="00F7497D">
              <w:rPr>
                <w:rFonts w:cs="Arial"/>
                <w:color w:val="000000"/>
                <w:sz w:val="18"/>
                <w:szCs w:val="18"/>
              </w:rPr>
              <w:t>.</w:t>
            </w:r>
            <w:r>
              <w:rPr>
                <w:rFonts w:cs="Arial"/>
                <w:color w:val="000000"/>
                <w:sz w:val="18"/>
                <w:szCs w:val="18"/>
              </w:rPr>
              <w:t>3</w:t>
            </w:r>
          </w:p>
        </w:tc>
        <w:tc>
          <w:tcPr>
            <w:tcW w:w="1017" w:type="dxa"/>
            <w:tcBorders>
              <w:top w:val="nil"/>
              <w:left w:val="nil"/>
              <w:bottom w:val="nil"/>
              <w:right w:val="single" w:sz="8" w:space="0" w:color="0C5498"/>
            </w:tcBorders>
            <w:shd w:val="clear" w:color="auto" w:fill="auto"/>
            <w:noWrap/>
            <w:vAlign w:val="center"/>
          </w:tcPr>
          <w:p w:rsidR="0054237A" w:rsidRDefault="0054237A" w:rsidP="0054237A">
            <w:pPr>
              <w:jc w:val="right"/>
              <w:rPr>
                <w:rFonts w:cs="Arial"/>
                <w:color w:val="000000"/>
                <w:sz w:val="18"/>
                <w:szCs w:val="18"/>
              </w:rPr>
            </w:pPr>
            <w:r>
              <w:rPr>
                <w:rFonts w:cs="Arial"/>
                <w:color w:val="000000"/>
                <w:sz w:val="18"/>
                <w:szCs w:val="18"/>
              </w:rPr>
              <w:t>-1</w:t>
            </w:r>
            <w:r w:rsidR="00F7497D">
              <w:rPr>
                <w:rFonts w:cs="Arial"/>
                <w:color w:val="000000"/>
                <w:sz w:val="18"/>
                <w:szCs w:val="18"/>
              </w:rPr>
              <w:t>.</w:t>
            </w:r>
            <w:r>
              <w:rPr>
                <w:rFonts w:cs="Arial"/>
                <w:color w:val="000000"/>
                <w:sz w:val="18"/>
                <w:szCs w:val="18"/>
              </w:rPr>
              <w:t>4</w:t>
            </w:r>
          </w:p>
        </w:tc>
        <w:tc>
          <w:tcPr>
            <w:tcW w:w="1016" w:type="dxa"/>
            <w:gridSpan w:val="2"/>
            <w:tcBorders>
              <w:top w:val="nil"/>
              <w:left w:val="nil"/>
              <w:bottom w:val="nil"/>
              <w:right w:val="nil"/>
            </w:tcBorders>
            <w:shd w:val="clear" w:color="auto" w:fill="auto"/>
            <w:noWrap/>
            <w:vAlign w:val="center"/>
          </w:tcPr>
          <w:p w:rsidR="0054237A" w:rsidRDefault="0054237A" w:rsidP="0054237A">
            <w:pPr>
              <w:jc w:val="right"/>
              <w:rPr>
                <w:rFonts w:cs="Arial"/>
                <w:color w:val="000000"/>
                <w:sz w:val="18"/>
                <w:szCs w:val="18"/>
              </w:rPr>
            </w:pPr>
            <w:r>
              <w:rPr>
                <w:rFonts w:cs="Arial"/>
                <w:color w:val="000000"/>
                <w:sz w:val="18"/>
                <w:szCs w:val="18"/>
              </w:rPr>
              <w:t>-29</w:t>
            </w:r>
            <w:r w:rsidR="00F7497D">
              <w:rPr>
                <w:rFonts w:cs="Arial"/>
                <w:color w:val="000000"/>
                <w:sz w:val="18"/>
                <w:szCs w:val="18"/>
              </w:rPr>
              <w:t>.</w:t>
            </w:r>
            <w:r>
              <w:rPr>
                <w:rFonts w:cs="Arial"/>
                <w:color w:val="000000"/>
                <w:sz w:val="18"/>
                <w:szCs w:val="18"/>
              </w:rPr>
              <w:t>5</w:t>
            </w:r>
          </w:p>
        </w:tc>
        <w:tc>
          <w:tcPr>
            <w:tcW w:w="1017" w:type="dxa"/>
            <w:tcBorders>
              <w:top w:val="nil"/>
              <w:left w:val="nil"/>
              <w:bottom w:val="nil"/>
              <w:right w:val="nil"/>
            </w:tcBorders>
            <w:shd w:val="clear" w:color="auto" w:fill="auto"/>
            <w:noWrap/>
            <w:vAlign w:val="center"/>
          </w:tcPr>
          <w:p w:rsidR="0054237A" w:rsidRDefault="0054237A" w:rsidP="0054237A">
            <w:pPr>
              <w:jc w:val="right"/>
              <w:rPr>
                <w:rFonts w:cs="Arial"/>
                <w:color w:val="000000"/>
                <w:sz w:val="18"/>
                <w:szCs w:val="18"/>
              </w:rPr>
            </w:pPr>
            <w:r>
              <w:rPr>
                <w:rFonts w:cs="Arial"/>
                <w:color w:val="000000"/>
                <w:sz w:val="18"/>
                <w:szCs w:val="18"/>
              </w:rPr>
              <w:t>-4</w:t>
            </w:r>
            <w:r w:rsidR="00F7497D">
              <w:rPr>
                <w:rFonts w:cs="Arial"/>
                <w:color w:val="000000"/>
                <w:sz w:val="18"/>
                <w:szCs w:val="18"/>
              </w:rPr>
              <w:t>.</w:t>
            </w:r>
            <w:r>
              <w:rPr>
                <w:rFonts w:cs="Arial"/>
                <w:color w:val="000000"/>
                <w:sz w:val="18"/>
                <w:szCs w:val="18"/>
              </w:rPr>
              <w:t>7</w:t>
            </w:r>
          </w:p>
        </w:tc>
      </w:tr>
      <w:tr w:rsidR="0054237A" w:rsidRPr="00EA57A8" w:rsidTr="00F7497D">
        <w:trPr>
          <w:trHeight w:val="259"/>
          <w:jc w:val="center"/>
        </w:trPr>
        <w:tc>
          <w:tcPr>
            <w:tcW w:w="3617" w:type="dxa"/>
            <w:tcBorders>
              <w:top w:val="nil"/>
              <w:bottom w:val="nil"/>
              <w:right w:val="single" w:sz="8" w:space="0" w:color="0C5498"/>
            </w:tcBorders>
            <w:shd w:val="clear" w:color="auto" w:fill="auto"/>
            <w:vAlign w:val="center"/>
            <w:hideMark/>
          </w:tcPr>
          <w:p w:rsidR="0054237A" w:rsidRPr="00EA57A8" w:rsidRDefault="0054237A" w:rsidP="0054237A">
            <w:pPr>
              <w:rPr>
                <w:rFonts w:cs="Arial"/>
                <w:color w:val="000000"/>
                <w:sz w:val="18"/>
                <w:szCs w:val="18"/>
              </w:rPr>
            </w:pPr>
            <w:r w:rsidRPr="00EA57A8">
              <w:rPr>
                <w:rFonts w:cs="Arial"/>
                <w:color w:val="000000"/>
                <w:sz w:val="18"/>
                <w:szCs w:val="18"/>
              </w:rPr>
              <w:t xml:space="preserve">        Unemployed</w:t>
            </w:r>
          </w:p>
        </w:tc>
        <w:tc>
          <w:tcPr>
            <w:tcW w:w="1031" w:type="dxa"/>
            <w:tcBorders>
              <w:top w:val="nil"/>
              <w:left w:val="nil"/>
              <w:bottom w:val="nil"/>
              <w:right w:val="single" w:sz="8" w:space="0" w:color="0C5498"/>
            </w:tcBorders>
            <w:shd w:val="clear" w:color="auto" w:fill="auto"/>
            <w:vAlign w:val="center"/>
          </w:tcPr>
          <w:p w:rsidR="0054237A" w:rsidRDefault="0054237A" w:rsidP="0054237A">
            <w:pPr>
              <w:jc w:val="right"/>
              <w:rPr>
                <w:rFonts w:cs="Arial"/>
                <w:color w:val="000000"/>
                <w:sz w:val="18"/>
                <w:szCs w:val="18"/>
              </w:rPr>
            </w:pPr>
            <w:r>
              <w:rPr>
                <w:rFonts w:cs="Arial"/>
                <w:color w:val="000000"/>
                <w:sz w:val="18"/>
                <w:szCs w:val="18"/>
              </w:rPr>
              <w:t>371</w:t>
            </w:r>
            <w:r w:rsidR="00F7497D">
              <w:rPr>
                <w:rFonts w:cs="Arial"/>
                <w:color w:val="000000"/>
                <w:sz w:val="18"/>
                <w:szCs w:val="18"/>
              </w:rPr>
              <w:t>.</w:t>
            </w:r>
            <w:r>
              <w:rPr>
                <w:rFonts w:cs="Arial"/>
                <w:color w:val="000000"/>
                <w:sz w:val="18"/>
                <w:szCs w:val="18"/>
              </w:rPr>
              <w:t>8</w:t>
            </w:r>
          </w:p>
        </w:tc>
        <w:tc>
          <w:tcPr>
            <w:tcW w:w="1001" w:type="dxa"/>
            <w:tcBorders>
              <w:top w:val="nil"/>
              <w:left w:val="nil"/>
              <w:bottom w:val="nil"/>
              <w:right w:val="nil"/>
            </w:tcBorders>
            <w:shd w:val="clear" w:color="auto" w:fill="auto"/>
            <w:vAlign w:val="center"/>
          </w:tcPr>
          <w:p w:rsidR="0054237A" w:rsidRDefault="0054237A" w:rsidP="0054237A">
            <w:pPr>
              <w:jc w:val="right"/>
              <w:rPr>
                <w:rFonts w:cs="Arial"/>
                <w:color w:val="000000"/>
                <w:sz w:val="18"/>
                <w:szCs w:val="18"/>
              </w:rPr>
            </w:pPr>
            <w:r>
              <w:rPr>
                <w:rFonts w:cs="Arial"/>
                <w:color w:val="000000"/>
                <w:sz w:val="18"/>
                <w:szCs w:val="18"/>
              </w:rPr>
              <w:t>-19</w:t>
            </w:r>
            <w:r w:rsidR="00F7497D">
              <w:rPr>
                <w:rFonts w:cs="Arial"/>
                <w:color w:val="000000"/>
                <w:sz w:val="18"/>
                <w:szCs w:val="18"/>
              </w:rPr>
              <w:t>.</w:t>
            </w:r>
            <w:r>
              <w:rPr>
                <w:rFonts w:cs="Arial"/>
                <w:color w:val="000000"/>
                <w:sz w:val="18"/>
                <w:szCs w:val="18"/>
              </w:rPr>
              <w:t>7</w:t>
            </w:r>
          </w:p>
        </w:tc>
        <w:tc>
          <w:tcPr>
            <w:tcW w:w="1017" w:type="dxa"/>
            <w:tcBorders>
              <w:top w:val="nil"/>
              <w:left w:val="nil"/>
              <w:bottom w:val="nil"/>
              <w:right w:val="single" w:sz="8" w:space="0" w:color="0C5498"/>
            </w:tcBorders>
            <w:shd w:val="clear" w:color="auto" w:fill="auto"/>
            <w:vAlign w:val="center"/>
          </w:tcPr>
          <w:p w:rsidR="0054237A" w:rsidRDefault="0054237A" w:rsidP="0054237A">
            <w:pPr>
              <w:jc w:val="right"/>
              <w:rPr>
                <w:rFonts w:cs="Arial"/>
                <w:color w:val="000000"/>
                <w:sz w:val="18"/>
                <w:szCs w:val="18"/>
              </w:rPr>
            </w:pPr>
            <w:r>
              <w:rPr>
                <w:rFonts w:cs="Arial"/>
                <w:color w:val="000000"/>
                <w:sz w:val="18"/>
                <w:szCs w:val="18"/>
              </w:rPr>
              <w:t>-5</w:t>
            </w:r>
            <w:r w:rsidR="00F7497D">
              <w:rPr>
                <w:rFonts w:cs="Arial"/>
                <w:color w:val="000000"/>
                <w:sz w:val="18"/>
                <w:szCs w:val="18"/>
              </w:rPr>
              <w:t>.</w:t>
            </w:r>
            <w:r>
              <w:rPr>
                <w:rFonts w:cs="Arial"/>
                <w:color w:val="000000"/>
                <w:sz w:val="18"/>
                <w:szCs w:val="18"/>
              </w:rPr>
              <w:t>0</w:t>
            </w:r>
          </w:p>
        </w:tc>
        <w:tc>
          <w:tcPr>
            <w:tcW w:w="1016" w:type="dxa"/>
            <w:gridSpan w:val="2"/>
            <w:tcBorders>
              <w:top w:val="nil"/>
              <w:left w:val="nil"/>
              <w:bottom w:val="nil"/>
              <w:right w:val="nil"/>
            </w:tcBorders>
            <w:shd w:val="clear" w:color="auto" w:fill="auto"/>
            <w:vAlign w:val="center"/>
          </w:tcPr>
          <w:p w:rsidR="0054237A" w:rsidRDefault="0054237A" w:rsidP="0054237A">
            <w:pPr>
              <w:jc w:val="right"/>
              <w:rPr>
                <w:rFonts w:cs="Arial"/>
                <w:color w:val="000000"/>
                <w:sz w:val="18"/>
                <w:szCs w:val="18"/>
              </w:rPr>
            </w:pPr>
            <w:r>
              <w:rPr>
                <w:rFonts w:cs="Arial"/>
                <w:color w:val="000000"/>
                <w:sz w:val="18"/>
                <w:szCs w:val="18"/>
              </w:rPr>
              <w:t>-56</w:t>
            </w:r>
            <w:r w:rsidR="00F7497D">
              <w:rPr>
                <w:rFonts w:cs="Arial"/>
                <w:color w:val="000000"/>
                <w:sz w:val="18"/>
                <w:szCs w:val="18"/>
              </w:rPr>
              <w:t>.</w:t>
            </w:r>
            <w:r>
              <w:rPr>
                <w:rFonts w:cs="Arial"/>
                <w:color w:val="000000"/>
                <w:sz w:val="18"/>
                <w:szCs w:val="18"/>
              </w:rPr>
              <w:t>4</w:t>
            </w:r>
          </w:p>
        </w:tc>
        <w:tc>
          <w:tcPr>
            <w:tcW w:w="1017" w:type="dxa"/>
            <w:tcBorders>
              <w:top w:val="nil"/>
              <w:left w:val="nil"/>
              <w:bottom w:val="nil"/>
              <w:right w:val="nil"/>
            </w:tcBorders>
            <w:shd w:val="clear" w:color="auto" w:fill="auto"/>
            <w:vAlign w:val="center"/>
          </w:tcPr>
          <w:p w:rsidR="0054237A" w:rsidRDefault="0054237A" w:rsidP="0054237A">
            <w:pPr>
              <w:jc w:val="right"/>
              <w:rPr>
                <w:rFonts w:cs="Arial"/>
                <w:color w:val="000000"/>
                <w:sz w:val="18"/>
                <w:szCs w:val="18"/>
              </w:rPr>
            </w:pPr>
            <w:r>
              <w:rPr>
                <w:rFonts w:cs="Arial"/>
                <w:color w:val="000000"/>
                <w:sz w:val="18"/>
                <w:szCs w:val="18"/>
              </w:rPr>
              <w:t>-13</w:t>
            </w:r>
            <w:r w:rsidR="00F7497D">
              <w:rPr>
                <w:rFonts w:cs="Arial"/>
                <w:color w:val="000000"/>
                <w:sz w:val="18"/>
                <w:szCs w:val="18"/>
              </w:rPr>
              <w:t>.</w:t>
            </w:r>
            <w:r>
              <w:rPr>
                <w:rFonts w:cs="Arial"/>
                <w:color w:val="000000"/>
                <w:sz w:val="18"/>
                <w:szCs w:val="18"/>
              </w:rPr>
              <w:t>2</w:t>
            </w:r>
          </w:p>
        </w:tc>
      </w:tr>
      <w:tr w:rsidR="0054237A" w:rsidRPr="00EA57A8" w:rsidTr="00F7497D">
        <w:trPr>
          <w:trHeight w:val="259"/>
          <w:jc w:val="center"/>
        </w:trPr>
        <w:tc>
          <w:tcPr>
            <w:tcW w:w="3617" w:type="dxa"/>
            <w:tcBorders>
              <w:top w:val="nil"/>
              <w:bottom w:val="nil"/>
              <w:right w:val="single" w:sz="8" w:space="0" w:color="0C5498"/>
            </w:tcBorders>
            <w:shd w:val="clear" w:color="auto" w:fill="auto"/>
            <w:vAlign w:val="center"/>
            <w:hideMark/>
          </w:tcPr>
          <w:p w:rsidR="0054237A" w:rsidRPr="00EA57A8" w:rsidRDefault="0054237A" w:rsidP="0054237A">
            <w:pPr>
              <w:rPr>
                <w:rFonts w:cs="Arial"/>
                <w:color w:val="000000"/>
                <w:sz w:val="18"/>
                <w:szCs w:val="18"/>
              </w:rPr>
            </w:pPr>
            <w:r w:rsidRPr="00EA57A8">
              <w:rPr>
                <w:rFonts w:cs="Arial"/>
                <w:color w:val="000000"/>
                <w:sz w:val="18"/>
                <w:szCs w:val="18"/>
              </w:rPr>
              <w:t xml:space="preserve">    Inactive population</w:t>
            </w:r>
          </w:p>
        </w:tc>
        <w:tc>
          <w:tcPr>
            <w:tcW w:w="1031" w:type="dxa"/>
            <w:tcBorders>
              <w:top w:val="nil"/>
              <w:left w:val="nil"/>
              <w:bottom w:val="nil"/>
              <w:right w:val="single" w:sz="8" w:space="0" w:color="0C5498"/>
            </w:tcBorders>
            <w:shd w:val="clear" w:color="auto" w:fill="auto"/>
            <w:vAlign w:val="center"/>
          </w:tcPr>
          <w:p w:rsidR="0054237A" w:rsidRDefault="0054237A" w:rsidP="0054237A">
            <w:pPr>
              <w:jc w:val="right"/>
              <w:rPr>
                <w:rFonts w:cs="Arial"/>
                <w:color w:val="000000"/>
                <w:sz w:val="18"/>
                <w:szCs w:val="18"/>
              </w:rPr>
            </w:pPr>
            <w:r>
              <w:rPr>
                <w:rFonts w:cs="Arial"/>
                <w:color w:val="000000"/>
                <w:sz w:val="18"/>
                <w:szCs w:val="18"/>
              </w:rPr>
              <w:t>2</w:t>
            </w:r>
            <w:r>
              <w:rPr>
                <w:rFonts w:cs="Arial"/>
                <w:color w:val="000000"/>
                <w:sz w:val="18"/>
                <w:szCs w:val="18"/>
                <w:lang w:val="en-US"/>
              </w:rPr>
              <w:t> </w:t>
            </w:r>
            <w:r>
              <w:rPr>
                <w:rFonts w:cs="Arial"/>
                <w:color w:val="000000"/>
                <w:sz w:val="18"/>
                <w:szCs w:val="18"/>
              </w:rPr>
              <w:t>650</w:t>
            </w:r>
            <w:r w:rsidR="00F7497D">
              <w:rPr>
                <w:rFonts w:cs="Arial"/>
                <w:color w:val="000000"/>
                <w:sz w:val="18"/>
                <w:szCs w:val="18"/>
              </w:rPr>
              <w:t>.</w:t>
            </w:r>
            <w:r>
              <w:rPr>
                <w:rFonts w:cs="Arial"/>
                <w:color w:val="000000"/>
                <w:sz w:val="18"/>
                <w:szCs w:val="18"/>
              </w:rPr>
              <w:t>2</w:t>
            </w:r>
          </w:p>
        </w:tc>
        <w:tc>
          <w:tcPr>
            <w:tcW w:w="1001" w:type="dxa"/>
            <w:tcBorders>
              <w:top w:val="nil"/>
              <w:left w:val="nil"/>
              <w:bottom w:val="single" w:sz="8" w:space="0" w:color="0C5498"/>
              <w:right w:val="nil"/>
            </w:tcBorders>
            <w:shd w:val="clear" w:color="auto" w:fill="auto"/>
            <w:vAlign w:val="center"/>
          </w:tcPr>
          <w:p w:rsidR="0054237A" w:rsidRDefault="0054237A" w:rsidP="0054237A">
            <w:pPr>
              <w:jc w:val="right"/>
              <w:rPr>
                <w:rFonts w:cs="Arial"/>
                <w:color w:val="000000"/>
                <w:sz w:val="18"/>
                <w:szCs w:val="18"/>
              </w:rPr>
            </w:pPr>
            <w:r>
              <w:rPr>
                <w:rFonts w:cs="Arial"/>
                <w:color w:val="000000"/>
                <w:sz w:val="18"/>
                <w:szCs w:val="18"/>
              </w:rPr>
              <w:t>-20</w:t>
            </w:r>
            <w:r w:rsidR="00F7497D">
              <w:rPr>
                <w:rFonts w:cs="Arial"/>
                <w:color w:val="000000"/>
                <w:sz w:val="18"/>
                <w:szCs w:val="18"/>
              </w:rPr>
              <w:t>.</w:t>
            </w:r>
            <w:r>
              <w:rPr>
                <w:rFonts w:cs="Arial"/>
                <w:color w:val="000000"/>
                <w:sz w:val="18"/>
                <w:szCs w:val="18"/>
              </w:rPr>
              <w:t>7</w:t>
            </w:r>
          </w:p>
        </w:tc>
        <w:tc>
          <w:tcPr>
            <w:tcW w:w="1017" w:type="dxa"/>
            <w:tcBorders>
              <w:top w:val="nil"/>
              <w:left w:val="nil"/>
              <w:bottom w:val="single" w:sz="8" w:space="0" w:color="0C5498"/>
              <w:right w:val="single" w:sz="8" w:space="0" w:color="0C5498"/>
            </w:tcBorders>
            <w:shd w:val="clear" w:color="auto" w:fill="auto"/>
            <w:vAlign w:val="center"/>
          </w:tcPr>
          <w:p w:rsidR="0054237A" w:rsidRDefault="0054237A" w:rsidP="0054237A">
            <w:pPr>
              <w:jc w:val="right"/>
              <w:rPr>
                <w:rFonts w:cs="Arial"/>
                <w:color w:val="000000"/>
                <w:sz w:val="18"/>
                <w:szCs w:val="18"/>
              </w:rPr>
            </w:pPr>
            <w:r>
              <w:rPr>
                <w:rFonts w:cs="Arial"/>
                <w:color w:val="000000"/>
                <w:sz w:val="18"/>
                <w:szCs w:val="18"/>
              </w:rPr>
              <w:t>-0</w:t>
            </w:r>
            <w:r w:rsidR="00F7497D">
              <w:rPr>
                <w:rFonts w:cs="Arial"/>
                <w:color w:val="000000"/>
                <w:sz w:val="18"/>
                <w:szCs w:val="18"/>
              </w:rPr>
              <w:t>.</w:t>
            </w:r>
            <w:r>
              <w:rPr>
                <w:rFonts w:cs="Arial"/>
                <w:color w:val="000000"/>
                <w:sz w:val="18"/>
                <w:szCs w:val="18"/>
              </w:rPr>
              <w:t>8</w:t>
            </w:r>
          </w:p>
        </w:tc>
        <w:tc>
          <w:tcPr>
            <w:tcW w:w="1016" w:type="dxa"/>
            <w:gridSpan w:val="2"/>
            <w:tcBorders>
              <w:top w:val="nil"/>
              <w:left w:val="nil"/>
              <w:bottom w:val="single" w:sz="8" w:space="0" w:color="0C5498"/>
              <w:right w:val="nil"/>
            </w:tcBorders>
            <w:shd w:val="clear" w:color="auto" w:fill="auto"/>
            <w:vAlign w:val="center"/>
          </w:tcPr>
          <w:p w:rsidR="0054237A" w:rsidRDefault="0054237A" w:rsidP="0054237A">
            <w:pPr>
              <w:jc w:val="right"/>
              <w:rPr>
                <w:rFonts w:cs="Arial"/>
                <w:color w:val="000000"/>
                <w:sz w:val="18"/>
                <w:szCs w:val="18"/>
              </w:rPr>
            </w:pPr>
            <w:r>
              <w:rPr>
                <w:rFonts w:cs="Arial"/>
                <w:color w:val="000000"/>
                <w:sz w:val="18"/>
                <w:szCs w:val="18"/>
              </w:rPr>
              <w:t>-20</w:t>
            </w:r>
            <w:r w:rsidR="00F7497D">
              <w:rPr>
                <w:rFonts w:cs="Arial"/>
                <w:color w:val="000000"/>
                <w:sz w:val="18"/>
                <w:szCs w:val="18"/>
              </w:rPr>
              <w:t>.</w:t>
            </w:r>
            <w:r>
              <w:rPr>
                <w:rFonts w:cs="Arial"/>
                <w:color w:val="000000"/>
                <w:sz w:val="18"/>
                <w:szCs w:val="18"/>
              </w:rPr>
              <w:t>9</w:t>
            </w:r>
          </w:p>
        </w:tc>
        <w:tc>
          <w:tcPr>
            <w:tcW w:w="1017" w:type="dxa"/>
            <w:tcBorders>
              <w:top w:val="nil"/>
              <w:left w:val="nil"/>
              <w:bottom w:val="single" w:sz="8" w:space="0" w:color="0C5498"/>
              <w:right w:val="nil"/>
            </w:tcBorders>
            <w:shd w:val="clear" w:color="auto" w:fill="auto"/>
            <w:vAlign w:val="center"/>
          </w:tcPr>
          <w:p w:rsidR="0054237A" w:rsidRDefault="0054237A" w:rsidP="0054237A">
            <w:pPr>
              <w:jc w:val="right"/>
              <w:rPr>
                <w:rFonts w:cs="Arial"/>
                <w:color w:val="000000"/>
                <w:sz w:val="18"/>
                <w:szCs w:val="18"/>
              </w:rPr>
            </w:pPr>
            <w:r>
              <w:rPr>
                <w:rFonts w:cs="Arial"/>
                <w:color w:val="000000"/>
                <w:sz w:val="18"/>
                <w:szCs w:val="18"/>
              </w:rPr>
              <w:t>-0</w:t>
            </w:r>
            <w:r w:rsidR="00F7497D">
              <w:rPr>
                <w:rFonts w:cs="Arial"/>
                <w:color w:val="000000"/>
                <w:sz w:val="18"/>
                <w:szCs w:val="18"/>
              </w:rPr>
              <w:t>.</w:t>
            </w:r>
            <w:r>
              <w:rPr>
                <w:rFonts w:cs="Arial"/>
                <w:color w:val="000000"/>
                <w:sz w:val="18"/>
                <w:szCs w:val="18"/>
              </w:rPr>
              <w:t>8</w:t>
            </w:r>
          </w:p>
        </w:tc>
      </w:tr>
      <w:tr w:rsidR="0054237A" w:rsidRPr="00EA57A8" w:rsidTr="00F7497D">
        <w:trPr>
          <w:trHeight w:val="273"/>
          <w:jc w:val="center"/>
        </w:trPr>
        <w:tc>
          <w:tcPr>
            <w:tcW w:w="3617" w:type="dxa"/>
            <w:tcBorders>
              <w:top w:val="single" w:sz="8" w:space="0" w:color="0C5498"/>
              <w:bottom w:val="single" w:sz="8" w:space="0" w:color="0C5498"/>
              <w:right w:val="single" w:sz="8" w:space="0" w:color="0C5498"/>
            </w:tcBorders>
            <w:shd w:val="clear" w:color="auto" w:fill="auto"/>
            <w:vAlign w:val="center"/>
            <w:hideMark/>
          </w:tcPr>
          <w:p w:rsidR="0054237A" w:rsidRPr="00EA57A8" w:rsidRDefault="0054237A" w:rsidP="0054237A">
            <w:pPr>
              <w:rPr>
                <w:rFonts w:cs="Arial"/>
                <w:color w:val="000000"/>
                <w:sz w:val="18"/>
                <w:szCs w:val="18"/>
              </w:rPr>
            </w:pPr>
            <w:r w:rsidRPr="00EA57A8">
              <w:rPr>
                <w:rFonts w:cs="Arial"/>
                <w:color w:val="000000"/>
                <w:sz w:val="18"/>
                <w:szCs w:val="18"/>
              </w:rPr>
              <w:t> </w:t>
            </w:r>
          </w:p>
        </w:tc>
        <w:tc>
          <w:tcPr>
            <w:tcW w:w="1031" w:type="dxa"/>
            <w:tcBorders>
              <w:top w:val="single" w:sz="8" w:space="0" w:color="0C5498"/>
              <w:left w:val="nil"/>
              <w:bottom w:val="single" w:sz="8" w:space="0" w:color="0C5498"/>
              <w:right w:val="single" w:sz="8" w:space="0" w:color="0C5498"/>
            </w:tcBorders>
            <w:shd w:val="clear" w:color="auto" w:fill="auto"/>
            <w:noWrap/>
            <w:vAlign w:val="center"/>
            <w:hideMark/>
          </w:tcPr>
          <w:p w:rsidR="0054237A" w:rsidRPr="00EA57A8" w:rsidRDefault="0054237A" w:rsidP="0054237A">
            <w:pPr>
              <w:jc w:val="center"/>
              <w:rPr>
                <w:rFonts w:cs="Arial"/>
                <w:b/>
                <w:bCs/>
                <w:color w:val="000000"/>
                <w:sz w:val="18"/>
                <w:szCs w:val="18"/>
              </w:rPr>
            </w:pPr>
            <w:r w:rsidRPr="00EA57A8">
              <w:rPr>
                <w:rFonts w:cs="Arial"/>
                <w:b/>
                <w:bCs/>
                <w:color w:val="000000"/>
                <w:sz w:val="18"/>
                <w:szCs w:val="18"/>
              </w:rPr>
              <w:t>%</w:t>
            </w:r>
          </w:p>
        </w:tc>
        <w:tc>
          <w:tcPr>
            <w:tcW w:w="4051" w:type="dxa"/>
            <w:gridSpan w:val="5"/>
            <w:tcBorders>
              <w:top w:val="single" w:sz="8" w:space="0" w:color="0C5498"/>
              <w:left w:val="nil"/>
              <w:bottom w:val="single" w:sz="8" w:space="0" w:color="0C5498"/>
            </w:tcBorders>
            <w:shd w:val="clear" w:color="auto" w:fill="auto"/>
            <w:noWrap/>
            <w:vAlign w:val="center"/>
            <w:hideMark/>
          </w:tcPr>
          <w:p w:rsidR="0054237A" w:rsidRPr="00EA57A8" w:rsidRDefault="0054237A" w:rsidP="0032539F">
            <w:pPr>
              <w:jc w:val="center"/>
              <w:rPr>
                <w:rFonts w:cs="Arial"/>
                <w:color w:val="000000"/>
                <w:sz w:val="18"/>
                <w:szCs w:val="18"/>
              </w:rPr>
            </w:pPr>
            <w:r w:rsidRPr="00EA57A8">
              <w:rPr>
                <w:rFonts w:cs="Arial"/>
                <w:color w:val="000000"/>
                <w:sz w:val="18"/>
                <w:szCs w:val="18"/>
              </w:rPr>
              <w:t>(</w:t>
            </w:r>
            <w:r>
              <w:rPr>
                <w:rFonts w:cs="Arial"/>
                <w:color w:val="000000"/>
                <w:sz w:val="18"/>
                <w:szCs w:val="18"/>
              </w:rPr>
              <w:t>p</w:t>
            </w:r>
            <w:r w:rsidRPr="00EA57A8">
              <w:rPr>
                <w:rFonts w:cs="Arial"/>
                <w:color w:val="000000"/>
                <w:sz w:val="18"/>
                <w:szCs w:val="18"/>
              </w:rPr>
              <w:t>.</w:t>
            </w:r>
            <w:r>
              <w:rPr>
                <w:rFonts w:cs="Arial"/>
                <w:color w:val="000000"/>
                <w:sz w:val="18"/>
                <w:szCs w:val="18"/>
              </w:rPr>
              <w:t>p</w:t>
            </w:r>
            <w:r w:rsidRPr="00EA57A8">
              <w:rPr>
                <w:rFonts w:cs="Arial"/>
                <w:color w:val="000000"/>
                <w:sz w:val="18"/>
                <w:szCs w:val="18"/>
              </w:rPr>
              <w:t>.)</w:t>
            </w:r>
          </w:p>
        </w:tc>
      </w:tr>
      <w:tr w:rsidR="0054237A" w:rsidRPr="00EA57A8" w:rsidTr="00F7497D">
        <w:trPr>
          <w:trHeight w:val="260"/>
          <w:jc w:val="center"/>
        </w:trPr>
        <w:tc>
          <w:tcPr>
            <w:tcW w:w="3617" w:type="dxa"/>
            <w:tcBorders>
              <w:top w:val="nil"/>
              <w:bottom w:val="nil"/>
              <w:right w:val="single" w:sz="8" w:space="0" w:color="0C5498"/>
            </w:tcBorders>
            <w:shd w:val="clear" w:color="auto" w:fill="auto"/>
            <w:vAlign w:val="center"/>
            <w:hideMark/>
          </w:tcPr>
          <w:p w:rsidR="0054237A" w:rsidRPr="00EA57A8" w:rsidRDefault="0054237A" w:rsidP="0054237A">
            <w:pPr>
              <w:rPr>
                <w:rFonts w:cs="Arial"/>
                <w:sz w:val="18"/>
                <w:szCs w:val="18"/>
              </w:rPr>
            </w:pPr>
            <w:r w:rsidRPr="00EA57A8">
              <w:rPr>
                <w:rFonts w:cs="Arial"/>
                <w:sz w:val="18"/>
                <w:szCs w:val="18"/>
              </w:rPr>
              <w:t>Activity rate</w:t>
            </w:r>
          </w:p>
        </w:tc>
        <w:tc>
          <w:tcPr>
            <w:tcW w:w="1031" w:type="dxa"/>
            <w:tcBorders>
              <w:top w:val="nil"/>
              <w:left w:val="nil"/>
              <w:bottom w:val="nil"/>
              <w:right w:val="single" w:sz="8" w:space="0" w:color="0C5498"/>
            </w:tcBorders>
            <w:shd w:val="clear" w:color="auto" w:fill="auto"/>
            <w:vAlign w:val="center"/>
          </w:tcPr>
          <w:p w:rsidR="0054237A" w:rsidRDefault="0054237A" w:rsidP="0054237A">
            <w:pPr>
              <w:jc w:val="right"/>
              <w:rPr>
                <w:rFonts w:cs="Arial"/>
                <w:color w:val="000000"/>
                <w:sz w:val="18"/>
                <w:szCs w:val="18"/>
                <w:lang w:val="en-US"/>
              </w:rPr>
            </w:pPr>
            <w:r>
              <w:rPr>
                <w:rFonts w:cs="Arial"/>
                <w:color w:val="000000"/>
                <w:sz w:val="18"/>
                <w:szCs w:val="18"/>
              </w:rPr>
              <w:t>55</w:t>
            </w:r>
            <w:r w:rsidR="00F7497D">
              <w:rPr>
                <w:rFonts w:cs="Arial"/>
                <w:color w:val="000000"/>
                <w:sz w:val="18"/>
                <w:szCs w:val="18"/>
              </w:rPr>
              <w:t>.</w:t>
            </w:r>
            <w:r>
              <w:rPr>
                <w:rFonts w:cs="Arial"/>
                <w:color w:val="000000"/>
                <w:sz w:val="18"/>
                <w:szCs w:val="18"/>
              </w:rPr>
              <w:t>5</w:t>
            </w:r>
          </w:p>
        </w:tc>
        <w:tc>
          <w:tcPr>
            <w:tcW w:w="1001" w:type="dxa"/>
            <w:tcBorders>
              <w:top w:val="nil"/>
              <w:left w:val="nil"/>
              <w:bottom w:val="nil"/>
              <w:right w:val="nil"/>
            </w:tcBorders>
            <w:shd w:val="clear" w:color="auto" w:fill="auto"/>
            <w:noWrap/>
            <w:vAlign w:val="bottom"/>
          </w:tcPr>
          <w:p w:rsidR="0054237A" w:rsidRDefault="0054237A" w:rsidP="0054237A">
            <w:pPr>
              <w:jc w:val="right"/>
              <w:rPr>
                <w:rFonts w:cs="Arial"/>
                <w:color w:val="000000"/>
                <w:sz w:val="18"/>
                <w:szCs w:val="18"/>
              </w:rPr>
            </w:pPr>
          </w:p>
        </w:tc>
        <w:tc>
          <w:tcPr>
            <w:tcW w:w="1017" w:type="dxa"/>
            <w:tcBorders>
              <w:top w:val="nil"/>
              <w:left w:val="nil"/>
              <w:bottom w:val="nil"/>
              <w:right w:val="single" w:sz="8" w:space="0" w:color="0C5498"/>
            </w:tcBorders>
            <w:shd w:val="clear" w:color="auto" w:fill="auto"/>
            <w:vAlign w:val="center"/>
          </w:tcPr>
          <w:p w:rsidR="0054237A" w:rsidRDefault="0054237A" w:rsidP="0054237A">
            <w:pPr>
              <w:jc w:val="right"/>
              <w:rPr>
                <w:rFonts w:cs="Arial"/>
                <w:color w:val="000000"/>
                <w:sz w:val="18"/>
                <w:szCs w:val="18"/>
              </w:rPr>
            </w:pPr>
            <w:r>
              <w:rPr>
                <w:rFonts w:cs="Arial"/>
                <w:color w:val="000000"/>
                <w:sz w:val="18"/>
                <w:szCs w:val="18"/>
              </w:rPr>
              <w:t>0</w:t>
            </w:r>
            <w:r w:rsidR="00F7497D">
              <w:rPr>
                <w:rFonts w:cs="Arial"/>
                <w:color w:val="000000"/>
                <w:sz w:val="18"/>
                <w:szCs w:val="18"/>
              </w:rPr>
              <w:t>.</w:t>
            </w:r>
            <w:r>
              <w:rPr>
                <w:rFonts w:cs="Arial"/>
                <w:color w:val="000000"/>
                <w:sz w:val="18"/>
                <w:szCs w:val="18"/>
              </w:rPr>
              <w:t>3</w:t>
            </w:r>
          </w:p>
        </w:tc>
        <w:tc>
          <w:tcPr>
            <w:tcW w:w="1016" w:type="dxa"/>
            <w:gridSpan w:val="2"/>
            <w:tcBorders>
              <w:top w:val="nil"/>
              <w:left w:val="nil"/>
              <w:bottom w:val="nil"/>
              <w:right w:val="nil"/>
            </w:tcBorders>
            <w:shd w:val="clear" w:color="auto" w:fill="auto"/>
            <w:noWrap/>
            <w:vAlign w:val="bottom"/>
          </w:tcPr>
          <w:p w:rsidR="0054237A" w:rsidRDefault="0054237A" w:rsidP="0054237A">
            <w:pPr>
              <w:jc w:val="right"/>
              <w:rPr>
                <w:rFonts w:cs="Arial"/>
                <w:color w:val="000000"/>
                <w:sz w:val="18"/>
                <w:szCs w:val="18"/>
              </w:rPr>
            </w:pPr>
          </w:p>
        </w:tc>
        <w:tc>
          <w:tcPr>
            <w:tcW w:w="1017" w:type="dxa"/>
            <w:tcBorders>
              <w:top w:val="nil"/>
              <w:left w:val="nil"/>
              <w:bottom w:val="nil"/>
              <w:right w:val="nil"/>
            </w:tcBorders>
            <w:shd w:val="clear" w:color="auto" w:fill="auto"/>
            <w:vAlign w:val="center"/>
          </w:tcPr>
          <w:p w:rsidR="0054237A" w:rsidRDefault="0054237A" w:rsidP="0054237A">
            <w:pPr>
              <w:jc w:val="right"/>
              <w:rPr>
                <w:rFonts w:cs="Arial"/>
                <w:color w:val="000000"/>
                <w:sz w:val="18"/>
                <w:szCs w:val="18"/>
              </w:rPr>
            </w:pPr>
            <w:r>
              <w:rPr>
                <w:rFonts w:cs="Arial"/>
                <w:color w:val="000000"/>
                <w:sz w:val="18"/>
                <w:szCs w:val="18"/>
              </w:rPr>
              <w:t>0</w:t>
            </w:r>
            <w:r w:rsidR="00F7497D">
              <w:rPr>
                <w:rFonts w:cs="Arial"/>
                <w:color w:val="000000"/>
                <w:sz w:val="18"/>
                <w:szCs w:val="18"/>
              </w:rPr>
              <w:t>.</w:t>
            </w:r>
            <w:r>
              <w:rPr>
                <w:rFonts w:cs="Arial"/>
                <w:color w:val="000000"/>
                <w:sz w:val="18"/>
                <w:szCs w:val="18"/>
              </w:rPr>
              <w:t>1</w:t>
            </w:r>
          </w:p>
        </w:tc>
      </w:tr>
      <w:tr w:rsidR="0054237A" w:rsidRPr="00EA57A8" w:rsidTr="00F7497D">
        <w:trPr>
          <w:trHeight w:val="260"/>
          <w:jc w:val="center"/>
        </w:trPr>
        <w:tc>
          <w:tcPr>
            <w:tcW w:w="3617" w:type="dxa"/>
            <w:tcBorders>
              <w:top w:val="nil"/>
              <w:bottom w:val="nil"/>
              <w:right w:val="single" w:sz="8" w:space="0" w:color="0C5498"/>
            </w:tcBorders>
            <w:shd w:val="clear" w:color="auto" w:fill="auto"/>
            <w:vAlign w:val="center"/>
            <w:hideMark/>
          </w:tcPr>
          <w:p w:rsidR="0054237A" w:rsidRPr="00EA57A8" w:rsidRDefault="0054237A" w:rsidP="0054237A">
            <w:pPr>
              <w:rPr>
                <w:rFonts w:cs="Arial"/>
                <w:sz w:val="18"/>
                <w:szCs w:val="18"/>
              </w:rPr>
            </w:pPr>
            <w:r w:rsidRPr="00EA57A8">
              <w:rPr>
                <w:rFonts w:cs="Arial"/>
                <w:sz w:val="18"/>
                <w:szCs w:val="18"/>
              </w:rPr>
              <w:t>Employment rate</w:t>
            </w:r>
          </w:p>
        </w:tc>
        <w:tc>
          <w:tcPr>
            <w:tcW w:w="1031" w:type="dxa"/>
            <w:tcBorders>
              <w:top w:val="nil"/>
              <w:left w:val="nil"/>
              <w:bottom w:val="nil"/>
              <w:right w:val="single" w:sz="8" w:space="0" w:color="0C5498"/>
            </w:tcBorders>
            <w:shd w:val="clear" w:color="auto" w:fill="auto"/>
            <w:vAlign w:val="center"/>
          </w:tcPr>
          <w:p w:rsidR="0054237A" w:rsidRDefault="0054237A" w:rsidP="0054237A">
            <w:pPr>
              <w:jc w:val="right"/>
              <w:rPr>
                <w:rFonts w:cs="Arial"/>
                <w:color w:val="000000"/>
                <w:sz w:val="18"/>
                <w:szCs w:val="18"/>
              </w:rPr>
            </w:pPr>
            <w:r>
              <w:rPr>
                <w:rFonts w:cs="Arial"/>
                <w:color w:val="000000"/>
                <w:sz w:val="18"/>
                <w:szCs w:val="18"/>
              </w:rPr>
              <w:t>49</w:t>
            </w:r>
            <w:r w:rsidR="00F7497D">
              <w:rPr>
                <w:rFonts w:cs="Arial"/>
                <w:color w:val="000000"/>
                <w:sz w:val="18"/>
                <w:szCs w:val="18"/>
              </w:rPr>
              <w:t>.</w:t>
            </w:r>
            <w:r>
              <w:rPr>
                <w:rFonts w:cs="Arial"/>
                <w:color w:val="000000"/>
                <w:sz w:val="18"/>
                <w:szCs w:val="18"/>
              </w:rPr>
              <w:t>2</w:t>
            </w:r>
          </w:p>
        </w:tc>
        <w:tc>
          <w:tcPr>
            <w:tcW w:w="1001" w:type="dxa"/>
            <w:tcBorders>
              <w:top w:val="nil"/>
              <w:left w:val="nil"/>
              <w:bottom w:val="nil"/>
              <w:right w:val="nil"/>
            </w:tcBorders>
            <w:shd w:val="clear" w:color="auto" w:fill="auto"/>
            <w:noWrap/>
            <w:vAlign w:val="bottom"/>
          </w:tcPr>
          <w:p w:rsidR="0054237A" w:rsidRDefault="0054237A" w:rsidP="0054237A">
            <w:pPr>
              <w:jc w:val="right"/>
              <w:rPr>
                <w:rFonts w:cs="Arial"/>
                <w:color w:val="000000"/>
                <w:sz w:val="18"/>
                <w:szCs w:val="18"/>
              </w:rPr>
            </w:pPr>
          </w:p>
        </w:tc>
        <w:tc>
          <w:tcPr>
            <w:tcW w:w="1017" w:type="dxa"/>
            <w:tcBorders>
              <w:top w:val="nil"/>
              <w:left w:val="nil"/>
              <w:bottom w:val="nil"/>
              <w:right w:val="single" w:sz="8" w:space="0" w:color="0C5498"/>
            </w:tcBorders>
            <w:shd w:val="clear" w:color="auto" w:fill="auto"/>
            <w:noWrap/>
            <w:vAlign w:val="center"/>
          </w:tcPr>
          <w:p w:rsidR="0054237A" w:rsidRDefault="0054237A" w:rsidP="0054237A">
            <w:pPr>
              <w:jc w:val="right"/>
              <w:rPr>
                <w:rFonts w:cs="Arial"/>
                <w:color w:val="000000"/>
                <w:sz w:val="18"/>
                <w:szCs w:val="18"/>
              </w:rPr>
            </w:pPr>
            <w:r>
              <w:rPr>
                <w:rFonts w:cs="Arial"/>
                <w:color w:val="000000"/>
                <w:sz w:val="18"/>
                <w:szCs w:val="18"/>
              </w:rPr>
              <w:t>0</w:t>
            </w:r>
            <w:r w:rsidR="00F7497D">
              <w:rPr>
                <w:rFonts w:cs="Arial"/>
                <w:color w:val="000000"/>
                <w:sz w:val="18"/>
                <w:szCs w:val="18"/>
              </w:rPr>
              <w:t>.</w:t>
            </w:r>
            <w:r>
              <w:rPr>
                <w:rFonts w:cs="Arial"/>
                <w:color w:val="000000"/>
                <w:sz w:val="18"/>
                <w:szCs w:val="18"/>
              </w:rPr>
              <w:t>6</w:t>
            </w:r>
          </w:p>
        </w:tc>
        <w:tc>
          <w:tcPr>
            <w:tcW w:w="1016" w:type="dxa"/>
            <w:gridSpan w:val="2"/>
            <w:tcBorders>
              <w:top w:val="nil"/>
              <w:left w:val="nil"/>
              <w:bottom w:val="nil"/>
              <w:right w:val="nil"/>
            </w:tcBorders>
            <w:shd w:val="clear" w:color="auto" w:fill="auto"/>
            <w:noWrap/>
            <w:vAlign w:val="bottom"/>
          </w:tcPr>
          <w:p w:rsidR="0054237A" w:rsidRDefault="0054237A" w:rsidP="0054237A">
            <w:pPr>
              <w:jc w:val="right"/>
              <w:rPr>
                <w:rFonts w:cs="Arial"/>
                <w:color w:val="000000"/>
                <w:sz w:val="18"/>
                <w:szCs w:val="18"/>
              </w:rPr>
            </w:pPr>
          </w:p>
        </w:tc>
        <w:tc>
          <w:tcPr>
            <w:tcW w:w="1017" w:type="dxa"/>
            <w:tcBorders>
              <w:top w:val="nil"/>
              <w:left w:val="nil"/>
              <w:bottom w:val="nil"/>
              <w:right w:val="nil"/>
            </w:tcBorders>
            <w:shd w:val="clear" w:color="auto" w:fill="auto"/>
            <w:noWrap/>
            <w:vAlign w:val="center"/>
          </w:tcPr>
          <w:p w:rsidR="0054237A" w:rsidRDefault="0054237A" w:rsidP="0054237A">
            <w:pPr>
              <w:jc w:val="right"/>
              <w:rPr>
                <w:rFonts w:cs="Arial"/>
                <w:color w:val="000000"/>
                <w:sz w:val="18"/>
                <w:szCs w:val="18"/>
              </w:rPr>
            </w:pPr>
            <w:r>
              <w:rPr>
                <w:rFonts w:cs="Arial"/>
                <w:color w:val="000000"/>
                <w:sz w:val="18"/>
                <w:szCs w:val="18"/>
              </w:rPr>
              <w:t>1</w:t>
            </w:r>
            <w:r w:rsidR="00F7497D">
              <w:rPr>
                <w:rFonts w:cs="Arial"/>
                <w:color w:val="000000"/>
                <w:sz w:val="18"/>
                <w:szCs w:val="18"/>
              </w:rPr>
              <w:t>.</w:t>
            </w:r>
            <w:r>
              <w:rPr>
                <w:rFonts w:cs="Arial"/>
                <w:color w:val="000000"/>
                <w:sz w:val="18"/>
                <w:szCs w:val="18"/>
              </w:rPr>
              <w:t>0</w:t>
            </w:r>
          </w:p>
        </w:tc>
      </w:tr>
      <w:tr w:rsidR="0054237A" w:rsidRPr="00EA57A8" w:rsidTr="00F7497D">
        <w:trPr>
          <w:trHeight w:val="260"/>
          <w:jc w:val="center"/>
        </w:trPr>
        <w:tc>
          <w:tcPr>
            <w:tcW w:w="3617" w:type="dxa"/>
            <w:tcBorders>
              <w:top w:val="nil"/>
              <w:bottom w:val="nil"/>
              <w:right w:val="single" w:sz="8" w:space="0" w:color="0C5498"/>
            </w:tcBorders>
            <w:shd w:val="clear" w:color="auto" w:fill="auto"/>
            <w:vAlign w:val="center"/>
            <w:hideMark/>
          </w:tcPr>
          <w:p w:rsidR="0054237A" w:rsidRPr="00EA57A8" w:rsidRDefault="0054237A" w:rsidP="0054237A">
            <w:pPr>
              <w:rPr>
                <w:rFonts w:cs="Arial"/>
                <w:color w:val="000000"/>
                <w:sz w:val="18"/>
                <w:szCs w:val="18"/>
              </w:rPr>
            </w:pPr>
            <w:r w:rsidRPr="00EA57A8">
              <w:rPr>
                <w:rFonts w:cs="Arial"/>
                <w:color w:val="000000"/>
                <w:sz w:val="18"/>
                <w:szCs w:val="18"/>
              </w:rPr>
              <w:t xml:space="preserve">    Informal employment rate</w:t>
            </w:r>
          </w:p>
        </w:tc>
        <w:tc>
          <w:tcPr>
            <w:tcW w:w="1031" w:type="dxa"/>
            <w:tcBorders>
              <w:top w:val="nil"/>
              <w:left w:val="nil"/>
              <w:bottom w:val="nil"/>
              <w:right w:val="single" w:sz="8" w:space="0" w:color="0C5498"/>
            </w:tcBorders>
            <w:shd w:val="clear" w:color="auto" w:fill="auto"/>
            <w:noWrap/>
            <w:vAlign w:val="center"/>
          </w:tcPr>
          <w:p w:rsidR="0054237A" w:rsidRDefault="0054237A" w:rsidP="0054237A">
            <w:pPr>
              <w:jc w:val="right"/>
              <w:rPr>
                <w:rFonts w:cs="Arial"/>
                <w:color w:val="000000"/>
                <w:sz w:val="18"/>
                <w:szCs w:val="18"/>
              </w:rPr>
            </w:pPr>
            <w:r>
              <w:rPr>
                <w:rFonts w:cs="Arial"/>
                <w:color w:val="000000"/>
                <w:sz w:val="18"/>
                <w:szCs w:val="18"/>
              </w:rPr>
              <w:t>20</w:t>
            </w:r>
            <w:r w:rsidR="00F7497D">
              <w:rPr>
                <w:rFonts w:cs="Arial"/>
                <w:color w:val="000000"/>
                <w:sz w:val="18"/>
                <w:szCs w:val="18"/>
              </w:rPr>
              <w:t>.</w:t>
            </w:r>
            <w:r>
              <w:rPr>
                <w:rFonts w:cs="Arial"/>
                <w:color w:val="000000"/>
                <w:sz w:val="18"/>
                <w:szCs w:val="18"/>
              </w:rPr>
              <w:t>4</w:t>
            </w:r>
          </w:p>
        </w:tc>
        <w:tc>
          <w:tcPr>
            <w:tcW w:w="1001" w:type="dxa"/>
            <w:tcBorders>
              <w:top w:val="nil"/>
              <w:left w:val="nil"/>
              <w:bottom w:val="nil"/>
              <w:right w:val="nil"/>
            </w:tcBorders>
            <w:shd w:val="clear" w:color="auto" w:fill="auto"/>
            <w:noWrap/>
            <w:vAlign w:val="center"/>
          </w:tcPr>
          <w:p w:rsidR="0054237A" w:rsidRDefault="0054237A" w:rsidP="0054237A">
            <w:pPr>
              <w:jc w:val="right"/>
              <w:rPr>
                <w:rFonts w:cs="Arial"/>
                <w:color w:val="000000"/>
                <w:sz w:val="18"/>
                <w:szCs w:val="18"/>
              </w:rPr>
            </w:pPr>
          </w:p>
        </w:tc>
        <w:tc>
          <w:tcPr>
            <w:tcW w:w="1017" w:type="dxa"/>
            <w:tcBorders>
              <w:top w:val="nil"/>
              <w:left w:val="nil"/>
              <w:bottom w:val="nil"/>
              <w:right w:val="single" w:sz="8" w:space="0" w:color="0C5498"/>
            </w:tcBorders>
            <w:shd w:val="clear" w:color="auto" w:fill="auto"/>
            <w:noWrap/>
            <w:vAlign w:val="center"/>
          </w:tcPr>
          <w:p w:rsidR="0054237A" w:rsidRDefault="0054237A" w:rsidP="0054237A">
            <w:pPr>
              <w:jc w:val="right"/>
              <w:rPr>
                <w:rFonts w:cs="Arial"/>
                <w:color w:val="000000"/>
                <w:sz w:val="18"/>
                <w:szCs w:val="18"/>
              </w:rPr>
            </w:pPr>
            <w:r>
              <w:rPr>
                <w:rFonts w:cs="Arial"/>
                <w:color w:val="000000"/>
                <w:sz w:val="18"/>
                <w:szCs w:val="18"/>
              </w:rPr>
              <w:t>-0</w:t>
            </w:r>
            <w:r w:rsidR="00F7497D">
              <w:rPr>
                <w:rFonts w:cs="Arial"/>
                <w:color w:val="000000"/>
                <w:sz w:val="18"/>
                <w:szCs w:val="18"/>
              </w:rPr>
              <w:t>.</w:t>
            </w:r>
            <w:r>
              <w:rPr>
                <w:rFonts w:cs="Arial"/>
                <w:color w:val="000000"/>
                <w:sz w:val="18"/>
                <w:szCs w:val="18"/>
              </w:rPr>
              <w:t>5</w:t>
            </w:r>
          </w:p>
        </w:tc>
        <w:tc>
          <w:tcPr>
            <w:tcW w:w="1016" w:type="dxa"/>
            <w:gridSpan w:val="2"/>
            <w:tcBorders>
              <w:top w:val="nil"/>
              <w:left w:val="nil"/>
              <w:bottom w:val="nil"/>
              <w:right w:val="nil"/>
            </w:tcBorders>
            <w:shd w:val="clear" w:color="auto" w:fill="auto"/>
            <w:noWrap/>
            <w:vAlign w:val="center"/>
          </w:tcPr>
          <w:p w:rsidR="0054237A" w:rsidRDefault="0054237A" w:rsidP="0054237A">
            <w:pPr>
              <w:jc w:val="right"/>
              <w:rPr>
                <w:rFonts w:cs="Arial"/>
                <w:color w:val="000000"/>
                <w:sz w:val="18"/>
                <w:szCs w:val="18"/>
              </w:rPr>
            </w:pPr>
          </w:p>
        </w:tc>
        <w:tc>
          <w:tcPr>
            <w:tcW w:w="1017" w:type="dxa"/>
            <w:tcBorders>
              <w:top w:val="nil"/>
              <w:left w:val="nil"/>
              <w:bottom w:val="nil"/>
              <w:right w:val="nil"/>
            </w:tcBorders>
            <w:shd w:val="clear" w:color="auto" w:fill="auto"/>
            <w:noWrap/>
            <w:vAlign w:val="center"/>
          </w:tcPr>
          <w:p w:rsidR="0054237A" w:rsidRDefault="0054237A" w:rsidP="0054237A">
            <w:pPr>
              <w:jc w:val="right"/>
              <w:rPr>
                <w:rFonts w:cs="Arial"/>
                <w:color w:val="000000"/>
                <w:sz w:val="18"/>
                <w:szCs w:val="18"/>
              </w:rPr>
            </w:pPr>
            <w:r>
              <w:rPr>
                <w:rFonts w:cs="Arial"/>
                <w:color w:val="000000"/>
                <w:sz w:val="18"/>
                <w:szCs w:val="18"/>
              </w:rPr>
              <w:t>-1</w:t>
            </w:r>
            <w:r w:rsidR="00F7497D">
              <w:rPr>
                <w:rFonts w:cs="Arial"/>
                <w:color w:val="000000"/>
                <w:sz w:val="18"/>
                <w:szCs w:val="18"/>
              </w:rPr>
              <w:t>.</w:t>
            </w:r>
            <w:r>
              <w:rPr>
                <w:rFonts w:cs="Arial"/>
                <w:color w:val="000000"/>
                <w:sz w:val="18"/>
                <w:szCs w:val="18"/>
              </w:rPr>
              <w:t>4</w:t>
            </w:r>
          </w:p>
        </w:tc>
      </w:tr>
      <w:tr w:rsidR="0054237A" w:rsidRPr="00EA57A8" w:rsidTr="00F7497D">
        <w:trPr>
          <w:trHeight w:val="260"/>
          <w:jc w:val="center"/>
        </w:trPr>
        <w:tc>
          <w:tcPr>
            <w:tcW w:w="3617" w:type="dxa"/>
            <w:tcBorders>
              <w:top w:val="nil"/>
              <w:bottom w:val="nil"/>
              <w:right w:val="single" w:sz="8" w:space="0" w:color="0C5498"/>
            </w:tcBorders>
            <w:shd w:val="clear" w:color="auto" w:fill="auto"/>
            <w:vAlign w:val="center"/>
            <w:hideMark/>
          </w:tcPr>
          <w:p w:rsidR="0054237A" w:rsidRPr="00EA57A8" w:rsidRDefault="0054237A" w:rsidP="0054237A">
            <w:pPr>
              <w:rPr>
                <w:rFonts w:cs="Arial"/>
                <w:color w:val="000000"/>
                <w:sz w:val="18"/>
                <w:szCs w:val="18"/>
              </w:rPr>
            </w:pPr>
            <w:r w:rsidRPr="00EA57A8">
              <w:rPr>
                <w:rFonts w:cs="Arial"/>
                <w:color w:val="000000"/>
                <w:sz w:val="18"/>
                <w:szCs w:val="18"/>
              </w:rPr>
              <w:t>Unemployment rate</w:t>
            </w:r>
          </w:p>
        </w:tc>
        <w:tc>
          <w:tcPr>
            <w:tcW w:w="1031" w:type="dxa"/>
            <w:tcBorders>
              <w:top w:val="nil"/>
              <w:left w:val="nil"/>
              <w:bottom w:val="nil"/>
              <w:right w:val="single" w:sz="8" w:space="0" w:color="0C5498"/>
            </w:tcBorders>
            <w:shd w:val="clear" w:color="auto" w:fill="auto"/>
            <w:vAlign w:val="center"/>
          </w:tcPr>
          <w:p w:rsidR="0054237A" w:rsidRDefault="0054237A" w:rsidP="0054237A">
            <w:pPr>
              <w:jc w:val="right"/>
              <w:rPr>
                <w:rFonts w:cs="Arial"/>
                <w:color w:val="000000"/>
                <w:sz w:val="18"/>
                <w:szCs w:val="18"/>
              </w:rPr>
            </w:pPr>
            <w:r>
              <w:rPr>
                <w:rFonts w:cs="Arial"/>
                <w:color w:val="000000"/>
                <w:sz w:val="18"/>
                <w:szCs w:val="18"/>
              </w:rPr>
              <w:t>11</w:t>
            </w:r>
            <w:r w:rsidR="00F7497D">
              <w:rPr>
                <w:rFonts w:cs="Arial"/>
                <w:color w:val="000000"/>
                <w:sz w:val="18"/>
                <w:szCs w:val="18"/>
              </w:rPr>
              <w:t>.</w:t>
            </w:r>
            <w:r>
              <w:rPr>
                <w:rFonts w:cs="Arial"/>
                <w:color w:val="000000"/>
                <w:sz w:val="18"/>
                <w:szCs w:val="18"/>
              </w:rPr>
              <w:t>3</w:t>
            </w:r>
          </w:p>
        </w:tc>
        <w:tc>
          <w:tcPr>
            <w:tcW w:w="1001" w:type="dxa"/>
            <w:tcBorders>
              <w:top w:val="nil"/>
              <w:left w:val="nil"/>
              <w:bottom w:val="nil"/>
              <w:right w:val="nil"/>
            </w:tcBorders>
            <w:shd w:val="clear" w:color="auto" w:fill="auto"/>
            <w:noWrap/>
            <w:vAlign w:val="bottom"/>
          </w:tcPr>
          <w:p w:rsidR="0054237A" w:rsidRDefault="0054237A" w:rsidP="0054237A">
            <w:pPr>
              <w:jc w:val="right"/>
              <w:rPr>
                <w:rFonts w:cs="Arial"/>
                <w:color w:val="000000"/>
                <w:sz w:val="18"/>
                <w:szCs w:val="18"/>
              </w:rPr>
            </w:pPr>
          </w:p>
        </w:tc>
        <w:tc>
          <w:tcPr>
            <w:tcW w:w="1017" w:type="dxa"/>
            <w:tcBorders>
              <w:top w:val="nil"/>
              <w:left w:val="nil"/>
              <w:bottom w:val="nil"/>
              <w:right w:val="single" w:sz="8" w:space="0" w:color="0C5498"/>
            </w:tcBorders>
            <w:shd w:val="clear" w:color="auto" w:fill="auto"/>
            <w:noWrap/>
            <w:vAlign w:val="center"/>
          </w:tcPr>
          <w:p w:rsidR="0054237A" w:rsidRDefault="0054237A" w:rsidP="0054237A">
            <w:pPr>
              <w:jc w:val="right"/>
              <w:rPr>
                <w:rFonts w:cs="Arial"/>
                <w:color w:val="000000"/>
                <w:sz w:val="18"/>
                <w:szCs w:val="18"/>
              </w:rPr>
            </w:pPr>
            <w:r>
              <w:rPr>
                <w:rFonts w:cs="Arial"/>
                <w:color w:val="000000"/>
                <w:sz w:val="18"/>
                <w:szCs w:val="18"/>
              </w:rPr>
              <w:t>-0</w:t>
            </w:r>
            <w:r w:rsidR="00F7497D">
              <w:rPr>
                <w:rFonts w:cs="Arial"/>
                <w:color w:val="000000"/>
                <w:sz w:val="18"/>
                <w:szCs w:val="18"/>
              </w:rPr>
              <w:t>.</w:t>
            </w:r>
            <w:r>
              <w:rPr>
                <w:rFonts w:cs="Arial"/>
                <w:color w:val="000000"/>
                <w:sz w:val="18"/>
                <w:szCs w:val="18"/>
              </w:rPr>
              <w:t>6</w:t>
            </w:r>
          </w:p>
        </w:tc>
        <w:tc>
          <w:tcPr>
            <w:tcW w:w="1016" w:type="dxa"/>
            <w:gridSpan w:val="2"/>
            <w:tcBorders>
              <w:top w:val="nil"/>
              <w:left w:val="nil"/>
              <w:bottom w:val="nil"/>
              <w:right w:val="nil"/>
            </w:tcBorders>
            <w:shd w:val="clear" w:color="auto" w:fill="auto"/>
            <w:noWrap/>
            <w:vAlign w:val="bottom"/>
          </w:tcPr>
          <w:p w:rsidR="0054237A" w:rsidRDefault="0054237A" w:rsidP="0054237A">
            <w:pPr>
              <w:jc w:val="right"/>
              <w:rPr>
                <w:rFonts w:cs="Arial"/>
                <w:color w:val="000000"/>
                <w:sz w:val="18"/>
                <w:szCs w:val="18"/>
              </w:rPr>
            </w:pPr>
          </w:p>
        </w:tc>
        <w:tc>
          <w:tcPr>
            <w:tcW w:w="1017" w:type="dxa"/>
            <w:tcBorders>
              <w:top w:val="nil"/>
              <w:left w:val="nil"/>
              <w:bottom w:val="nil"/>
              <w:right w:val="nil"/>
            </w:tcBorders>
            <w:shd w:val="clear" w:color="auto" w:fill="auto"/>
            <w:noWrap/>
            <w:vAlign w:val="center"/>
          </w:tcPr>
          <w:p w:rsidR="0054237A" w:rsidRDefault="0054237A" w:rsidP="0054237A">
            <w:pPr>
              <w:jc w:val="right"/>
              <w:rPr>
                <w:rFonts w:cs="Arial"/>
                <w:color w:val="000000"/>
                <w:sz w:val="18"/>
                <w:szCs w:val="18"/>
              </w:rPr>
            </w:pPr>
            <w:r>
              <w:rPr>
                <w:rFonts w:cs="Arial"/>
                <w:color w:val="000000"/>
                <w:sz w:val="18"/>
                <w:szCs w:val="18"/>
              </w:rPr>
              <w:t>-1</w:t>
            </w:r>
            <w:r w:rsidR="00F7497D">
              <w:rPr>
                <w:rFonts w:cs="Arial"/>
                <w:color w:val="000000"/>
                <w:sz w:val="18"/>
                <w:szCs w:val="18"/>
              </w:rPr>
              <w:t>.</w:t>
            </w:r>
            <w:r>
              <w:rPr>
                <w:rFonts w:cs="Arial"/>
                <w:color w:val="000000"/>
                <w:sz w:val="18"/>
                <w:szCs w:val="18"/>
              </w:rPr>
              <w:t>7</w:t>
            </w:r>
          </w:p>
        </w:tc>
      </w:tr>
      <w:tr w:rsidR="0054237A" w:rsidRPr="00EA57A8" w:rsidTr="00F7497D">
        <w:trPr>
          <w:trHeight w:val="273"/>
          <w:jc w:val="center"/>
        </w:trPr>
        <w:tc>
          <w:tcPr>
            <w:tcW w:w="3617" w:type="dxa"/>
            <w:tcBorders>
              <w:top w:val="nil"/>
              <w:right w:val="single" w:sz="8" w:space="0" w:color="0C5498"/>
            </w:tcBorders>
            <w:shd w:val="clear" w:color="auto" w:fill="auto"/>
            <w:vAlign w:val="center"/>
            <w:hideMark/>
          </w:tcPr>
          <w:p w:rsidR="0054237A" w:rsidRPr="00EA57A8" w:rsidRDefault="0054237A" w:rsidP="0054237A">
            <w:pPr>
              <w:rPr>
                <w:rFonts w:cs="Arial"/>
                <w:color w:val="000000"/>
                <w:sz w:val="18"/>
                <w:szCs w:val="18"/>
              </w:rPr>
            </w:pPr>
            <w:r w:rsidRPr="00EA57A8">
              <w:rPr>
                <w:rFonts w:cs="Arial"/>
                <w:color w:val="000000"/>
                <w:sz w:val="18"/>
                <w:szCs w:val="18"/>
              </w:rPr>
              <w:t>Inactivity rate</w:t>
            </w:r>
          </w:p>
        </w:tc>
        <w:tc>
          <w:tcPr>
            <w:tcW w:w="1031" w:type="dxa"/>
            <w:tcBorders>
              <w:top w:val="nil"/>
              <w:left w:val="nil"/>
              <w:bottom w:val="nil"/>
              <w:right w:val="single" w:sz="8" w:space="0" w:color="0C5498"/>
            </w:tcBorders>
            <w:shd w:val="clear" w:color="auto" w:fill="auto"/>
            <w:vAlign w:val="center"/>
          </w:tcPr>
          <w:p w:rsidR="0054237A" w:rsidRDefault="0054237A" w:rsidP="0054237A">
            <w:pPr>
              <w:jc w:val="right"/>
              <w:rPr>
                <w:rFonts w:cs="Arial"/>
                <w:color w:val="000000"/>
                <w:sz w:val="18"/>
                <w:szCs w:val="18"/>
              </w:rPr>
            </w:pPr>
            <w:r>
              <w:rPr>
                <w:rFonts w:cs="Arial"/>
                <w:color w:val="000000"/>
                <w:sz w:val="18"/>
                <w:szCs w:val="18"/>
              </w:rPr>
              <w:t>44</w:t>
            </w:r>
            <w:r w:rsidR="00F7497D">
              <w:rPr>
                <w:rFonts w:cs="Arial"/>
                <w:color w:val="000000"/>
                <w:sz w:val="18"/>
                <w:szCs w:val="18"/>
              </w:rPr>
              <w:t>.</w:t>
            </w:r>
            <w:r>
              <w:rPr>
                <w:rFonts w:cs="Arial"/>
                <w:color w:val="000000"/>
                <w:sz w:val="18"/>
                <w:szCs w:val="18"/>
              </w:rPr>
              <w:t>5</w:t>
            </w:r>
          </w:p>
        </w:tc>
        <w:tc>
          <w:tcPr>
            <w:tcW w:w="1001" w:type="dxa"/>
            <w:tcBorders>
              <w:top w:val="nil"/>
              <w:left w:val="nil"/>
              <w:bottom w:val="nil"/>
              <w:right w:val="nil"/>
            </w:tcBorders>
            <w:shd w:val="clear" w:color="auto" w:fill="auto"/>
            <w:noWrap/>
            <w:vAlign w:val="center"/>
          </w:tcPr>
          <w:p w:rsidR="0054237A" w:rsidRDefault="0054237A" w:rsidP="0054237A">
            <w:pPr>
              <w:jc w:val="right"/>
              <w:rPr>
                <w:rFonts w:cs="Arial"/>
                <w:color w:val="000000"/>
                <w:sz w:val="18"/>
                <w:szCs w:val="18"/>
              </w:rPr>
            </w:pPr>
          </w:p>
        </w:tc>
        <w:tc>
          <w:tcPr>
            <w:tcW w:w="1017" w:type="dxa"/>
            <w:tcBorders>
              <w:top w:val="nil"/>
              <w:left w:val="nil"/>
              <w:bottom w:val="nil"/>
              <w:right w:val="single" w:sz="8" w:space="0" w:color="0C5498"/>
            </w:tcBorders>
            <w:shd w:val="clear" w:color="auto" w:fill="auto"/>
            <w:vAlign w:val="center"/>
          </w:tcPr>
          <w:p w:rsidR="0054237A" w:rsidRDefault="0054237A" w:rsidP="0054237A">
            <w:pPr>
              <w:jc w:val="right"/>
              <w:rPr>
                <w:rFonts w:cs="Arial"/>
                <w:color w:val="000000"/>
                <w:sz w:val="18"/>
                <w:szCs w:val="18"/>
              </w:rPr>
            </w:pPr>
            <w:r>
              <w:rPr>
                <w:rFonts w:cs="Arial"/>
                <w:color w:val="000000"/>
                <w:sz w:val="18"/>
                <w:szCs w:val="18"/>
              </w:rPr>
              <w:t>-0</w:t>
            </w:r>
            <w:r w:rsidR="00F7497D">
              <w:rPr>
                <w:rFonts w:cs="Arial"/>
                <w:color w:val="000000"/>
                <w:sz w:val="18"/>
                <w:szCs w:val="18"/>
              </w:rPr>
              <w:t>.</w:t>
            </w:r>
            <w:r>
              <w:rPr>
                <w:rFonts w:cs="Arial"/>
                <w:color w:val="000000"/>
                <w:sz w:val="18"/>
                <w:szCs w:val="18"/>
              </w:rPr>
              <w:t>3</w:t>
            </w:r>
          </w:p>
        </w:tc>
        <w:tc>
          <w:tcPr>
            <w:tcW w:w="1016" w:type="dxa"/>
            <w:gridSpan w:val="2"/>
            <w:tcBorders>
              <w:top w:val="nil"/>
              <w:left w:val="nil"/>
              <w:bottom w:val="nil"/>
              <w:right w:val="nil"/>
            </w:tcBorders>
            <w:shd w:val="clear" w:color="auto" w:fill="auto"/>
            <w:noWrap/>
            <w:vAlign w:val="center"/>
          </w:tcPr>
          <w:p w:rsidR="0054237A" w:rsidRDefault="0054237A" w:rsidP="0054237A">
            <w:pPr>
              <w:jc w:val="right"/>
              <w:rPr>
                <w:rFonts w:cs="Arial"/>
                <w:color w:val="000000"/>
                <w:sz w:val="18"/>
                <w:szCs w:val="18"/>
              </w:rPr>
            </w:pPr>
          </w:p>
        </w:tc>
        <w:tc>
          <w:tcPr>
            <w:tcW w:w="1017" w:type="dxa"/>
            <w:tcBorders>
              <w:top w:val="nil"/>
              <w:left w:val="nil"/>
              <w:bottom w:val="nil"/>
              <w:right w:val="nil"/>
            </w:tcBorders>
            <w:shd w:val="clear" w:color="auto" w:fill="auto"/>
            <w:vAlign w:val="center"/>
          </w:tcPr>
          <w:p w:rsidR="0054237A" w:rsidRDefault="0054237A" w:rsidP="0054237A">
            <w:pPr>
              <w:jc w:val="right"/>
              <w:rPr>
                <w:rFonts w:cs="Arial"/>
                <w:color w:val="000000"/>
                <w:sz w:val="18"/>
                <w:szCs w:val="18"/>
              </w:rPr>
            </w:pPr>
            <w:r>
              <w:rPr>
                <w:rFonts w:cs="Arial"/>
                <w:color w:val="000000"/>
                <w:sz w:val="18"/>
                <w:szCs w:val="18"/>
              </w:rPr>
              <w:t>-0</w:t>
            </w:r>
            <w:r w:rsidR="00F7497D">
              <w:rPr>
                <w:rFonts w:cs="Arial"/>
                <w:color w:val="000000"/>
                <w:sz w:val="18"/>
                <w:szCs w:val="18"/>
              </w:rPr>
              <w:t>.</w:t>
            </w:r>
            <w:r>
              <w:rPr>
                <w:rFonts w:cs="Arial"/>
                <w:color w:val="000000"/>
                <w:sz w:val="18"/>
                <w:szCs w:val="18"/>
              </w:rPr>
              <w:t>1</w:t>
            </w:r>
          </w:p>
        </w:tc>
      </w:tr>
    </w:tbl>
    <w:p w:rsidR="009E3604" w:rsidRPr="00EA57A8" w:rsidRDefault="009E3604" w:rsidP="00AE1A0C">
      <w:pPr>
        <w:spacing w:before="480" w:after="120" w:line="264" w:lineRule="auto"/>
        <w:ind w:firstLine="397"/>
        <w:jc w:val="both"/>
        <w:rPr>
          <w:rFonts w:cs="Arial"/>
        </w:rPr>
      </w:pPr>
      <w:r w:rsidRPr="00EA57A8">
        <w:rPr>
          <w:rFonts w:cs="Arial"/>
        </w:rPr>
        <w:t>In the third quarter 2018, the Survey was conducted on the sample of 15 859 households, out of which 12 250 households, i.e. 28 706 persons aged 15 and over were interviewed.</w:t>
      </w:r>
    </w:p>
    <w:p w:rsidR="0056288F" w:rsidRPr="00EA57A8" w:rsidRDefault="009E3604" w:rsidP="00AE1A0C">
      <w:pPr>
        <w:spacing w:before="240" w:after="120" w:line="264" w:lineRule="auto"/>
        <w:ind w:firstLine="397"/>
        <w:jc w:val="both"/>
        <w:rPr>
          <w:rFonts w:cs="Arial"/>
          <w:b/>
        </w:rPr>
      </w:pPr>
      <w:proofErr w:type="gramStart"/>
      <w:r w:rsidRPr="00EA57A8">
        <w:rPr>
          <w:rFonts w:cs="Arial"/>
        </w:rPr>
        <w:t>More detailed data</w:t>
      </w:r>
      <w:proofErr w:type="gramEnd"/>
      <w:r w:rsidRPr="00EA57A8">
        <w:rPr>
          <w:rFonts w:cs="Arial"/>
        </w:rPr>
        <w:t xml:space="preserve"> can be obtained in the tables that are part of the Statistical Release on Labour Force Survey for the </w:t>
      </w:r>
      <w:r w:rsidR="0056288F" w:rsidRPr="00EA57A8">
        <w:rPr>
          <w:rFonts w:cs="Arial"/>
        </w:rPr>
        <w:t>third</w:t>
      </w:r>
      <w:r w:rsidRPr="00EA57A8">
        <w:rPr>
          <w:rFonts w:cs="Arial"/>
        </w:rPr>
        <w:t xml:space="preserve"> quarter 2018 (RS10), on the address</w:t>
      </w:r>
      <w:r w:rsidRPr="00F7497D">
        <w:rPr>
          <w:rFonts w:cs="Arial"/>
        </w:rPr>
        <w:t>:</w:t>
      </w:r>
      <w:r w:rsidR="0056288F" w:rsidRPr="00F7497D">
        <w:rPr>
          <w:rFonts w:cs="Arial"/>
        </w:rPr>
        <w:t xml:space="preserve"> </w:t>
      </w:r>
      <w:hyperlink r:id="rId10" w:history="1">
        <w:r w:rsidR="00BA28CA" w:rsidRPr="00044AB1">
          <w:rPr>
            <w:rStyle w:val="Hyperlink"/>
            <w:rFonts w:cs="Arial"/>
          </w:rPr>
          <w:t>http://publikacije.stat.gov.rs/G2018/XlsE/G20181328.xlsx</w:t>
        </w:r>
      </w:hyperlink>
      <w:r w:rsidR="0056288F" w:rsidRPr="00F7497D">
        <w:rPr>
          <w:rFonts w:cs="Arial"/>
        </w:rPr>
        <w:t>.</w:t>
      </w:r>
    </w:p>
    <w:p w:rsidR="000F4A7D" w:rsidRPr="00B84327" w:rsidRDefault="00A73B1F" w:rsidP="00AE1A0C">
      <w:pPr>
        <w:spacing w:before="480" w:after="120" w:line="264" w:lineRule="auto"/>
        <w:jc w:val="center"/>
        <w:rPr>
          <w:rFonts w:cs="Arial"/>
          <w:b/>
          <w:lang w:val="en-US"/>
        </w:rPr>
      </w:pPr>
      <w:r w:rsidRPr="00EA57A8">
        <w:rPr>
          <w:rFonts w:cs="Arial"/>
          <w:b/>
        </w:rPr>
        <w:t>Methodological notes</w:t>
      </w:r>
    </w:p>
    <w:p w:rsidR="00331733" w:rsidRPr="00EA57A8" w:rsidRDefault="00C50458" w:rsidP="00F7497D">
      <w:pPr>
        <w:pStyle w:val="NormalWeb"/>
        <w:spacing w:beforeLines="0" w:before="240" w:afterLines="0" w:after="120" w:line="264" w:lineRule="auto"/>
        <w:ind w:firstLine="403"/>
        <w:jc w:val="both"/>
        <w:rPr>
          <w:rFonts w:ascii="Arial" w:hAnsi="Arial" w:cs="Arial"/>
          <w:lang w:val="en-GB"/>
        </w:rPr>
      </w:pPr>
      <w:r w:rsidRPr="00EA57A8">
        <w:rPr>
          <w:rFonts w:ascii="Arial" w:hAnsi="Arial" w:cs="Arial"/>
          <w:lang w:val="en-GB"/>
        </w:rPr>
        <w:t xml:space="preserve">Labour Force Survey (LFS) is the most complex and the only internationally comparable instrument for labour trends monitoring, registering demographic and socio–economic characteristics of population aged 15 and over.  </w:t>
      </w:r>
    </w:p>
    <w:p w:rsidR="00331733" w:rsidRPr="00EA57A8" w:rsidRDefault="00C50458" w:rsidP="00F7497D">
      <w:pPr>
        <w:pStyle w:val="NormalWeb"/>
        <w:spacing w:beforeLines="0" w:before="240" w:afterLines="0" w:after="120" w:line="264" w:lineRule="auto"/>
        <w:ind w:firstLine="403"/>
        <w:jc w:val="both"/>
        <w:rPr>
          <w:rFonts w:ascii="Arial" w:hAnsi="Arial" w:cs="Arial"/>
          <w:lang w:val="en-GB"/>
        </w:rPr>
      </w:pPr>
      <w:r w:rsidRPr="00EA57A8">
        <w:rPr>
          <w:rFonts w:ascii="Arial" w:hAnsi="Arial" w:cs="Arial"/>
          <w:lang w:val="en-GB"/>
        </w:rPr>
        <w:t xml:space="preserve">The main aim of the survey is estimating the labour force volume, i.e. employed and unemployed population, where employment relates to work in both formal and informal section. </w:t>
      </w:r>
    </w:p>
    <w:p w:rsidR="00C50458" w:rsidRPr="00EA57A8" w:rsidRDefault="00C50458" w:rsidP="00F7497D">
      <w:pPr>
        <w:pStyle w:val="NormalWeb"/>
        <w:spacing w:beforeLines="0" w:before="240" w:afterLines="0" w:after="120" w:line="264" w:lineRule="auto"/>
        <w:ind w:firstLine="403"/>
        <w:jc w:val="both"/>
        <w:rPr>
          <w:rFonts w:ascii="Arial" w:hAnsi="Arial" w:cs="Arial"/>
          <w:lang w:val="en-GB"/>
        </w:rPr>
      </w:pPr>
      <w:r w:rsidRPr="00EA57A8">
        <w:rPr>
          <w:rFonts w:ascii="Arial" w:hAnsi="Arial" w:cs="Arial"/>
          <w:lang w:val="en-GB"/>
        </w:rPr>
        <w:t>Additionally, LFS deals with characteristics of employment (professional status of the employed persons, their activity, occupation, rights realized at work…) and unemployment (acquired education, duration of job seeking, previous working experience…), as well as characteristics of inactive population – their education, age, income source and readiness for involvement in labour market.</w:t>
      </w:r>
    </w:p>
    <w:p w:rsidR="00C50458" w:rsidRPr="00EA57A8" w:rsidRDefault="00C50458" w:rsidP="00F7497D">
      <w:pPr>
        <w:spacing w:before="240" w:after="120" w:line="264" w:lineRule="auto"/>
        <w:ind w:firstLine="403"/>
        <w:jc w:val="both"/>
        <w:rPr>
          <w:rFonts w:cs="Arial"/>
        </w:rPr>
      </w:pPr>
      <w:r w:rsidRPr="00EA57A8">
        <w:rPr>
          <w:rFonts w:cs="Arial"/>
          <w:b/>
          <w:bCs/>
        </w:rPr>
        <w:t>Active population</w:t>
      </w:r>
      <w:r w:rsidRPr="00EA57A8">
        <w:rPr>
          <w:rFonts w:cs="Arial"/>
        </w:rPr>
        <w:t xml:space="preserve"> (</w:t>
      </w:r>
      <w:r w:rsidRPr="00EA57A8">
        <w:rPr>
          <w:rFonts w:cs="Arial"/>
          <w:b/>
          <w:bCs/>
        </w:rPr>
        <w:t>labour force</w:t>
      </w:r>
      <w:r w:rsidRPr="00EA57A8">
        <w:rPr>
          <w:rFonts w:cs="Arial"/>
        </w:rPr>
        <w:t>) includes all employed and unemployed persons</w:t>
      </w:r>
      <w:r w:rsidR="004F0B6D" w:rsidRPr="00EA57A8">
        <w:rPr>
          <w:rFonts w:cs="Arial"/>
        </w:rPr>
        <w:t xml:space="preserve"> aged 15 and over</w:t>
      </w:r>
      <w:r w:rsidRPr="00EA57A8">
        <w:rPr>
          <w:rFonts w:cs="Arial"/>
        </w:rPr>
        <w:t>.</w:t>
      </w:r>
    </w:p>
    <w:p w:rsidR="00C50458" w:rsidRPr="00EA57A8" w:rsidRDefault="00C50458" w:rsidP="00F7497D">
      <w:pPr>
        <w:pStyle w:val="Heading4"/>
        <w:spacing w:before="240" w:after="120" w:line="264" w:lineRule="auto"/>
        <w:ind w:firstLine="403"/>
        <w:jc w:val="both"/>
        <w:rPr>
          <w:rFonts w:ascii="Arial" w:hAnsi="Arial" w:cs="Arial"/>
          <w:b w:val="0"/>
          <w:bCs w:val="0"/>
          <w:i w:val="0"/>
          <w:color w:val="auto"/>
          <w:spacing w:val="-4"/>
        </w:rPr>
      </w:pPr>
      <w:r w:rsidRPr="00EA57A8">
        <w:rPr>
          <w:rFonts w:ascii="Arial" w:hAnsi="Arial" w:cs="Arial"/>
          <w:i w:val="0"/>
          <w:color w:val="auto"/>
          <w:spacing w:val="-4"/>
        </w:rPr>
        <w:t>Activity rate (share of labour force)</w:t>
      </w:r>
      <w:r w:rsidRPr="00EA57A8">
        <w:rPr>
          <w:rFonts w:ascii="Arial" w:hAnsi="Arial" w:cs="Arial"/>
          <w:b w:val="0"/>
          <w:bCs w:val="0"/>
          <w:i w:val="0"/>
          <w:color w:val="auto"/>
          <w:spacing w:val="-4"/>
        </w:rPr>
        <w:t xml:space="preserve"> presents the percentage share of active population in total population aged 15 and over.</w:t>
      </w:r>
    </w:p>
    <w:p w:rsidR="00C50458" w:rsidRPr="00EA57A8" w:rsidRDefault="00C50458" w:rsidP="00F7497D">
      <w:pPr>
        <w:spacing w:before="240" w:after="120" w:line="264" w:lineRule="auto"/>
        <w:ind w:firstLine="403"/>
        <w:jc w:val="both"/>
        <w:rPr>
          <w:rFonts w:cs="Arial"/>
          <w:b/>
        </w:rPr>
      </w:pPr>
      <w:r w:rsidRPr="00EA57A8">
        <w:rPr>
          <w:rFonts w:cs="Arial"/>
          <w:b/>
          <w:bCs/>
        </w:rPr>
        <w:t xml:space="preserve">Employed persons </w:t>
      </w:r>
      <w:r w:rsidRPr="00EA57A8">
        <w:rPr>
          <w:rFonts w:cs="Arial"/>
        </w:rPr>
        <w:t>are persons who performed a paid job (in money or in kind) for at least one hour in the reference week, as well as persons who had an employment, but were absent from work in that week but which have a guaranty to return to it.</w:t>
      </w:r>
      <w:r w:rsidRPr="00EA57A8">
        <w:rPr>
          <w:rFonts w:cs="Arial"/>
          <w:b/>
        </w:rPr>
        <w:t xml:space="preserve"> </w:t>
      </w:r>
    </w:p>
    <w:p w:rsidR="00C50458" w:rsidRPr="00EA57A8" w:rsidRDefault="00C50458" w:rsidP="00F7497D">
      <w:pPr>
        <w:spacing w:before="240" w:after="120" w:line="264" w:lineRule="auto"/>
        <w:ind w:firstLine="403"/>
        <w:jc w:val="both"/>
        <w:rPr>
          <w:rFonts w:cs="Arial"/>
        </w:rPr>
      </w:pPr>
      <w:r w:rsidRPr="00EA57A8">
        <w:rPr>
          <w:rFonts w:cs="Arial"/>
          <w:b/>
          <w:bCs/>
        </w:rPr>
        <w:t xml:space="preserve">Employment rate </w:t>
      </w:r>
      <w:r w:rsidRPr="00EA57A8">
        <w:rPr>
          <w:rFonts w:cs="Arial"/>
        </w:rPr>
        <w:t>is the percentage share of employed in the total population aged 15 and over.</w:t>
      </w:r>
    </w:p>
    <w:p w:rsidR="00C50458" w:rsidRPr="00EA57A8" w:rsidRDefault="00C50458" w:rsidP="00F7497D">
      <w:pPr>
        <w:spacing w:before="240" w:after="120" w:line="264" w:lineRule="auto"/>
        <w:ind w:firstLine="403"/>
        <w:jc w:val="both"/>
        <w:rPr>
          <w:rFonts w:cs="Arial"/>
        </w:rPr>
      </w:pPr>
      <w:r w:rsidRPr="00EA57A8">
        <w:rPr>
          <w:rFonts w:cs="Arial"/>
          <w:b/>
          <w:bCs/>
        </w:rPr>
        <w:t>Informally employed</w:t>
      </w:r>
      <w:r w:rsidRPr="00EA57A8">
        <w:rPr>
          <w:rFonts w:cs="Arial"/>
        </w:rPr>
        <w:t xml:space="preserve"> are employees without written contract, self-employed in unregistered business, as well as contributing family workers.</w:t>
      </w:r>
    </w:p>
    <w:p w:rsidR="00C50458" w:rsidRPr="00EA57A8" w:rsidRDefault="00C50458" w:rsidP="00F7497D">
      <w:pPr>
        <w:spacing w:before="240" w:after="120" w:line="264" w:lineRule="auto"/>
        <w:ind w:firstLine="403"/>
        <w:jc w:val="both"/>
        <w:rPr>
          <w:rFonts w:cs="Arial"/>
          <w:b/>
          <w:bCs/>
          <w:spacing w:val="-4"/>
        </w:rPr>
      </w:pPr>
      <w:r w:rsidRPr="00EA57A8">
        <w:rPr>
          <w:rFonts w:cs="Arial"/>
          <w:b/>
          <w:bCs/>
        </w:rPr>
        <w:t>Informal employment rate</w:t>
      </w:r>
      <w:r w:rsidRPr="00EA57A8">
        <w:rPr>
          <w:rFonts w:cs="Arial"/>
        </w:rPr>
        <w:t xml:space="preserve"> is the percentage share of informally employed in total employment.</w:t>
      </w:r>
    </w:p>
    <w:p w:rsidR="00C50458" w:rsidRPr="00EA57A8" w:rsidRDefault="00C50458" w:rsidP="00F7497D">
      <w:pPr>
        <w:spacing w:before="240" w:after="120" w:line="264" w:lineRule="auto"/>
        <w:ind w:firstLine="403"/>
        <w:jc w:val="both"/>
        <w:rPr>
          <w:rFonts w:cs="Arial"/>
        </w:rPr>
      </w:pPr>
      <w:r w:rsidRPr="00EA57A8">
        <w:rPr>
          <w:rFonts w:cs="Arial"/>
          <w:b/>
          <w:bCs/>
        </w:rPr>
        <w:lastRenderedPageBreak/>
        <w:t>Unemployed persons</w:t>
      </w:r>
      <w:r w:rsidRPr="00EA57A8">
        <w:rPr>
          <w:rFonts w:cs="Arial"/>
        </w:rPr>
        <w:t xml:space="preserve"> are the persons who, in the respective week, did no work for remuneration, who undertook active steps to find a job during four-week period preceding the respective week and who were able to start working in two-week time after the referent week. </w:t>
      </w:r>
    </w:p>
    <w:p w:rsidR="00C50458" w:rsidRPr="00EA57A8" w:rsidRDefault="00C50458" w:rsidP="00F7497D">
      <w:pPr>
        <w:pStyle w:val="Heading4"/>
        <w:spacing w:before="240" w:after="120" w:line="264" w:lineRule="auto"/>
        <w:ind w:firstLine="403"/>
        <w:jc w:val="both"/>
        <w:rPr>
          <w:rFonts w:ascii="Arial" w:hAnsi="Arial" w:cs="Arial"/>
          <w:b w:val="0"/>
          <w:bCs w:val="0"/>
          <w:i w:val="0"/>
          <w:color w:val="auto"/>
        </w:rPr>
      </w:pPr>
      <w:r w:rsidRPr="00EA57A8">
        <w:rPr>
          <w:rFonts w:ascii="Arial" w:hAnsi="Arial" w:cs="Arial"/>
          <w:i w:val="0"/>
          <w:color w:val="auto"/>
        </w:rPr>
        <w:t xml:space="preserve">Unemployment rate </w:t>
      </w:r>
      <w:r w:rsidRPr="00EA57A8">
        <w:rPr>
          <w:rFonts w:ascii="Arial" w:hAnsi="Arial" w:cs="Arial"/>
          <w:b w:val="0"/>
          <w:bCs w:val="0"/>
          <w:i w:val="0"/>
          <w:color w:val="auto"/>
        </w:rPr>
        <w:t>presents the percentage share of unemployed population in labour force (employed and unemployed), aged 15 and over.</w:t>
      </w:r>
    </w:p>
    <w:p w:rsidR="00C50458" w:rsidRPr="00EA57A8" w:rsidRDefault="00C50458" w:rsidP="00F7497D">
      <w:pPr>
        <w:spacing w:before="240" w:after="120" w:line="264" w:lineRule="auto"/>
        <w:ind w:firstLine="403"/>
        <w:jc w:val="both"/>
        <w:rPr>
          <w:rFonts w:cs="Arial"/>
        </w:rPr>
      </w:pPr>
      <w:r w:rsidRPr="00EA57A8">
        <w:rPr>
          <w:rFonts w:cs="Arial"/>
          <w:b/>
          <w:bCs/>
        </w:rPr>
        <w:t>Long-term unemployment rate</w:t>
      </w:r>
      <w:r w:rsidRPr="00EA57A8">
        <w:rPr>
          <w:rFonts w:cs="Arial"/>
        </w:rPr>
        <w:t xml:space="preserve"> presents the percentage share of the unemployed for one year and more, in the total labour force (employed and unemployed), aged 15 and over.</w:t>
      </w:r>
    </w:p>
    <w:p w:rsidR="00C50458" w:rsidRPr="00EA57A8" w:rsidRDefault="00C50458" w:rsidP="00F7497D">
      <w:pPr>
        <w:pStyle w:val="ListParagraph"/>
        <w:spacing w:before="240" w:after="120" w:line="264" w:lineRule="auto"/>
        <w:ind w:left="0" w:firstLine="403"/>
        <w:contextualSpacing w:val="0"/>
        <w:jc w:val="both"/>
        <w:rPr>
          <w:rFonts w:ascii="Arial" w:hAnsi="Arial" w:cs="Arial"/>
          <w:sz w:val="20"/>
          <w:szCs w:val="20"/>
          <w:lang w:val="en-GB"/>
        </w:rPr>
      </w:pPr>
      <w:r w:rsidRPr="00EA57A8">
        <w:rPr>
          <w:rFonts w:ascii="Arial" w:hAnsi="Arial" w:cs="Arial"/>
          <w:b/>
          <w:bCs/>
          <w:sz w:val="20"/>
          <w:szCs w:val="20"/>
          <w:lang w:val="en-GB"/>
        </w:rPr>
        <w:t xml:space="preserve">NEET rate – </w:t>
      </w:r>
      <w:r w:rsidRPr="00EA57A8">
        <w:rPr>
          <w:rFonts w:ascii="Arial" w:hAnsi="Arial" w:cs="Arial"/>
          <w:sz w:val="20"/>
          <w:szCs w:val="20"/>
          <w:lang w:val="en-GB"/>
        </w:rPr>
        <w:t xml:space="preserve">refers to share of persons aged 15 </w:t>
      </w:r>
      <w:proofErr w:type="gramStart"/>
      <w:r w:rsidRPr="00EA57A8">
        <w:rPr>
          <w:rFonts w:ascii="Arial" w:hAnsi="Arial" w:cs="Arial"/>
          <w:sz w:val="20"/>
          <w:szCs w:val="20"/>
          <w:lang w:val="en-GB"/>
        </w:rPr>
        <w:t>to 24, neither</w:t>
      </w:r>
      <w:proofErr w:type="gramEnd"/>
      <w:r w:rsidRPr="00EA57A8">
        <w:rPr>
          <w:rFonts w:ascii="Arial" w:hAnsi="Arial" w:cs="Arial"/>
          <w:sz w:val="20"/>
          <w:szCs w:val="20"/>
          <w:lang w:val="en-GB"/>
        </w:rPr>
        <w:t xml:space="preserve"> employed, nor in education, training, in total population of that age.</w:t>
      </w:r>
      <w:r w:rsidRPr="00EA57A8">
        <w:rPr>
          <w:rFonts w:ascii="Arial" w:hAnsi="Arial" w:cs="Arial"/>
          <w:b/>
          <w:bCs/>
          <w:sz w:val="20"/>
          <w:szCs w:val="20"/>
          <w:lang w:val="en-GB"/>
        </w:rPr>
        <w:t xml:space="preserve"> </w:t>
      </w:r>
    </w:p>
    <w:p w:rsidR="00C50458" w:rsidRPr="00EA57A8" w:rsidRDefault="00C50458" w:rsidP="00F7497D">
      <w:pPr>
        <w:spacing w:before="240" w:after="120" w:line="264" w:lineRule="auto"/>
        <w:ind w:firstLine="403"/>
        <w:jc w:val="both"/>
        <w:rPr>
          <w:rFonts w:cs="Arial"/>
        </w:rPr>
      </w:pPr>
      <w:r w:rsidRPr="00EA57A8">
        <w:rPr>
          <w:rFonts w:cs="Arial"/>
          <w:b/>
          <w:bCs/>
        </w:rPr>
        <w:t>Inactive population</w:t>
      </w:r>
      <w:r w:rsidRPr="00EA57A8">
        <w:rPr>
          <w:rFonts w:cs="Arial"/>
        </w:rPr>
        <w:t xml:space="preserve"> includes all persons aged 15 and over who </w:t>
      </w:r>
      <w:proofErr w:type="gramStart"/>
      <w:r w:rsidRPr="00EA57A8">
        <w:rPr>
          <w:rFonts w:cs="Arial"/>
        </w:rPr>
        <w:t>are not classified</w:t>
      </w:r>
      <w:proofErr w:type="gramEnd"/>
      <w:r w:rsidRPr="00EA57A8">
        <w:rPr>
          <w:rFonts w:cs="Arial"/>
        </w:rPr>
        <w:t xml:space="preserve"> in employed and unemployed population. Inactive population comprises students, pensioners, persons performing household tasks, as well as all other persons who performed no paid job in the observed week, did not actively seek a job and who were not able to start working in two-week time after the observed week.  </w:t>
      </w:r>
    </w:p>
    <w:p w:rsidR="00C50458" w:rsidRPr="00EA57A8" w:rsidRDefault="00C50458" w:rsidP="00F7497D">
      <w:pPr>
        <w:pStyle w:val="Heading1"/>
        <w:spacing w:before="240" w:after="120" w:line="264" w:lineRule="auto"/>
        <w:ind w:firstLine="403"/>
        <w:jc w:val="both"/>
        <w:rPr>
          <w:rFonts w:ascii="Arial IS" w:hAnsi="Arial IS" w:cs="Arial IS"/>
          <w:b w:val="0"/>
          <w:bCs w:val="0"/>
          <w:i/>
          <w:iCs/>
          <w:color w:val="auto"/>
          <w:sz w:val="20"/>
          <w:szCs w:val="20"/>
        </w:rPr>
      </w:pPr>
      <w:r w:rsidRPr="00EA57A8">
        <w:rPr>
          <w:rFonts w:ascii="Arial" w:hAnsi="Arial" w:cs="Arial"/>
          <w:color w:val="auto"/>
          <w:sz w:val="20"/>
          <w:szCs w:val="20"/>
        </w:rPr>
        <w:t xml:space="preserve">Inactivity rate </w:t>
      </w:r>
      <w:r w:rsidRPr="00EA57A8">
        <w:rPr>
          <w:rFonts w:ascii="Arial" w:hAnsi="Arial" w:cs="Arial"/>
          <w:b w:val="0"/>
          <w:bCs w:val="0"/>
          <w:color w:val="auto"/>
          <w:sz w:val="20"/>
          <w:szCs w:val="20"/>
        </w:rPr>
        <w:t>presents</w:t>
      </w:r>
      <w:r w:rsidRPr="00EA57A8">
        <w:rPr>
          <w:rFonts w:ascii="Arial" w:hAnsi="Arial" w:cs="Arial"/>
          <w:color w:val="auto"/>
          <w:sz w:val="20"/>
          <w:szCs w:val="20"/>
        </w:rPr>
        <w:t xml:space="preserve"> </w:t>
      </w:r>
      <w:r w:rsidRPr="00EA57A8">
        <w:rPr>
          <w:rFonts w:ascii="Arial" w:hAnsi="Arial" w:cs="Arial"/>
          <w:b w:val="0"/>
          <w:bCs w:val="0"/>
          <w:color w:val="auto"/>
          <w:sz w:val="20"/>
          <w:szCs w:val="20"/>
        </w:rPr>
        <w:t>the percentage share of inactive population in total population aged 15 and over.</w:t>
      </w:r>
    </w:p>
    <w:p w:rsidR="00C50458" w:rsidRPr="00EA57A8" w:rsidRDefault="00C50458" w:rsidP="00F7497D">
      <w:pPr>
        <w:spacing w:before="240" w:after="120" w:line="264" w:lineRule="auto"/>
        <w:ind w:firstLine="403"/>
        <w:jc w:val="both"/>
        <w:rPr>
          <w:rFonts w:cs="Arial"/>
        </w:rPr>
      </w:pPr>
      <w:r w:rsidRPr="00EA57A8">
        <w:rPr>
          <w:rFonts w:cs="Arial"/>
        </w:rPr>
        <w:t xml:space="preserve">For more detailed description of the Survey and definitions of labour force, see the methodology of Labour Force Survey on </w:t>
      </w:r>
      <w:hyperlink r:id="rId11" w:history="1">
        <w:r w:rsidRPr="00EA57A8">
          <w:rPr>
            <w:rStyle w:val="Hyperlink"/>
            <w:rFonts w:cs="Arial"/>
          </w:rPr>
          <w:t>www.stat.gov.rs</w:t>
        </w:r>
      </w:hyperlink>
      <w:r w:rsidRPr="00EA57A8">
        <w:rPr>
          <w:rFonts w:cs="Arial"/>
        </w:rPr>
        <w:t>.</w:t>
      </w:r>
    </w:p>
    <w:p w:rsidR="00335F51" w:rsidRPr="00EA57A8" w:rsidRDefault="00335F51" w:rsidP="00F7497D">
      <w:pPr>
        <w:spacing w:before="240" w:after="120" w:line="264" w:lineRule="auto"/>
        <w:ind w:firstLine="403"/>
        <w:jc w:val="both"/>
        <w:rPr>
          <w:rFonts w:cs="Arial"/>
        </w:rPr>
      </w:pPr>
    </w:p>
    <w:p w:rsidR="00C50458" w:rsidRPr="00EA57A8" w:rsidRDefault="00C50458" w:rsidP="00F7497D">
      <w:pPr>
        <w:spacing w:before="240" w:after="120" w:line="264" w:lineRule="auto"/>
        <w:ind w:firstLine="403"/>
        <w:jc w:val="both"/>
        <w:rPr>
          <w:rFonts w:cs="Arial"/>
        </w:rPr>
      </w:pPr>
      <w:r w:rsidRPr="00EA57A8">
        <w:rPr>
          <w:rFonts w:cs="Arial"/>
        </w:rPr>
        <w:t xml:space="preserve">Starting from 1999 the Statistical Office of the Republic of Serbia has not at disposal and may not provide available certain data relative to AP Kosovo and </w:t>
      </w:r>
      <w:proofErr w:type="spellStart"/>
      <w:r w:rsidRPr="00EA57A8">
        <w:rPr>
          <w:rFonts w:cs="Arial"/>
        </w:rPr>
        <w:t>Metohija</w:t>
      </w:r>
      <w:proofErr w:type="spellEnd"/>
      <w:r w:rsidRPr="00EA57A8">
        <w:rPr>
          <w:rFonts w:cs="Arial"/>
        </w:rPr>
        <w:t xml:space="preserve"> and therefore these data are not included in the coverage for the Republic of Serbia (total). </w:t>
      </w:r>
    </w:p>
    <w:p w:rsidR="00B05442" w:rsidRPr="00EA57A8" w:rsidRDefault="00B05442" w:rsidP="000F2A19">
      <w:pPr>
        <w:pStyle w:val="FootnoteText"/>
        <w:spacing w:before="100" w:after="100" w:line="300" w:lineRule="auto"/>
        <w:jc w:val="both"/>
        <w:rPr>
          <w:rFonts w:ascii="Arial" w:hAnsi="Arial" w:cs="Arial"/>
        </w:rPr>
      </w:pPr>
    </w:p>
    <w:p w:rsidR="00B05442" w:rsidRPr="00EA57A8" w:rsidRDefault="00B05442" w:rsidP="000F2A19">
      <w:pPr>
        <w:pStyle w:val="FootnoteText"/>
        <w:spacing w:before="100" w:after="100" w:line="300" w:lineRule="auto"/>
        <w:jc w:val="both"/>
        <w:rPr>
          <w:rFonts w:ascii="Arial" w:hAnsi="Arial" w:cs="Arial"/>
        </w:rPr>
      </w:pPr>
    </w:p>
    <w:p w:rsidR="00B05442" w:rsidRPr="00EA57A8" w:rsidRDefault="00B05442" w:rsidP="000F2A19">
      <w:pPr>
        <w:pStyle w:val="FootnoteText"/>
        <w:spacing w:before="100" w:after="100" w:line="300" w:lineRule="auto"/>
        <w:jc w:val="both"/>
        <w:rPr>
          <w:rFonts w:ascii="Arial" w:hAnsi="Arial" w:cs="Arial"/>
        </w:rPr>
      </w:pPr>
    </w:p>
    <w:p w:rsidR="00B05442" w:rsidRPr="00EA57A8" w:rsidRDefault="00B05442" w:rsidP="000F2A19">
      <w:pPr>
        <w:pStyle w:val="FootnoteText"/>
        <w:spacing w:before="100" w:after="100" w:line="300" w:lineRule="auto"/>
        <w:jc w:val="both"/>
        <w:rPr>
          <w:rFonts w:ascii="Arial" w:hAnsi="Arial" w:cs="Arial"/>
        </w:rPr>
      </w:pPr>
    </w:p>
    <w:p w:rsidR="00B05442" w:rsidRPr="00EA57A8" w:rsidRDefault="00B05442" w:rsidP="000F2A19">
      <w:pPr>
        <w:pStyle w:val="FootnoteText"/>
        <w:spacing w:before="100" w:after="100" w:line="300" w:lineRule="auto"/>
        <w:jc w:val="both"/>
        <w:rPr>
          <w:rFonts w:ascii="Arial" w:hAnsi="Arial" w:cs="Arial"/>
        </w:rPr>
      </w:pPr>
    </w:p>
    <w:p w:rsidR="00B05442" w:rsidRPr="00EA57A8" w:rsidRDefault="00B05442" w:rsidP="000F2A19">
      <w:pPr>
        <w:pStyle w:val="FootnoteText"/>
        <w:spacing w:before="100" w:after="100" w:line="300" w:lineRule="auto"/>
        <w:jc w:val="both"/>
        <w:rPr>
          <w:rFonts w:ascii="Arial" w:hAnsi="Arial" w:cs="Arial"/>
        </w:rPr>
      </w:pPr>
    </w:p>
    <w:p w:rsidR="00612AE0" w:rsidRPr="00EA57A8" w:rsidRDefault="00612AE0" w:rsidP="000F2A19">
      <w:pPr>
        <w:pStyle w:val="FootnoteText"/>
        <w:spacing w:before="100" w:after="100" w:line="300" w:lineRule="auto"/>
        <w:jc w:val="both"/>
        <w:rPr>
          <w:rFonts w:ascii="Arial" w:hAnsi="Arial" w:cs="Arial"/>
        </w:rPr>
      </w:pPr>
    </w:p>
    <w:p w:rsidR="00D925E2" w:rsidRDefault="00D925E2" w:rsidP="000F2A19">
      <w:pPr>
        <w:pStyle w:val="FootnoteText"/>
        <w:spacing w:before="100" w:after="100" w:line="300" w:lineRule="auto"/>
        <w:jc w:val="both"/>
        <w:rPr>
          <w:rFonts w:ascii="Arial" w:hAnsi="Arial" w:cs="Arial"/>
        </w:rPr>
      </w:pPr>
    </w:p>
    <w:p w:rsidR="00F7497D" w:rsidRDefault="00F7497D" w:rsidP="000F2A19">
      <w:pPr>
        <w:pStyle w:val="FootnoteText"/>
        <w:spacing w:before="100" w:after="100" w:line="300" w:lineRule="auto"/>
        <w:jc w:val="both"/>
        <w:rPr>
          <w:rFonts w:ascii="Arial" w:hAnsi="Arial" w:cs="Arial"/>
        </w:rPr>
      </w:pPr>
    </w:p>
    <w:p w:rsidR="00F7497D" w:rsidRPr="00EA57A8" w:rsidRDefault="00F7497D" w:rsidP="000F2A19">
      <w:pPr>
        <w:pStyle w:val="FootnoteText"/>
        <w:spacing w:before="100" w:after="100" w:line="300" w:lineRule="auto"/>
        <w:jc w:val="both"/>
        <w:rPr>
          <w:rFonts w:ascii="Arial" w:hAnsi="Arial" w:cs="Arial"/>
        </w:rPr>
      </w:pPr>
    </w:p>
    <w:p w:rsidR="00D925E2" w:rsidRPr="00EA57A8" w:rsidRDefault="00D925E2" w:rsidP="000F2A19">
      <w:pPr>
        <w:pStyle w:val="FootnoteText"/>
        <w:spacing w:before="100" w:after="100" w:line="300" w:lineRule="auto"/>
        <w:jc w:val="both"/>
        <w:rPr>
          <w:rFonts w:ascii="Arial" w:hAnsi="Arial" w:cs="Arial"/>
        </w:rPr>
      </w:pPr>
    </w:p>
    <w:p w:rsidR="00D925E2" w:rsidRPr="00EA57A8" w:rsidRDefault="00D925E2" w:rsidP="000F2A19">
      <w:pPr>
        <w:pStyle w:val="FootnoteText"/>
        <w:spacing w:before="100" w:after="100" w:line="300" w:lineRule="auto"/>
        <w:jc w:val="both"/>
        <w:rPr>
          <w:rFonts w:ascii="Arial" w:hAnsi="Arial" w:cs="Arial"/>
        </w:rPr>
      </w:pPr>
    </w:p>
    <w:p w:rsidR="00D925E2" w:rsidRPr="00EA57A8" w:rsidRDefault="00D925E2" w:rsidP="000F2A19">
      <w:pPr>
        <w:pStyle w:val="FootnoteText"/>
        <w:spacing w:before="100" w:after="100" w:line="300" w:lineRule="auto"/>
        <w:jc w:val="both"/>
        <w:rPr>
          <w:rFonts w:ascii="Arial" w:hAnsi="Arial" w:cs="Arial"/>
        </w:rPr>
      </w:pPr>
    </w:p>
    <w:p w:rsidR="000F2A19" w:rsidRPr="00EA57A8" w:rsidRDefault="000F2A19" w:rsidP="000F2A19">
      <w:pPr>
        <w:pStyle w:val="FootnoteText"/>
        <w:spacing w:before="100" w:after="100" w:line="300" w:lineRule="auto"/>
        <w:jc w:val="both"/>
        <w:rPr>
          <w:rFonts w:cs="Arial"/>
          <w:sz w:val="16"/>
          <w:szCs w:val="16"/>
        </w:rPr>
      </w:pPr>
    </w:p>
    <w:p w:rsidR="008F1FDB" w:rsidRPr="00EA57A8" w:rsidRDefault="008F1FDB" w:rsidP="008F1FDB">
      <w:pPr>
        <w:ind w:left="1416" w:firstLine="708"/>
        <w:rPr>
          <w:rFonts w:cs="Arial"/>
          <w:sz w:val="16"/>
          <w:szCs w:val="16"/>
        </w:rPr>
      </w:pPr>
      <w:r w:rsidRPr="00EA57A8">
        <w:rPr>
          <w:noProof/>
          <w:lang w:val="en-US"/>
        </w:rPr>
        <mc:AlternateContent>
          <mc:Choice Requires="wps">
            <w:drawing>
              <wp:anchor distT="4294967295" distB="4294967295" distL="114300" distR="114300" simplePos="0" relativeHeight="251663360" behindDoc="0" locked="0" layoutInCell="1" allowOverlap="1" wp14:anchorId="7EE46D44" wp14:editId="1C40C171">
                <wp:simplePos x="0" y="0"/>
                <wp:positionH relativeFrom="column">
                  <wp:posOffset>949960</wp:posOffset>
                </wp:positionH>
                <wp:positionV relativeFrom="paragraph">
                  <wp:posOffset>34924</wp:posOffset>
                </wp:positionV>
                <wp:extent cx="46799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79950" cy="0"/>
                        </a:xfrm>
                        <a:prstGeom prst="line">
                          <a:avLst/>
                        </a:prstGeom>
                        <a:noFill/>
                        <a:ln w="12700"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2B4FD3" id="Straight Connector 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4.8pt,2.75pt" to="443.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" strokecolor="#7f7f7f" strokeweight="1pt">
                <o:lock v:ext="edit" shapetype="f"/>
              </v:line>
            </w:pict>
          </mc:Fallback>
        </mc:AlternateContent>
      </w:r>
    </w:p>
    <w:p w:rsidR="00C50458" w:rsidRPr="00EA57A8" w:rsidRDefault="00C50458" w:rsidP="00C50458">
      <w:pPr>
        <w:jc w:val="center"/>
        <w:rPr>
          <w:rFonts w:cs="Arial"/>
          <w:sz w:val="18"/>
          <w:szCs w:val="18"/>
        </w:rPr>
      </w:pPr>
      <w:r w:rsidRPr="00EA57A8">
        <w:rPr>
          <w:rFonts w:cs="Arial"/>
          <w:sz w:val="18"/>
          <w:szCs w:val="18"/>
        </w:rPr>
        <w:t xml:space="preserve">Contact: </w:t>
      </w:r>
      <w:hyperlink r:id="rId12" w:history="1">
        <w:r w:rsidRPr="00EA57A8">
          <w:rPr>
            <w:rStyle w:val="Hyperlink"/>
            <w:rFonts w:cs="Arial"/>
            <w:sz w:val="18"/>
            <w:szCs w:val="18"/>
          </w:rPr>
          <w:t>ars@stat.gov.rs</w:t>
        </w:r>
      </w:hyperlink>
      <w:r w:rsidRPr="00EA57A8">
        <w:rPr>
          <w:rStyle w:val="Hyperlink"/>
          <w:rFonts w:cs="Arial"/>
          <w:sz w:val="18"/>
          <w:szCs w:val="18"/>
        </w:rPr>
        <w:t>,</w:t>
      </w:r>
      <w:r w:rsidRPr="00EA57A8">
        <w:rPr>
          <w:rFonts w:cs="Arial"/>
          <w:sz w:val="18"/>
          <w:szCs w:val="18"/>
        </w:rPr>
        <w:t xml:space="preserve"> Phone: +381 11 2412 922, ext. 372</w:t>
      </w:r>
    </w:p>
    <w:p w:rsidR="00C50458" w:rsidRPr="00EA57A8" w:rsidRDefault="00C50458" w:rsidP="00C50458">
      <w:pPr>
        <w:jc w:val="center"/>
        <w:rPr>
          <w:rFonts w:cs="Arial"/>
          <w:iCs/>
          <w:sz w:val="18"/>
          <w:szCs w:val="18"/>
        </w:rPr>
      </w:pPr>
      <w:r w:rsidRPr="00EA57A8">
        <w:rPr>
          <w:rFonts w:cs="Arial"/>
          <w:iCs/>
          <w:sz w:val="18"/>
          <w:szCs w:val="18"/>
        </w:rPr>
        <w:t xml:space="preserve">Published and printed by: Statistical Office of the Republic of Serbia, 11 050 Belgrade, </w:t>
      </w:r>
      <w:proofErr w:type="spellStart"/>
      <w:r w:rsidRPr="00EA57A8">
        <w:rPr>
          <w:rFonts w:cs="Arial"/>
          <w:iCs/>
          <w:sz w:val="18"/>
          <w:szCs w:val="18"/>
        </w:rPr>
        <w:t>Milana</w:t>
      </w:r>
      <w:proofErr w:type="spellEnd"/>
      <w:r w:rsidRPr="00EA57A8">
        <w:rPr>
          <w:rFonts w:cs="Arial"/>
          <w:iCs/>
          <w:sz w:val="18"/>
          <w:szCs w:val="18"/>
        </w:rPr>
        <w:t xml:space="preserve"> </w:t>
      </w:r>
      <w:proofErr w:type="spellStart"/>
      <w:r w:rsidRPr="00EA57A8">
        <w:rPr>
          <w:rFonts w:cs="Arial"/>
          <w:iCs/>
          <w:sz w:val="18"/>
          <w:szCs w:val="18"/>
        </w:rPr>
        <w:t>Rakica</w:t>
      </w:r>
      <w:proofErr w:type="spellEnd"/>
      <w:r w:rsidRPr="00EA57A8">
        <w:rPr>
          <w:rFonts w:cs="Arial"/>
          <w:iCs/>
          <w:sz w:val="18"/>
          <w:szCs w:val="18"/>
        </w:rPr>
        <w:t xml:space="preserve"> 5</w:t>
      </w:r>
    </w:p>
    <w:p w:rsidR="00C50458" w:rsidRPr="00EA57A8" w:rsidRDefault="00C50458" w:rsidP="00C50458">
      <w:pPr>
        <w:jc w:val="center"/>
        <w:rPr>
          <w:rFonts w:cs="Arial"/>
          <w:iCs/>
          <w:sz w:val="18"/>
          <w:szCs w:val="18"/>
        </w:rPr>
      </w:pPr>
      <w:r w:rsidRPr="00EA57A8">
        <w:rPr>
          <w:rFonts w:cs="Arial"/>
          <w:iCs/>
          <w:sz w:val="18"/>
          <w:szCs w:val="18"/>
        </w:rPr>
        <w:t xml:space="preserve">Phone: +381 11 2412922 </w:t>
      </w:r>
      <w:r w:rsidRPr="00EA57A8">
        <w:rPr>
          <w:rFonts w:cs="Arial"/>
          <w:sz w:val="18"/>
          <w:szCs w:val="18"/>
        </w:rPr>
        <w:t xml:space="preserve">(telephone exchange) </w:t>
      </w:r>
      <w:r w:rsidRPr="00EA57A8">
        <w:rPr>
          <w:rFonts w:cs="Arial"/>
          <w:iCs/>
          <w:sz w:val="18"/>
          <w:szCs w:val="18"/>
        </w:rPr>
        <w:t xml:space="preserve">● Fax: +381 11 2411260 ● www.stat.gov.rs  </w:t>
      </w:r>
    </w:p>
    <w:p w:rsidR="00C50458" w:rsidRPr="00EA57A8" w:rsidRDefault="00C50458" w:rsidP="00C50458">
      <w:pPr>
        <w:jc w:val="center"/>
        <w:rPr>
          <w:rFonts w:cs="Arial"/>
          <w:iCs/>
          <w:sz w:val="18"/>
          <w:szCs w:val="18"/>
        </w:rPr>
      </w:pPr>
      <w:r w:rsidRPr="00EA57A8">
        <w:rPr>
          <w:rFonts w:cs="Arial"/>
          <w:iCs/>
          <w:sz w:val="18"/>
          <w:szCs w:val="18"/>
        </w:rPr>
        <w:t xml:space="preserve">Responsible: Dr </w:t>
      </w:r>
      <w:proofErr w:type="spellStart"/>
      <w:r w:rsidRPr="00EA57A8">
        <w:rPr>
          <w:rFonts w:cs="Arial"/>
          <w:iCs/>
          <w:sz w:val="18"/>
          <w:szCs w:val="18"/>
        </w:rPr>
        <w:t>Miladin</w:t>
      </w:r>
      <w:proofErr w:type="spellEnd"/>
      <w:r w:rsidRPr="00EA57A8">
        <w:rPr>
          <w:rFonts w:cs="Arial"/>
          <w:iCs/>
          <w:sz w:val="18"/>
          <w:szCs w:val="18"/>
        </w:rPr>
        <w:t xml:space="preserve"> </w:t>
      </w:r>
      <w:proofErr w:type="spellStart"/>
      <w:r w:rsidRPr="00EA57A8">
        <w:rPr>
          <w:rFonts w:cs="Arial"/>
          <w:iCs/>
          <w:sz w:val="18"/>
          <w:szCs w:val="18"/>
        </w:rPr>
        <w:t>Kovačević</w:t>
      </w:r>
      <w:proofErr w:type="spellEnd"/>
      <w:r w:rsidRPr="00EA57A8">
        <w:rPr>
          <w:rFonts w:cs="Arial"/>
          <w:iCs/>
          <w:sz w:val="18"/>
          <w:szCs w:val="18"/>
        </w:rPr>
        <w:t>, Director</w:t>
      </w:r>
    </w:p>
    <w:p w:rsidR="005B2627" w:rsidRPr="00EA57A8" w:rsidRDefault="00C50458" w:rsidP="00166DB3">
      <w:pPr>
        <w:spacing w:after="60"/>
        <w:jc w:val="center"/>
      </w:pPr>
      <w:r w:rsidRPr="00EA57A8">
        <w:rPr>
          <w:rFonts w:cs="Arial"/>
          <w:sz w:val="18"/>
          <w:szCs w:val="18"/>
        </w:rPr>
        <w:t>Circulation: 20 • Periodicity: quarterly</w:t>
      </w:r>
    </w:p>
    <w:sectPr w:rsidR="005B2627" w:rsidRPr="00EA57A8" w:rsidSect="00BC5415">
      <w:footerReference w:type="even" r:id="rId13"/>
      <w:footerReference w:type="default" r:id="rId14"/>
      <w:footnotePr>
        <w:numRestart w:val="eachPage"/>
      </w:footnotePr>
      <w:pgSz w:w="11906" w:h="16838" w:code="9"/>
      <w:pgMar w:top="907" w:right="851" w:bottom="90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4D4" w:rsidRDefault="00C764D4" w:rsidP="008F1FDB">
      <w:r>
        <w:separator/>
      </w:r>
    </w:p>
  </w:endnote>
  <w:endnote w:type="continuationSeparator" w:id="0">
    <w:p w:rsidR="00C764D4" w:rsidRDefault="00C764D4" w:rsidP="008F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IS">
    <w:altName w:val="Arial"/>
    <w:charset w:val="00"/>
    <w:family w:val="swiss"/>
    <w:pitch w:val="variable"/>
    <w:sig w:usb0="20000A87" w:usb1="00000000"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E41" w:rsidRPr="00AE1A0C" w:rsidRDefault="00624E41" w:rsidP="006A1222">
    <w:pPr>
      <w:pStyle w:val="Footer"/>
      <w:pBdr>
        <w:top w:val="single" w:sz="4" w:space="1" w:color="auto"/>
      </w:pBdr>
      <w:rPr>
        <w:rFonts w:ascii="Arial" w:hAnsi="Arial" w:cs="Arial"/>
        <w:sz w:val="16"/>
        <w:szCs w:val="16"/>
        <w:lang w:val="sr-Latn-RS"/>
      </w:rPr>
    </w:pPr>
    <w:r w:rsidRPr="00D44751">
      <w:rPr>
        <w:rFonts w:ascii="Arial" w:hAnsi="Arial" w:cs="Arial"/>
        <w:sz w:val="16"/>
        <w:szCs w:val="16"/>
      </w:rPr>
      <w:fldChar w:fldCharType="begin"/>
    </w:r>
    <w:r w:rsidRPr="00D44751">
      <w:rPr>
        <w:rFonts w:ascii="Arial" w:hAnsi="Arial" w:cs="Arial"/>
        <w:sz w:val="16"/>
        <w:szCs w:val="16"/>
      </w:rPr>
      <w:instrText xml:space="preserve"> PAGE   \* MERGEFORMAT </w:instrText>
    </w:r>
    <w:r w:rsidRPr="00D44751">
      <w:rPr>
        <w:rFonts w:ascii="Arial" w:hAnsi="Arial" w:cs="Arial"/>
        <w:sz w:val="16"/>
        <w:szCs w:val="16"/>
      </w:rPr>
      <w:fldChar w:fldCharType="separate"/>
    </w:r>
    <w:r w:rsidR="00BA28CA">
      <w:rPr>
        <w:rFonts w:ascii="Arial" w:hAnsi="Arial" w:cs="Arial"/>
        <w:noProof/>
        <w:sz w:val="16"/>
        <w:szCs w:val="16"/>
      </w:rPr>
      <w:t>4</w:t>
    </w:r>
    <w:r w:rsidRPr="00D44751">
      <w:rPr>
        <w:rFonts w:ascii="Arial" w:hAnsi="Arial" w:cs="Arial"/>
        <w:noProof/>
        <w:sz w:val="16"/>
        <w:szCs w:val="16"/>
      </w:rPr>
      <w:fldChar w:fldCharType="end"/>
    </w:r>
    <w:r w:rsidRPr="00D44751">
      <w:rPr>
        <w:rFonts w:ascii="Arial" w:eastAsia="Times New Roman" w:hAnsi="Arial" w:cs="Arial"/>
        <w:sz w:val="16"/>
        <w:szCs w:val="16"/>
        <w:lang w:val="sr-Cyrl-CS"/>
      </w:rPr>
      <w:t xml:space="preserve"> </w:t>
    </w:r>
    <w:r w:rsidRPr="00D44751">
      <w:rPr>
        <w:rFonts w:ascii="Arial" w:eastAsia="Times New Roman" w:hAnsi="Arial" w:cs="Arial"/>
        <w:sz w:val="16"/>
        <w:szCs w:val="16"/>
        <w:lang w:val="en-US"/>
      </w:rPr>
      <w:t xml:space="preserve">                                                                                                                                                                                           </w:t>
    </w:r>
    <w:r w:rsidR="00E15E0B">
      <w:rPr>
        <w:rFonts w:ascii="Arial" w:eastAsia="Times New Roman" w:hAnsi="Arial" w:cs="Arial"/>
        <w:sz w:val="16"/>
        <w:szCs w:val="16"/>
        <w:lang w:val="en-US"/>
      </w:rPr>
      <w:t>SERB</w:t>
    </w:r>
    <w:r w:rsidR="00AE1A0C">
      <w:rPr>
        <w:rFonts w:ascii="Arial" w:eastAsia="Times New Roman" w:hAnsi="Arial" w:cs="Arial"/>
        <w:sz w:val="16"/>
        <w:szCs w:val="16"/>
        <w:lang w:val="en-US"/>
      </w:rPr>
      <w:t>328</w:t>
    </w:r>
    <w:r w:rsidRPr="00576503">
      <w:rPr>
        <w:rFonts w:ascii="Arial" w:eastAsia="Times New Roman" w:hAnsi="Arial" w:cs="Arial"/>
        <w:sz w:val="16"/>
        <w:szCs w:val="16"/>
        <w:lang w:val="sr-Cyrl-CS"/>
      </w:rPr>
      <w:t xml:space="preserve"> </w:t>
    </w:r>
    <w:r w:rsidR="00E15E0B">
      <w:rPr>
        <w:rFonts w:ascii="Arial" w:eastAsia="Times New Roman" w:hAnsi="Arial" w:cs="Arial"/>
        <w:sz w:val="16"/>
        <w:szCs w:val="16"/>
        <w:lang w:val="sr-Latn-RS"/>
      </w:rPr>
      <w:t>RS</w:t>
    </w:r>
    <w:r w:rsidRPr="00576503">
      <w:rPr>
        <w:rFonts w:ascii="Arial" w:eastAsia="Times New Roman" w:hAnsi="Arial" w:cs="Arial"/>
        <w:sz w:val="16"/>
        <w:szCs w:val="16"/>
        <w:lang w:val="sr-Cyrl-CS"/>
      </w:rPr>
      <w:t xml:space="preserve">10 </w:t>
    </w:r>
    <w:r w:rsidR="00AE1A0C">
      <w:rPr>
        <w:rFonts w:ascii="Arial" w:eastAsia="Times New Roman" w:hAnsi="Arial" w:cs="Arial"/>
        <w:sz w:val="16"/>
        <w:szCs w:val="16"/>
        <w:lang w:val="sr-Latn-RS"/>
      </w:rPr>
      <w:t>301118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E41" w:rsidRPr="00D44751" w:rsidRDefault="00E15E0B" w:rsidP="006A1222">
    <w:pPr>
      <w:pStyle w:val="Footer"/>
      <w:pBdr>
        <w:top w:val="single" w:sz="4" w:space="1" w:color="auto"/>
      </w:pBdr>
      <w:rPr>
        <w:rFonts w:ascii="Arial" w:hAnsi="Arial" w:cs="Arial"/>
        <w:sz w:val="16"/>
        <w:szCs w:val="16"/>
      </w:rPr>
    </w:pPr>
    <w:r>
      <w:rPr>
        <w:rFonts w:ascii="Arial" w:eastAsia="Times New Roman" w:hAnsi="Arial" w:cs="Arial"/>
        <w:sz w:val="16"/>
        <w:szCs w:val="16"/>
        <w:lang w:val="sr-Latn-RS"/>
      </w:rPr>
      <w:t>SERB</w:t>
    </w:r>
    <w:r w:rsidR="00AE1A0C">
      <w:rPr>
        <w:rFonts w:ascii="Arial" w:eastAsia="Times New Roman" w:hAnsi="Arial" w:cs="Arial"/>
        <w:sz w:val="16"/>
        <w:szCs w:val="16"/>
        <w:lang w:val="sr-Latn-RS"/>
      </w:rPr>
      <w:t>328</w:t>
    </w:r>
    <w:r>
      <w:rPr>
        <w:rFonts w:ascii="Arial" w:eastAsia="Times New Roman" w:hAnsi="Arial" w:cs="Arial"/>
        <w:sz w:val="16"/>
        <w:szCs w:val="16"/>
        <w:lang w:val="sr-Latn-RS"/>
      </w:rPr>
      <w:t xml:space="preserve"> RS10 </w:t>
    </w:r>
    <w:r w:rsidR="00AE1A0C">
      <w:rPr>
        <w:rFonts w:ascii="Arial" w:eastAsia="Times New Roman" w:hAnsi="Arial" w:cs="Arial"/>
        <w:sz w:val="16"/>
        <w:szCs w:val="16"/>
        <w:lang w:val="sr-Latn-RS"/>
      </w:rPr>
      <w:t xml:space="preserve">301118                                                                                                                                                                                            </w:t>
    </w:r>
    <w:r w:rsidR="00624E41" w:rsidRPr="00D44751">
      <w:rPr>
        <w:rFonts w:ascii="Arial" w:hAnsi="Arial" w:cs="Arial"/>
        <w:sz w:val="16"/>
        <w:szCs w:val="16"/>
      </w:rPr>
      <w:fldChar w:fldCharType="begin"/>
    </w:r>
    <w:r w:rsidR="00624E41" w:rsidRPr="00D44751">
      <w:rPr>
        <w:rFonts w:ascii="Arial" w:hAnsi="Arial" w:cs="Arial"/>
        <w:sz w:val="16"/>
        <w:szCs w:val="16"/>
      </w:rPr>
      <w:instrText xml:space="preserve"> PAGE   \* MERGEFORMAT </w:instrText>
    </w:r>
    <w:r w:rsidR="00624E41" w:rsidRPr="00D44751">
      <w:rPr>
        <w:rFonts w:ascii="Arial" w:hAnsi="Arial" w:cs="Arial"/>
        <w:sz w:val="16"/>
        <w:szCs w:val="16"/>
      </w:rPr>
      <w:fldChar w:fldCharType="separate"/>
    </w:r>
    <w:r w:rsidR="00BA28CA">
      <w:rPr>
        <w:rFonts w:ascii="Arial" w:hAnsi="Arial" w:cs="Arial"/>
        <w:noProof/>
        <w:sz w:val="16"/>
        <w:szCs w:val="16"/>
      </w:rPr>
      <w:t>3</w:t>
    </w:r>
    <w:r w:rsidR="00624E41" w:rsidRPr="00D44751">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4D4" w:rsidRDefault="00C764D4" w:rsidP="008F1FDB">
      <w:r>
        <w:separator/>
      </w:r>
    </w:p>
  </w:footnote>
  <w:footnote w:type="continuationSeparator" w:id="0">
    <w:p w:rsidR="00C764D4" w:rsidRDefault="00C764D4" w:rsidP="008F1FDB">
      <w:r>
        <w:continuationSeparator/>
      </w:r>
    </w:p>
  </w:footnote>
  <w:footnote w:id="1">
    <w:p w:rsidR="00F7497D" w:rsidRPr="00F7497D" w:rsidRDefault="00F7497D" w:rsidP="00F7497D">
      <w:pPr>
        <w:pStyle w:val="FootnoteText"/>
        <w:ind w:left="144" w:hanging="144"/>
        <w:rPr>
          <w:lang w:val="sr-Latn-RS"/>
        </w:rPr>
      </w:pPr>
      <w:r w:rsidRPr="00F7497D">
        <w:rPr>
          <w:rStyle w:val="FootnoteReference"/>
          <w:rFonts w:ascii="Arial" w:hAnsi="Arial" w:cs="Arial"/>
        </w:rPr>
        <w:footnoteRef/>
      </w:r>
      <w:r>
        <w:t xml:space="preserve"> </w:t>
      </w:r>
      <w:r w:rsidRPr="00F7497D">
        <w:rPr>
          <w:rFonts w:ascii="Arial" w:hAnsi="Arial" w:cs="Arial"/>
          <w:sz w:val="16"/>
          <w:szCs w:val="16"/>
        </w:rPr>
        <w:t>The whole section of Agriculture, Forestry and Fishery, as well as a part of the section Activities of households as employers referring to agriculture.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2269"/>
    <w:multiLevelType w:val="hybridMultilevel"/>
    <w:tmpl w:val="302A30AE"/>
    <w:lvl w:ilvl="0" w:tplc="EB34B6E8">
      <w:numFmt w:val="bullet"/>
      <w:lvlText w:val=""/>
      <w:lvlJc w:val="left"/>
      <w:pPr>
        <w:ind w:left="720" w:hanging="360"/>
      </w:pPr>
      <w:rPr>
        <w:rFonts w:ascii="Symbol" w:eastAsia="Calibri"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C6793"/>
    <w:multiLevelType w:val="hybridMultilevel"/>
    <w:tmpl w:val="B088FFEE"/>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 w15:restartNumberingAfterBreak="0">
    <w:nsid w:val="0F223D8A"/>
    <w:multiLevelType w:val="hybridMultilevel"/>
    <w:tmpl w:val="1FEA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538CE"/>
    <w:multiLevelType w:val="hybridMultilevel"/>
    <w:tmpl w:val="58E84AC0"/>
    <w:lvl w:ilvl="0" w:tplc="2A7655DC">
      <w:start w:val="1"/>
      <w:numFmt w:val="decimal"/>
      <w:lvlText w:val="%1."/>
      <w:lvlJc w:val="left"/>
      <w:pPr>
        <w:ind w:left="1413" w:hanging="7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2148707D"/>
    <w:multiLevelType w:val="hybridMultilevel"/>
    <w:tmpl w:val="3502D5DA"/>
    <w:lvl w:ilvl="0" w:tplc="04090003">
      <w:start w:val="1"/>
      <w:numFmt w:val="bullet"/>
      <w:lvlText w:val="o"/>
      <w:lvlJc w:val="left"/>
      <w:pPr>
        <w:ind w:left="1117" w:hanging="360"/>
      </w:pPr>
      <w:rPr>
        <w:rFonts w:ascii="Courier New" w:hAnsi="Courier New" w:cs="Courier New"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5" w15:restartNumberingAfterBreak="0">
    <w:nsid w:val="24626CBD"/>
    <w:multiLevelType w:val="hybridMultilevel"/>
    <w:tmpl w:val="85047E42"/>
    <w:lvl w:ilvl="0" w:tplc="EB34B6E8">
      <w:numFmt w:val="bullet"/>
      <w:lvlText w:val=""/>
      <w:lvlJc w:val="left"/>
      <w:pPr>
        <w:ind w:left="720" w:hanging="360"/>
      </w:pPr>
      <w:rPr>
        <w:rFonts w:ascii="Symbol" w:eastAsia="Calibri"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703B1"/>
    <w:multiLevelType w:val="hybridMultilevel"/>
    <w:tmpl w:val="72189026"/>
    <w:lvl w:ilvl="0" w:tplc="9750559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882484"/>
    <w:multiLevelType w:val="hybridMultilevel"/>
    <w:tmpl w:val="4A0E49A6"/>
    <w:lvl w:ilvl="0" w:tplc="E390CF06">
      <w:start w:val="1"/>
      <w:numFmt w:val="bullet"/>
      <w:lvlText w:val="-"/>
      <w:lvlJc w:val="left"/>
      <w:pPr>
        <w:ind w:left="720" w:hanging="360"/>
      </w:pPr>
      <w:rPr>
        <w:rFonts w:ascii="Calibri" w:hAnsi="Calibr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15:restartNumberingAfterBreak="0">
    <w:nsid w:val="356B0DB9"/>
    <w:multiLevelType w:val="multilevel"/>
    <w:tmpl w:val="14D6CD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94301EA"/>
    <w:multiLevelType w:val="hybridMultilevel"/>
    <w:tmpl w:val="8048BD94"/>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15:restartNumberingAfterBreak="0">
    <w:nsid w:val="39FC2EA2"/>
    <w:multiLevelType w:val="hybridMultilevel"/>
    <w:tmpl w:val="B5703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72694C"/>
    <w:multiLevelType w:val="hybridMultilevel"/>
    <w:tmpl w:val="FD101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667B3"/>
    <w:multiLevelType w:val="hybridMultilevel"/>
    <w:tmpl w:val="418C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F49AA"/>
    <w:multiLevelType w:val="hybridMultilevel"/>
    <w:tmpl w:val="D07CD6A4"/>
    <w:lvl w:ilvl="0" w:tplc="E620E0AC">
      <w:start w:val="1"/>
      <w:numFmt w:val="bullet"/>
      <w:lvlText w:val=""/>
      <w:lvlJc w:val="left"/>
      <w:pPr>
        <w:ind w:left="1495" w:hanging="360"/>
      </w:pPr>
      <w:rPr>
        <w:rFonts w:ascii="Wingdings" w:hAnsi="Wingdings" w:hint="default"/>
        <w:color w:val="auto"/>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4" w15:restartNumberingAfterBreak="0">
    <w:nsid w:val="598C14ED"/>
    <w:multiLevelType w:val="hybridMultilevel"/>
    <w:tmpl w:val="FE68AA2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15:restartNumberingAfterBreak="0">
    <w:nsid w:val="5B407F59"/>
    <w:multiLevelType w:val="hybridMultilevel"/>
    <w:tmpl w:val="5C2C88DA"/>
    <w:lvl w:ilvl="0" w:tplc="23921F8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CD00CC"/>
    <w:multiLevelType w:val="hybridMultilevel"/>
    <w:tmpl w:val="813A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33332"/>
    <w:multiLevelType w:val="hybridMultilevel"/>
    <w:tmpl w:val="6262DA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751D3A"/>
    <w:multiLevelType w:val="hybridMultilevel"/>
    <w:tmpl w:val="84D8F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7018A0"/>
    <w:multiLevelType w:val="hybridMultilevel"/>
    <w:tmpl w:val="BF909BE8"/>
    <w:lvl w:ilvl="0" w:tplc="EB34B6E8">
      <w:numFmt w:val="bullet"/>
      <w:lvlText w:val=""/>
      <w:lvlJc w:val="left"/>
      <w:pPr>
        <w:ind w:left="720" w:hanging="360"/>
      </w:pPr>
      <w:rPr>
        <w:rFonts w:ascii="Symbol" w:eastAsia="Calibri"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0250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CD0FDA"/>
    <w:multiLevelType w:val="hybridMultilevel"/>
    <w:tmpl w:val="98B85448"/>
    <w:lvl w:ilvl="0" w:tplc="CD861C7C">
      <w:start w:val="15"/>
      <w:numFmt w:val="bullet"/>
      <w:lvlText w:val="-"/>
      <w:lvlJc w:val="left"/>
      <w:pPr>
        <w:ind w:left="1773" w:hanging="360"/>
      </w:pPr>
      <w:rPr>
        <w:rFonts w:ascii="Times New Roman" w:eastAsia="Calibri" w:hAnsi="Times New Roman" w:cs="Times New Roman" w:hint="default"/>
      </w:rPr>
    </w:lvl>
    <w:lvl w:ilvl="1" w:tplc="04090003" w:tentative="1">
      <w:start w:val="1"/>
      <w:numFmt w:val="bullet"/>
      <w:lvlText w:val="o"/>
      <w:lvlJc w:val="left"/>
      <w:pPr>
        <w:ind w:left="2493" w:hanging="360"/>
      </w:pPr>
      <w:rPr>
        <w:rFonts w:ascii="Courier New" w:hAnsi="Courier New" w:cs="Courier New" w:hint="default"/>
      </w:rPr>
    </w:lvl>
    <w:lvl w:ilvl="2" w:tplc="04090005" w:tentative="1">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22" w15:restartNumberingAfterBreak="0">
    <w:nsid w:val="7D8E0550"/>
    <w:multiLevelType w:val="hybridMultilevel"/>
    <w:tmpl w:val="05108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14"/>
  </w:num>
  <w:num w:numId="5">
    <w:abstractNumId w:val="5"/>
  </w:num>
  <w:num w:numId="6">
    <w:abstractNumId w:val="19"/>
  </w:num>
  <w:num w:numId="7">
    <w:abstractNumId w:val="0"/>
  </w:num>
  <w:num w:numId="8">
    <w:abstractNumId w:val="7"/>
  </w:num>
  <w:num w:numId="9">
    <w:abstractNumId w:val="1"/>
  </w:num>
  <w:num w:numId="10">
    <w:abstractNumId w:val="16"/>
  </w:num>
  <w:num w:numId="11">
    <w:abstractNumId w:val="13"/>
  </w:num>
  <w:num w:numId="12">
    <w:abstractNumId w:val="4"/>
  </w:num>
  <w:num w:numId="13">
    <w:abstractNumId w:val="17"/>
  </w:num>
  <w:num w:numId="14">
    <w:abstractNumId w:val="3"/>
  </w:num>
  <w:num w:numId="15">
    <w:abstractNumId w:val="20"/>
  </w:num>
  <w:num w:numId="16">
    <w:abstractNumId w:val="8"/>
  </w:num>
  <w:num w:numId="17">
    <w:abstractNumId w:val="21"/>
  </w:num>
  <w:num w:numId="18">
    <w:abstractNumId w:val="11"/>
  </w:num>
  <w:num w:numId="19">
    <w:abstractNumId w:val="6"/>
  </w:num>
  <w:num w:numId="20">
    <w:abstractNumId w:val="9"/>
  </w:num>
  <w:num w:numId="21">
    <w:abstractNumId w:val="15"/>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DB"/>
    <w:rsid w:val="00003304"/>
    <w:rsid w:val="00006538"/>
    <w:rsid w:val="00013093"/>
    <w:rsid w:val="000348CE"/>
    <w:rsid w:val="00046DB9"/>
    <w:rsid w:val="0005439C"/>
    <w:rsid w:val="000738EC"/>
    <w:rsid w:val="00084400"/>
    <w:rsid w:val="000A395C"/>
    <w:rsid w:val="000C43A8"/>
    <w:rsid w:val="000C6D73"/>
    <w:rsid w:val="000D69BB"/>
    <w:rsid w:val="000E70B3"/>
    <w:rsid w:val="000F2A19"/>
    <w:rsid w:val="000F44C5"/>
    <w:rsid w:val="000F4A7D"/>
    <w:rsid w:val="00100800"/>
    <w:rsid w:val="00103A54"/>
    <w:rsid w:val="00106751"/>
    <w:rsid w:val="0011686A"/>
    <w:rsid w:val="00126219"/>
    <w:rsid w:val="00134023"/>
    <w:rsid w:val="0015173D"/>
    <w:rsid w:val="001643B8"/>
    <w:rsid w:val="00166DB3"/>
    <w:rsid w:val="00184AFD"/>
    <w:rsid w:val="00196487"/>
    <w:rsid w:val="001A5267"/>
    <w:rsid w:val="001C2A83"/>
    <w:rsid w:val="001F19B7"/>
    <w:rsid w:val="001F3AB9"/>
    <w:rsid w:val="0020430D"/>
    <w:rsid w:val="00210C1C"/>
    <w:rsid w:val="0021176C"/>
    <w:rsid w:val="00213C8C"/>
    <w:rsid w:val="002230F8"/>
    <w:rsid w:val="00225892"/>
    <w:rsid w:val="00227336"/>
    <w:rsid w:val="002338AB"/>
    <w:rsid w:val="00251661"/>
    <w:rsid w:val="002518BC"/>
    <w:rsid w:val="00275560"/>
    <w:rsid w:val="00277FE4"/>
    <w:rsid w:val="002A0F49"/>
    <w:rsid w:val="002A5206"/>
    <w:rsid w:val="002A5578"/>
    <w:rsid w:val="002A7F09"/>
    <w:rsid w:val="002B6AEA"/>
    <w:rsid w:val="002B7CF1"/>
    <w:rsid w:val="002D3DE0"/>
    <w:rsid w:val="002E1F9F"/>
    <w:rsid w:val="002E5232"/>
    <w:rsid w:val="002E68C6"/>
    <w:rsid w:val="002F7531"/>
    <w:rsid w:val="00301CB4"/>
    <w:rsid w:val="0030252E"/>
    <w:rsid w:val="003138BC"/>
    <w:rsid w:val="0032019D"/>
    <w:rsid w:val="0032539F"/>
    <w:rsid w:val="00331733"/>
    <w:rsid w:val="00335F51"/>
    <w:rsid w:val="0033607C"/>
    <w:rsid w:val="003648F3"/>
    <w:rsid w:val="0036735D"/>
    <w:rsid w:val="00391A81"/>
    <w:rsid w:val="0039649B"/>
    <w:rsid w:val="003B4E77"/>
    <w:rsid w:val="003C784C"/>
    <w:rsid w:val="003D4780"/>
    <w:rsid w:val="003E6A11"/>
    <w:rsid w:val="003F1840"/>
    <w:rsid w:val="00407AEC"/>
    <w:rsid w:val="00412661"/>
    <w:rsid w:val="00415AE4"/>
    <w:rsid w:val="004161FD"/>
    <w:rsid w:val="00424EB5"/>
    <w:rsid w:val="004253AF"/>
    <w:rsid w:val="00440D47"/>
    <w:rsid w:val="004439E5"/>
    <w:rsid w:val="00451739"/>
    <w:rsid w:val="004568F6"/>
    <w:rsid w:val="0045721A"/>
    <w:rsid w:val="00460D42"/>
    <w:rsid w:val="00466052"/>
    <w:rsid w:val="00475D8E"/>
    <w:rsid w:val="004933F8"/>
    <w:rsid w:val="004A2B81"/>
    <w:rsid w:val="004A5C1A"/>
    <w:rsid w:val="004B0BEC"/>
    <w:rsid w:val="004C40C6"/>
    <w:rsid w:val="004D5448"/>
    <w:rsid w:val="004D5559"/>
    <w:rsid w:val="004F0B6D"/>
    <w:rsid w:val="004F268A"/>
    <w:rsid w:val="00517932"/>
    <w:rsid w:val="00523F0F"/>
    <w:rsid w:val="005417F2"/>
    <w:rsid w:val="0054237A"/>
    <w:rsid w:val="00545B7A"/>
    <w:rsid w:val="005603EE"/>
    <w:rsid w:val="0056288F"/>
    <w:rsid w:val="00563A0D"/>
    <w:rsid w:val="00565286"/>
    <w:rsid w:val="00576503"/>
    <w:rsid w:val="0059160F"/>
    <w:rsid w:val="005B2627"/>
    <w:rsid w:val="005D3F8D"/>
    <w:rsid w:val="005E3666"/>
    <w:rsid w:val="005E65AF"/>
    <w:rsid w:val="005E696F"/>
    <w:rsid w:val="0060303E"/>
    <w:rsid w:val="00605676"/>
    <w:rsid w:val="00612AE0"/>
    <w:rsid w:val="006148C7"/>
    <w:rsid w:val="00624E41"/>
    <w:rsid w:val="00625934"/>
    <w:rsid w:val="006264D2"/>
    <w:rsid w:val="00667CA0"/>
    <w:rsid w:val="00670DFD"/>
    <w:rsid w:val="00687560"/>
    <w:rsid w:val="0069569B"/>
    <w:rsid w:val="006A1222"/>
    <w:rsid w:val="006A1C70"/>
    <w:rsid w:val="006D0ED9"/>
    <w:rsid w:val="006D7E24"/>
    <w:rsid w:val="006F0BB2"/>
    <w:rsid w:val="006F3615"/>
    <w:rsid w:val="00716137"/>
    <w:rsid w:val="007179D8"/>
    <w:rsid w:val="00725519"/>
    <w:rsid w:val="007258A5"/>
    <w:rsid w:val="00746DD9"/>
    <w:rsid w:val="007568FD"/>
    <w:rsid w:val="00761651"/>
    <w:rsid w:val="00766691"/>
    <w:rsid w:val="0078202D"/>
    <w:rsid w:val="0078275A"/>
    <w:rsid w:val="007838B6"/>
    <w:rsid w:val="007972AA"/>
    <w:rsid w:val="007973C9"/>
    <w:rsid w:val="007A710F"/>
    <w:rsid w:val="007A7B1D"/>
    <w:rsid w:val="007C233B"/>
    <w:rsid w:val="007E2FC1"/>
    <w:rsid w:val="007E6487"/>
    <w:rsid w:val="007F04C4"/>
    <w:rsid w:val="007F2030"/>
    <w:rsid w:val="007F58F3"/>
    <w:rsid w:val="00814F67"/>
    <w:rsid w:val="008220FF"/>
    <w:rsid w:val="00837FE1"/>
    <w:rsid w:val="008560F4"/>
    <w:rsid w:val="0085728F"/>
    <w:rsid w:val="00864F8D"/>
    <w:rsid w:val="0086505B"/>
    <w:rsid w:val="00880A8B"/>
    <w:rsid w:val="00882574"/>
    <w:rsid w:val="00882BB3"/>
    <w:rsid w:val="0088400B"/>
    <w:rsid w:val="008A6A1E"/>
    <w:rsid w:val="008B4880"/>
    <w:rsid w:val="008C0465"/>
    <w:rsid w:val="008C52BC"/>
    <w:rsid w:val="008C52F9"/>
    <w:rsid w:val="008E1872"/>
    <w:rsid w:val="008E20A0"/>
    <w:rsid w:val="008E72AB"/>
    <w:rsid w:val="008F1FDB"/>
    <w:rsid w:val="00901882"/>
    <w:rsid w:val="00903C4C"/>
    <w:rsid w:val="009246B8"/>
    <w:rsid w:val="00930544"/>
    <w:rsid w:val="00942052"/>
    <w:rsid w:val="00953DCE"/>
    <w:rsid w:val="00964EA6"/>
    <w:rsid w:val="009927E5"/>
    <w:rsid w:val="009B1EAA"/>
    <w:rsid w:val="009B7E85"/>
    <w:rsid w:val="009D13A2"/>
    <w:rsid w:val="009E3604"/>
    <w:rsid w:val="009F56BA"/>
    <w:rsid w:val="00A01539"/>
    <w:rsid w:val="00A03B79"/>
    <w:rsid w:val="00A16667"/>
    <w:rsid w:val="00A17D42"/>
    <w:rsid w:val="00A21645"/>
    <w:rsid w:val="00A51001"/>
    <w:rsid w:val="00A5363E"/>
    <w:rsid w:val="00A575CF"/>
    <w:rsid w:val="00A611EF"/>
    <w:rsid w:val="00A70C18"/>
    <w:rsid w:val="00A73B1F"/>
    <w:rsid w:val="00A838BF"/>
    <w:rsid w:val="00A92DE7"/>
    <w:rsid w:val="00A93D57"/>
    <w:rsid w:val="00AB4EA8"/>
    <w:rsid w:val="00AB7A3B"/>
    <w:rsid w:val="00AC22D0"/>
    <w:rsid w:val="00AD5AB1"/>
    <w:rsid w:val="00AE1A0C"/>
    <w:rsid w:val="00AE2B74"/>
    <w:rsid w:val="00B001B9"/>
    <w:rsid w:val="00B01D93"/>
    <w:rsid w:val="00B05442"/>
    <w:rsid w:val="00B2296A"/>
    <w:rsid w:val="00B336CD"/>
    <w:rsid w:val="00B377AD"/>
    <w:rsid w:val="00B47D12"/>
    <w:rsid w:val="00B547F5"/>
    <w:rsid w:val="00B84327"/>
    <w:rsid w:val="00B90D92"/>
    <w:rsid w:val="00B939E3"/>
    <w:rsid w:val="00BA1826"/>
    <w:rsid w:val="00BA28CA"/>
    <w:rsid w:val="00BA4AF7"/>
    <w:rsid w:val="00BB018E"/>
    <w:rsid w:val="00BC5415"/>
    <w:rsid w:val="00BD08A0"/>
    <w:rsid w:val="00BD4B17"/>
    <w:rsid w:val="00BD6BE5"/>
    <w:rsid w:val="00BE4FEB"/>
    <w:rsid w:val="00BF092A"/>
    <w:rsid w:val="00C25484"/>
    <w:rsid w:val="00C3339D"/>
    <w:rsid w:val="00C47384"/>
    <w:rsid w:val="00C50458"/>
    <w:rsid w:val="00C57274"/>
    <w:rsid w:val="00C63CDF"/>
    <w:rsid w:val="00C67681"/>
    <w:rsid w:val="00C73815"/>
    <w:rsid w:val="00C764D4"/>
    <w:rsid w:val="00C7661B"/>
    <w:rsid w:val="00C83F19"/>
    <w:rsid w:val="00C93537"/>
    <w:rsid w:val="00C94716"/>
    <w:rsid w:val="00C9494C"/>
    <w:rsid w:val="00CA3880"/>
    <w:rsid w:val="00CA60E8"/>
    <w:rsid w:val="00CA6360"/>
    <w:rsid w:val="00CD1661"/>
    <w:rsid w:val="00CD3C9E"/>
    <w:rsid w:val="00CE4FF6"/>
    <w:rsid w:val="00CE52BA"/>
    <w:rsid w:val="00CE7B57"/>
    <w:rsid w:val="00CF2807"/>
    <w:rsid w:val="00CF7145"/>
    <w:rsid w:val="00D11296"/>
    <w:rsid w:val="00D12954"/>
    <w:rsid w:val="00D3111B"/>
    <w:rsid w:val="00D31C3E"/>
    <w:rsid w:val="00D36BF2"/>
    <w:rsid w:val="00D4357B"/>
    <w:rsid w:val="00D44D7D"/>
    <w:rsid w:val="00D465E1"/>
    <w:rsid w:val="00D5113B"/>
    <w:rsid w:val="00D53A35"/>
    <w:rsid w:val="00D655A4"/>
    <w:rsid w:val="00D65A50"/>
    <w:rsid w:val="00D8352F"/>
    <w:rsid w:val="00D925E2"/>
    <w:rsid w:val="00DA2A7C"/>
    <w:rsid w:val="00DC19DA"/>
    <w:rsid w:val="00DC35AC"/>
    <w:rsid w:val="00DD30B9"/>
    <w:rsid w:val="00DE3C95"/>
    <w:rsid w:val="00DE4F1D"/>
    <w:rsid w:val="00DE662A"/>
    <w:rsid w:val="00E03C68"/>
    <w:rsid w:val="00E068AF"/>
    <w:rsid w:val="00E079E5"/>
    <w:rsid w:val="00E15E0B"/>
    <w:rsid w:val="00E22119"/>
    <w:rsid w:val="00E263C3"/>
    <w:rsid w:val="00E34BDD"/>
    <w:rsid w:val="00E57461"/>
    <w:rsid w:val="00E61511"/>
    <w:rsid w:val="00E62C2D"/>
    <w:rsid w:val="00E711A9"/>
    <w:rsid w:val="00E75AED"/>
    <w:rsid w:val="00E834F8"/>
    <w:rsid w:val="00E86E35"/>
    <w:rsid w:val="00E93EDA"/>
    <w:rsid w:val="00EA57A8"/>
    <w:rsid w:val="00EB3111"/>
    <w:rsid w:val="00EB69D8"/>
    <w:rsid w:val="00EB77D3"/>
    <w:rsid w:val="00EC0C85"/>
    <w:rsid w:val="00EC413F"/>
    <w:rsid w:val="00EE000E"/>
    <w:rsid w:val="00EE2BAA"/>
    <w:rsid w:val="00EE3555"/>
    <w:rsid w:val="00EF25FA"/>
    <w:rsid w:val="00F03B80"/>
    <w:rsid w:val="00F05C5F"/>
    <w:rsid w:val="00F200F5"/>
    <w:rsid w:val="00F416AF"/>
    <w:rsid w:val="00F44424"/>
    <w:rsid w:val="00F54219"/>
    <w:rsid w:val="00F575CD"/>
    <w:rsid w:val="00F74925"/>
    <w:rsid w:val="00F7497D"/>
    <w:rsid w:val="00F9046D"/>
    <w:rsid w:val="00FA2B2F"/>
    <w:rsid w:val="00FA316C"/>
    <w:rsid w:val="00FB1802"/>
    <w:rsid w:val="00FB2E36"/>
    <w:rsid w:val="00FD3EB5"/>
    <w:rsid w:val="00FE415C"/>
    <w:rsid w:val="00FE417F"/>
    <w:rsid w:val="00FE6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A163"/>
  <w15:docId w15:val="{99016DD0-E834-49FF-81E8-A512A47E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FDB"/>
    <w:pPr>
      <w:spacing w:after="0" w:line="240" w:lineRule="auto"/>
    </w:pPr>
    <w:rPr>
      <w:rFonts w:ascii="Arial" w:eastAsia="Times New Roman" w:hAnsi="Arial" w:cs="Times New Roman"/>
      <w:sz w:val="20"/>
      <w:szCs w:val="20"/>
      <w:lang w:val="en-GB"/>
    </w:rPr>
  </w:style>
  <w:style w:type="paragraph" w:styleId="Heading1">
    <w:name w:val="heading 1"/>
    <w:basedOn w:val="Normal"/>
    <w:next w:val="Normal"/>
    <w:link w:val="Heading1Char"/>
    <w:uiPriority w:val="9"/>
    <w:qFormat/>
    <w:rsid w:val="008F1FDB"/>
    <w:pPr>
      <w:keepNext/>
      <w:keepLines/>
      <w:spacing w:before="480" w:line="276" w:lineRule="auto"/>
      <w:outlineLvl w:val="0"/>
    </w:pPr>
    <w:rPr>
      <w:rFonts w:ascii="Cambria" w:hAnsi="Cambria"/>
      <w:b/>
      <w:bCs/>
      <w:color w:val="365F91"/>
      <w:sz w:val="28"/>
      <w:szCs w:val="28"/>
    </w:rPr>
  </w:style>
  <w:style w:type="paragraph" w:styleId="Heading4">
    <w:name w:val="heading 4"/>
    <w:basedOn w:val="Normal"/>
    <w:next w:val="Normal"/>
    <w:link w:val="Heading4Char"/>
    <w:uiPriority w:val="9"/>
    <w:semiHidden/>
    <w:unhideWhenUsed/>
    <w:qFormat/>
    <w:rsid w:val="00C50458"/>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FDB"/>
    <w:rPr>
      <w:rFonts w:ascii="Cambria" w:eastAsia="Times New Roman" w:hAnsi="Cambria" w:cs="Times New Roman"/>
      <w:b/>
      <w:bCs/>
      <w:color w:val="365F91"/>
      <w:sz w:val="28"/>
      <w:szCs w:val="28"/>
      <w:lang w:val="sr-Cyrl-RS"/>
    </w:rPr>
  </w:style>
  <w:style w:type="paragraph" w:styleId="PlainText">
    <w:name w:val="Plain Text"/>
    <w:basedOn w:val="Normal"/>
    <w:link w:val="PlainTextChar"/>
    <w:uiPriority w:val="99"/>
    <w:unhideWhenUsed/>
    <w:rsid w:val="008F1FDB"/>
    <w:rPr>
      <w:rFonts w:ascii="Calibri" w:eastAsia="Calibri" w:hAnsi="Calibri"/>
      <w:sz w:val="22"/>
      <w:szCs w:val="22"/>
      <w:lang w:val="x-none" w:eastAsia="x-none"/>
    </w:rPr>
  </w:style>
  <w:style w:type="character" w:customStyle="1" w:styleId="PlainTextChar">
    <w:name w:val="Plain Text Char"/>
    <w:basedOn w:val="DefaultParagraphFont"/>
    <w:link w:val="PlainText"/>
    <w:uiPriority w:val="99"/>
    <w:rsid w:val="008F1FDB"/>
    <w:rPr>
      <w:rFonts w:ascii="Calibri" w:eastAsia="Calibri" w:hAnsi="Calibri" w:cs="Times New Roman"/>
      <w:lang w:val="x-none" w:eastAsia="x-none"/>
    </w:rPr>
  </w:style>
  <w:style w:type="paragraph" w:styleId="ListParagraph">
    <w:name w:val="List Paragraph"/>
    <w:basedOn w:val="Normal"/>
    <w:uiPriority w:val="34"/>
    <w:qFormat/>
    <w:rsid w:val="008F1FDB"/>
    <w:pPr>
      <w:ind w:left="720"/>
      <w:contextualSpacing/>
    </w:pPr>
    <w:rPr>
      <w:rFonts w:ascii="Calibri" w:eastAsia="Calibri" w:hAnsi="Calibri"/>
      <w:sz w:val="24"/>
      <w:szCs w:val="24"/>
      <w:lang w:val="en-US"/>
    </w:rPr>
  </w:style>
  <w:style w:type="paragraph" w:customStyle="1" w:styleId="Default">
    <w:name w:val="Default"/>
    <w:rsid w:val="008F1FDB"/>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rsid w:val="008F1FDB"/>
    <w:pPr>
      <w:spacing w:beforeLines="1" w:afterLines="1"/>
    </w:pPr>
    <w:rPr>
      <w:rFonts w:ascii="Times" w:eastAsia="Calibri" w:hAnsi="Times"/>
      <w:lang w:val="en-US"/>
    </w:rPr>
  </w:style>
  <w:style w:type="paragraph" w:styleId="FootnoteText">
    <w:name w:val="footnote text"/>
    <w:basedOn w:val="Normal"/>
    <w:link w:val="FootnoteTextChar"/>
    <w:uiPriority w:val="99"/>
    <w:unhideWhenUsed/>
    <w:rsid w:val="008F1FDB"/>
    <w:rPr>
      <w:rFonts w:ascii="Calibri" w:eastAsia="Calibri" w:hAnsi="Calibri"/>
    </w:rPr>
  </w:style>
  <w:style w:type="character" w:customStyle="1" w:styleId="FootnoteTextChar">
    <w:name w:val="Footnote Text Char"/>
    <w:basedOn w:val="DefaultParagraphFont"/>
    <w:link w:val="FootnoteText"/>
    <w:uiPriority w:val="99"/>
    <w:rsid w:val="008F1FDB"/>
    <w:rPr>
      <w:rFonts w:ascii="Calibri" w:eastAsia="Calibri" w:hAnsi="Calibri" w:cs="Times New Roman"/>
      <w:sz w:val="20"/>
      <w:szCs w:val="20"/>
      <w:lang w:val="sr-Cyrl-RS"/>
    </w:rPr>
  </w:style>
  <w:style w:type="character" w:styleId="FootnoteReference">
    <w:name w:val="footnote reference"/>
    <w:uiPriority w:val="99"/>
    <w:unhideWhenUsed/>
    <w:rsid w:val="008F1FDB"/>
    <w:rPr>
      <w:vertAlign w:val="superscript"/>
    </w:rPr>
  </w:style>
  <w:style w:type="paragraph" w:styleId="BalloonText">
    <w:name w:val="Balloon Text"/>
    <w:basedOn w:val="Normal"/>
    <w:link w:val="BalloonTextChar"/>
    <w:uiPriority w:val="99"/>
    <w:semiHidden/>
    <w:unhideWhenUsed/>
    <w:rsid w:val="008F1FD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F1FDB"/>
    <w:rPr>
      <w:rFonts w:ascii="Tahoma" w:eastAsia="Calibri" w:hAnsi="Tahoma" w:cs="Tahoma"/>
      <w:sz w:val="16"/>
      <w:szCs w:val="16"/>
      <w:lang w:val="sr-Cyrl-RS"/>
    </w:rPr>
  </w:style>
  <w:style w:type="paragraph" w:styleId="Header">
    <w:name w:val="header"/>
    <w:basedOn w:val="Normal"/>
    <w:link w:val="HeaderChar"/>
    <w:uiPriority w:val="99"/>
    <w:unhideWhenUsed/>
    <w:rsid w:val="008F1FDB"/>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8F1FDB"/>
    <w:rPr>
      <w:rFonts w:ascii="Calibri" w:eastAsia="Calibri" w:hAnsi="Calibri" w:cs="Times New Roman"/>
      <w:lang w:val="sr-Cyrl-RS"/>
    </w:rPr>
  </w:style>
  <w:style w:type="paragraph" w:styleId="Footer">
    <w:name w:val="footer"/>
    <w:basedOn w:val="Normal"/>
    <w:link w:val="FooterChar"/>
    <w:uiPriority w:val="99"/>
    <w:unhideWhenUsed/>
    <w:rsid w:val="008F1FDB"/>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8F1FDB"/>
    <w:rPr>
      <w:rFonts w:ascii="Calibri" w:eastAsia="Calibri" w:hAnsi="Calibri" w:cs="Times New Roman"/>
      <w:lang w:val="sr-Cyrl-RS"/>
    </w:rPr>
  </w:style>
  <w:style w:type="table" w:styleId="TableGrid">
    <w:name w:val="Table Grid"/>
    <w:basedOn w:val="TableNormal"/>
    <w:uiPriority w:val="59"/>
    <w:rsid w:val="008F1FD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F1FDB"/>
    <w:rPr>
      <w:color w:val="0000FF"/>
      <w:u w:val="single"/>
    </w:rPr>
  </w:style>
  <w:style w:type="paragraph" w:styleId="EndnoteText">
    <w:name w:val="endnote text"/>
    <w:basedOn w:val="Normal"/>
    <w:link w:val="EndnoteTextChar"/>
    <w:uiPriority w:val="99"/>
    <w:semiHidden/>
    <w:unhideWhenUsed/>
    <w:rsid w:val="008F1FDB"/>
    <w:rPr>
      <w:rFonts w:ascii="Calibri" w:eastAsia="Calibri" w:hAnsi="Calibri"/>
    </w:rPr>
  </w:style>
  <w:style w:type="character" w:customStyle="1" w:styleId="EndnoteTextChar">
    <w:name w:val="Endnote Text Char"/>
    <w:basedOn w:val="DefaultParagraphFont"/>
    <w:link w:val="EndnoteText"/>
    <w:uiPriority w:val="99"/>
    <w:semiHidden/>
    <w:rsid w:val="008F1FDB"/>
    <w:rPr>
      <w:rFonts w:ascii="Calibri" w:eastAsia="Calibri" w:hAnsi="Calibri" w:cs="Times New Roman"/>
      <w:sz w:val="20"/>
      <w:szCs w:val="20"/>
      <w:lang w:val="sr-Cyrl-RS"/>
    </w:rPr>
  </w:style>
  <w:style w:type="character" w:styleId="EndnoteReference">
    <w:name w:val="endnote reference"/>
    <w:uiPriority w:val="99"/>
    <w:semiHidden/>
    <w:unhideWhenUsed/>
    <w:rsid w:val="008F1FDB"/>
    <w:rPr>
      <w:vertAlign w:val="superscript"/>
    </w:rPr>
  </w:style>
  <w:style w:type="paragraph" w:customStyle="1" w:styleId="CharCharCharChar">
    <w:name w:val="Char Char Char Char"/>
    <w:basedOn w:val="Normal"/>
    <w:rsid w:val="008F1FDB"/>
    <w:pPr>
      <w:spacing w:after="160" w:line="240" w:lineRule="exact"/>
    </w:pPr>
    <w:rPr>
      <w:rFonts w:ascii="Verdana" w:hAnsi="Verdana"/>
      <w:i/>
      <w:lang w:val="en-US"/>
    </w:rPr>
  </w:style>
  <w:style w:type="character" w:styleId="CommentReference">
    <w:name w:val="annotation reference"/>
    <w:unhideWhenUsed/>
    <w:rsid w:val="008F1FDB"/>
    <w:rPr>
      <w:sz w:val="16"/>
      <w:szCs w:val="16"/>
    </w:rPr>
  </w:style>
  <w:style w:type="paragraph" w:styleId="CommentText">
    <w:name w:val="annotation text"/>
    <w:basedOn w:val="Normal"/>
    <w:link w:val="CommentTextChar"/>
    <w:unhideWhenUsed/>
    <w:rsid w:val="008F1FDB"/>
    <w:pPr>
      <w:spacing w:after="200"/>
    </w:pPr>
    <w:rPr>
      <w:rFonts w:ascii="Calibri" w:eastAsia="Calibri" w:hAnsi="Calibri"/>
    </w:rPr>
  </w:style>
  <w:style w:type="character" w:customStyle="1" w:styleId="CommentTextChar">
    <w:name w:val="Comment Text Char"/>
    <w:basedOn w:val="DefaultParagraphFont"/>
    <w:link w:val="CommentText"/>
    <w:rsid w:val="008F1FDB"/>
    <w:rPr>
      <w:rFonts w:ascii="Calibri" w:eastAsia="Calibri" w:hAnsi="Calibri" w:cs="Times New Roman"/>
      <w:sz w:val="20"/>
      <w:szCs w:val="20"/>
      <w:lang w:val="sr-Cyrl-RS"/>
    </w:rPr>
  </w:style>
  <w:style w:type="paragraph" w:styleId="CommentSubject">
    <w:name w:val="annotation subject"/>
    <w:basedOn w:val="CommentText"/>
    <w:next w:val="CommentText"/>
    <w:link w:val="CommentSubjectChar"/>
    <w:uiPriority w:val="99"/>
    <w:semiHidden/>
    <w:unhideWhenUsed/>
    <w:rsid w:val="008F1FDB"/>
    <w:rPr>
      <w:b/>
      <w:bCs/>
    </w:rPr>
  </w:style>
  <w:style w:type="character" w:customStyle="1" w:styleId="CommentSubjectChar">
    <w:name w:val="Comment Subject Char"/>
    <w:basedOn w:val="CommentTextChar"/>
    <w:link w:val="CommentSubject"/>
    <w:uiPriority w:val="99"/>
    <w:semiHidden/>
    <w:rsid w:val="008F1FDB"/>
    <w:rPr>
      <w:rFonts w:ascii="Calibri" w:eastAsia="Calibri" w:hAnsi="Calibri" w:cs="Times New Roman"/>
      <w:b/>
      <w:bCs/>
      <w:sz w:val="20"/>
      <w:szCs w:val="20"/>
      <w:lang w:val="sr-Cyrl-RS"/>
    </w:rPr>
  </w:style>
  <w:style w:type="character" w:styleId="IntenseEmphasis">
    <w:name w:val="Intense Emphasis"/>
    <w:uiPriority w:val="21"/>
    <w:qFormat/>
    <w:rsid w:val="00DD30B9"/>
    <w:rPr>
      <w:i/>
      <w:iCs/>
      <w:color w:val="5B9BD5"/>
    </w:rPr>
  </w:style>
  <w:style w:type="paragraph" w:customStyle="1" w:styleId="CharCharCharChar0">
    <w:name w:val="Char Char Char Char"/>
    <w:basedOn w:val="Normal"/>
    <w:rsid w:val="00E263C3"/>
    <w:pPr>
      <w:spacing w:after="160" w:line="240" w:lineRule="exact"/>
    </w:pPr>
    <w:rPr>
      <w:rFonts w:ascii="Verdana" w:hAnsi="Verdana"/>
      <w:i/>
    </w:rPr>
  </w:style>
  <w:style w:type="character" w:styleId="IntenseReference">
    <w:name w:val="Intense Reference"/>
    <w:uiPriority w:val="32"/>
    <w:qFormat/>
    <w:rsid w:val="00E263C3"/>
    <w:rPr>
      <w:b/>
      <w:bCs/>
      <w:smallCaps/>
      <w:color w:val="5B9BD5"/>
      <w:spacing w:val="5"/>
    </w:rPr>
  </w:style>
  <w:style w:type="paragraph" w:customStyle="1" w:styleId="CharCharCharChar1">
    <w:name w:val="Char Char Char Char"/>
    <w:basedOn w:val="Normal"/>
    <w:rsid w:val="00B05442"/>
    <w:pPr>
      <w:spacing w:after="160" w:line="240" w:lineRule="exact"/>
    </w:pPr>
    <w:rPr>
      <w:rFonts w:ascii="Verdana" w:hAnsi="Verdana"/>
      <w:i/>
    </w:rPr>
  </w:style>
  <w:style w:type="paragraph" w:customStyle="1" w:styleId="CharCharCharChar2">
    <w:name w:val="Char Char Char Char"/>
    <w:basedOn w:val="Normal"/>
    <w:rsid w:val="008C52F9"/>
    <w:pPr>
      <w:spacing w:after="160" w:line="240" w:lineRule="exact"/>
    </w:pPr>
    <w:rPr>
      <w:rFonts w:ascii="Verdana" w:hAnsi="Verdana"/>
      <w:i/>
    </w:rPr>
  </w:style>
  <w:style w:type="character" w:styleId="FollowedHyperlink">
    <w:name w:val="FollowedHyperlink"/>
    <w:basedOn w:val="DefaultParagraphFont"/>
    <w:uiPriority w:val="99"/>
    <w:semiHidden/>
    <w:unhideWhenUsed/>
    <w:rsid w:val="00227336"/>
    <w:rPr>
      <w:color w:val="954F72" w:themeColor="followedHyperlink"/>
      <w:u w:val="single"/>
    </w:rPr>
  </w:style>
  <w:style w:type="character" w:customStyle="1" w:styleId="Heading4Char">
    <w:name w:val="Heading 4 Char"/>
    <w:basedOn w:val="DefaultParagraphFont"/>
    <w:link w:val="Heading4"/>
    <w:uiPriority w:val="9"/>
    <w:semiHidden/>
    <w:rsid w:val="00C50458"/>
    <w:rPr>
      <w:rFonts w:asciiTheme="majorHAnsi" w:eastAsiaTheme="majorEastAsia" w:hAnsiTheme="majorHAnsi" w:cstheme="majorBidi"/>
      <w:b/>
      <w:bCs/>
      <w:i/>
      <w:iCs/>
      <w:color w:val="5B9BD5" w:themeColor="accent1"/>
      <w:sz w:val="20"/>
      <w:szCs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112">
      <w:bodyDiv w:val="1"/>
      <w:marLeft w:val="0"/>
      <w:marRight w:val="0"/>
      <w:marTop w:val="0"/>
      <w:marBottom w:val="0"/>
      <w:divBdr>
        <w:top w:val="none" w:sz="0" w:space="0" w:color="auto"/>
        <w:left w:val="none" w:sz="0" w:space="0" w:color="auto"/>
        <w:bottom w:val="none" w:sz="0" w:space="0" w:color="auto"/>
        <w:right w:val="none" w:sz="0" w:space="0" w:color="auto"/>
      </w:divBdr>
    </w:div>
    <w:div w:id="175855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s@stat.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ublikacije.stat.gov.rs/G2018/XlsE/G20181328.xlsx"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A515-4E29-4E99-83C9-8D97A655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Savkovic</dc:creator>
  <cp:keywords/>
  <dc:description/>
  <cp:lastModifiedBy>Aleksandra Vuckovic</cp:lastModifiedBy>
  <cp:revision>6</cp:revision>
  <cp:lastPrinted>2018-08-31T10:38:00Z</cp:lastPrinted>
  <dcterms:created xsi:type="dcterms:W3CDTF">2018-11-29T08:28:00Z</dcterms:created>
  <dcterms:modified xsi:type="dcterms:W3CDTF">2018-11-30T11:40:00Z</dcterms:modified>
</cp:coreProperties>
</file>